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bookmarkStart w:id="0" w:name="_GoBack"/>
      <w:bookmarkEnd w:id="0"/>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BYAAABkcnMvUEsBAhQAFAAAAAgAh07iQJcrJzTXAAAACgEAAA8AAAAAAAAAAQAgAAAA&#10;OAAAAGRycy9kb3ducmV2LnhtbFBLAQIUABQAAAAIAIdO4kCjWvfx9gEAAM4DAAAOAAAAAAAAAAEA&#10;IAAAADwBAABkcnMvZTJvRG9jLnhtbFBLBQYAAAAABgAGAFkBAACkBQAAAAA=&#10;">
                <v:fill on="f" focussize="0,0"/>
                <v:stroke on="f"/>
                <v:imagedata o:title=""/>
                <o:lock v:ext="edit" aspectratio="f"/>
                <v:textbo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v:textbox>
              </v:shape>
            </w:pict>
          </mc:Fallback>
        </mc:AlternateContent>
      </w: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赞皇县农业广播电视学校(本级)</w:t>
      </w:r>
    </w:p>
    <w:p>
      <w:pPr>
        <w:jc w:val="center"/>
        <w:rPr>
          <w:rFonts w:hint="default" w:ascii="楷体_GB2312" w:hAnsi="楷体_GB2312" w:eastAsia="楷体_GB2312" w:cs="楷体_GB2312"/>
          <w:b/>
          <w:bCs/>
          <w:color w:val="0D0D0D" w:themeColor="text1" w:themeTint="F2"/>
          <w:kern w:val="2"/>
          <w:sz w:val="48"/>
          <w:szCs w:val="56"/>
          <w:lang w:val="en-US"/>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326003</w:t>
      </w: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w:t>
      </w:r>
      <w:r>
        <w:rPr>
          <w:rFonts w:hint="eastAsia" w:ascii="楷体_GB2312" w:hAnsi="楷体_GB2312" w:eastAsia="楷体_GB2312" w:cs="楷体_GB2312"/>
          <w:b/>
          <w:bCs/>
          <w:color w:val="0D0D0D" w:themeColor="text1" w:themeTint="F2"/>
          <w:sz w:val="48"/>
          <w:szCs w:val="56"/>
          <w:lang w:val="en-US" w:eastAsia="zh-CN"/>
          <w14:textFill>
            <w14:solidFill>
              <w14:schemeClr w14:val="tx1">
                <w14:lumMod w14:val="95000"/>
                <w14:lumOff w14:val="5000"/>
              </w14:schemeClr>
            </w14:solidFill>
          </w14:textFill>
        </w:rPr>
        <w:t>九</w:t>
      </w: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月</w:t>
      </w:r>
    </w:p>
    <w:p>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pPr>
        <w:spacing w:line="600" w:lineRule="auto"/>
        <w:jc w:val="center"/>
        <w:rPr>
          <w:rFonts w:hint="eastAsia" w:ascii="楷体_GB2312" w:hAnsi="楷体_GB2312" w:eastAsia="楷体_GB2312" w:cs="楷体_GB2312"/>
          <w:color w:val="000000"/>
          <w:sz w:val="40"/>
          <w:szCs w:val="40"/>
        </w:rPr>
      </w:pPr>
    </w:p>
    <w:p>
      <w:pPr>
        <w:rPr>
          <w:rFonts w:hint="eastAsia" w:ascii="黑体" w:hAnsi="黑体" w:eastAsia="黑体" w:cs="黑体"/>
          <w:b/>
          <w:bCs/>
          <w:sz w:val="32"/>
          <w:szCs w:val="36"/>
          <w:highlight w:val="yellow"/>
        </w:rPr>
      </w:pP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赞皇县农业广播电视学校(本级)</w:t>
      </w: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w:t>
      </w:r>
      <w:r>
        <w:rPr>
          <w:rFonts w:hint="eastAsia" w:ascii="Times New Roman" w:eastAsia="方正小标宋_GBK"/>
          <w:b w:val="0"/>
          <w:sz w:val="72"/>
          <w:szCs w:val="72"/>
          <w:lang w:val="en-US" w:eastAsia="zh-CN"/>
        </w:rPr>
        <w:t>单位</w:t>
      </w:r>
      <w:r>
        <w:rPr>
          <w:rFonts w:ascii="Times New Roman" w:eastAsia="方正小标宋_GBK"/>
          <w:b w:val="0"/>
          <w:sz w:val="72"/>
          <w:szCs w:val="72"/>
        </w:rPr>
        <w:t>决算公开文本</w:t>
      </w:r>
    </w:p>
    <w:p>
      <w:pPr>
        <w:spacing w:line="360" w:lineRule="auto"/>
        <w:jc w:val="center"/>
        <w:rPr>
          <w:rFonts w:ascii="黑体" w:hAnsi="黑体" w:eastAsia="黑体" w:cs="黑体"/>
          <w:sz w:val="56"/>
          <w:szCs w:val="72"/>
        </w:rPr>
      </w:pPr>
    </w:p>
    <w:p>
      <w:pPr>
        <w:spacing w:line="480" w:lineRule="auto"/>
        <w:jc w:val="both"/>
        <w:rPr>
          <w:rFonts w:ascii="黑体" w:hAnsi="黑体" w:eastAsia="黑体" w:cs="黑体"/>
          <w:sz w:val="56"/>
          <w:szCs w:val="72"/>
        </w:rPr>
      </w:pP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赞皇县农业广播电视学校(本级)</w:t>
      </w:r>
    </w:p>
    <w:p>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w:t>
      </w:r>
      <w:r>
        <w:rPr>
          <w:rFonts w:hint="eastAsia" w:ascii="Times New Roman" w:eastAsia="楷体_GB2312"/>
          <w:b w:val="0"/>
          <w:sz w:val="44"/>
          <w:szCs w:val="44"/>
          <w:lang w:val="en-US" w:eastAsia="zh-CN"/>
        </w:rPr>
        <w:t>九</w:t>
      </w:r>
      <w:r>
        <w:rPr>
          <w:rFonts w:ascii="Times New Roman" w:eastAsia="楷体_GB2312"/>
          <w:b w:val="0"/>
          <w:sz w:val="44"/>
          <w:szCs w:val="44"/>
        </w:rPr>
        <w:t>月</w:t>
      </w:r>
    </w:p>
    <w:p>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w:t>
      </w:r>
      <w:r>
        <w:rPr>
          <w:rFonts w:hint="eastAsia" w:ascii="Times New Roman" w:eastAsia="黑体"/>
          <w:b w:val="0"/>
          <w:sz w:val="32"/>
          <w:szCs w:val="32"/>
          <w:lang w:eastAsia="zh-CN"/>
        </w:rPr>
        <w:t>单位</w:t>
      </w:r>
      <w:r>
        <w:rPr>
          <w:rFonts w:ascii="Times New Roman" w:eastAsia="黑体"/>
          <w:b w:val="0"/>
          <w:sz w:val="32"/>
          <w:szCs w:val="32"/>
        </w:rPr>
        <w:t>决算报表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w:t>
      </w:r>
      <w:r>
        <w:rPr>
          <w:rFonts w:hint="eastAsia" w:ascii="Times New Roman" w:eastAsia="黑体"/>
          <w:b w:val="0"/>
          <w:sz w:val="32"/>
          <w:szCs w:val="32"/>
          <w:lang w:eastAsia="zh-CN"/>
        </w:rPr>
        <w:t>单位</w:t>
      </w:r>
      <w:r>
        <w:rPr>
          <w:rFonts w:ascii="Times New Roman" w:eastAsia="黑体"/>
          <w:b w:val="0"/>
          <w:sz w:val="32"/>
          <w:szCs w:val="32"/>
        </w:rPr>
        <w:t>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w:t>
      </w:r>
      <w:r>
        <w:rPr>
          <w:rFonts w:hint="eastAsia" w:ascii="Times New Roman" w:eastAsia="仿宋_GB2312"/>
          <w:b w:val="0"/>
          <w:sz w:val="32"/>
          <w:szCs w:val="32"/>
          <w:lang w:eastAsia="zh-CN"/>
        </w:rPr>
        <w:t>单位</w:t>
      </w:r>
      <w:r>
        <w:rPr>
          <w:rFonts w:ascii="Times New Roman" w:eastAsia="仿宋_GB2312"/>
          <w:b w:val="0"/>
          <w:sz w:val="32"/>
          <w:szCs w:val="32"/>
        </w:rPr>
        <w:t>决算汇编范围的独立核算单位（以下简称“单位”）共</w:t>
      </w:r>
      <w:r>
        <w:rPr>
          <w:rFonts w:hint="eastAsia" w:ascii="Times New Roman" w:eastAsia="仿宋_GB2312"/>
          <w:b w:val="0"/>
          <w:sz w:val="32"/>
          <w:szCs w:val="32"/>
          <w:lang w:val="en-US" w:eastAsia="zh-CN"/>
        </w:rPr>
        <w:t>1</w:t>
      </w:r>
      <w:r>
        <w:rPr>
          <w:rFonts w:ascii="Times New Roman" w:eastAsia="仿宋_GB2312"/>
          <w:b w:val="0"/>
          <w:sz w:val="32"/>
          <w:szCs w:val="32"/>
        </w:rPr>
        <w:t>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赞皇县农业广播电视学校(本级)</w:t>
            </w:r>
          </w:p>
        </w:tc>
        <w:tc>
          <w:tcPr>
            <w:tcW w:w="2445" w:type="dxa"/>
          </w:tcPr>
          <w:p>
            <w:pPr>
              <w:spacing w:line="560" w:lineRule="exact"/>
              <w:ind w:firstLine="560" w:firstLineChars="200"/>
              <w:jc w:val="both"/>
              <w:rPr>
                <w:rFonts w:hint="default"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财政补助</w:t>
            </w:r>
          </w:p>
        </w:tc>
        <w:tc>
          <w:tcPr>
            <w:tcW w:w="266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决算表</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bidi w:val="0"/>
        <w:rPr>
          <w:rFonts w:hint="default"/>
          <w:lang w:val="en-US" w:eastAsia="zh-CN"/>
        </w:rPr>
      </w:pPr>
    </w:p>
    <w:p>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361" w:hRule="atLeast"/>
        </w:trPr>
        <w:tc>
          <w:tcPr>
            <w:tcW w:w="4985" w:type="pct"/>
            <w:gridSpan w:val="8"/>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357" w:hRule="atLeast"/>
        </w:trPr>
        <w:tc>
          <w:tcPr>
            <w:tcW w:w="4985" w:type="pct"/>
            <w:gridSpan w:val="8"/>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单位（单位）：赞皇县农业广播电视学校(本级)</w:t>
            </w:r>
          </w:p>
        </w:tc>
        <w:tc>
          <w:tcPr>
            <w:tcW w:w="1262" w:type="pct"/>
            <w:gridSpan w:val="2"/>
            <w:tcBorders>
              <w:top w:val="nil"/>
              <w:left w:val="nil"/>
              <w:bottom w:val="single" w:color="000000" w:themeColor="text1" w:sz="8" w:space="0"/>
              <w:right w:val="nil"/>
            </w:tcBorders>
            <w:noWrap/>
            <w:vAlign w:val="bottom"/>
          </w:tcPr>
          <w:p>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106.62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106.62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106.62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106.62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106.62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106.62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5000" w:type="pct"/>
            <w:gridSpan w:val="9"/>
            <w:tcBorders>
              <w:top w:val="nil"/>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注：1.本表反映单位本年度的总收支和年末结转结余情况。</w:t>
            </w:r>
          </w:p>
          <w:p>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单位（单位）：赞皇县农业广播电视学校(本级)                                                                                                         </w:t>
            </w:r>
          </w:p>
        </w:tc>
        <w:tc>
          <w:tcPr>
            <w:tcW w:w="3405" w:type="dxa"/>
            <w:gridSpan w:val="4"/>
            <w:tcBorders>
              <w:top w:val="nil"/>
              <w:left w:val="nil"/>
              <w:bottom w:val="single" w:color="000000" w:themeColor="text1" w:sz="8" w:space="0"/>
              <w:right w:val="nil"/>
            </w:tcBorders>
            <w:noWrap/>
            <w:vAlign w:val="bottom"/>
          </w:tcPr>
          <w:p>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106.62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106.62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教育支出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106.62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106.62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广播电视教育</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106.62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106.62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2050501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广播电视学校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106.62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106.62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单位（单位）：赞皇县农业广播电视学校(本级)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106.62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106.62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教育支出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106.62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广播电视教育</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106.62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广播电视学校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106.62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单位（单位）：赞皇县农业广播电视学校(本级)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106.62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106.62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106.62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106.62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106.62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106.62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106.62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106.62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cs="Times New Roman"/>
                <w:sz w:val="20"/>
                <w:szCs w:val="20"/>
                <w:highlight w:val="none"/>
              </w:rPr>
            </w:pPr>
          </w:p>
          <w:p>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106.62</w:t>
            </w:r>
          </w:p>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5000" w:type="pct"/>
            <w:gridSpan w:val="11"/>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36"/>
        <w:gridCol w:w="1759"/>
        <w:gridCol w:w="946"/>
        <w:gridCol w:w="1013"/>
        <w:gridCol w:w="1073"/>
        <w:gridCol w:w="378"/>
        <w:gridCol w:w="17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单位（单位）：赞皇县农业广播电视学校(本级)</w:t>
            </w:r>
          </w:p>
        </w:tc>
        <w:tc>
          <w:tcPr>
            <w:tcW w:w="1541" w:type="pct"/>
            <w:gridSpan w:val="2"/>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106.62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106.62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教育支出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106.62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106.62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广播电视教育</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106.62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106.62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2050501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广播电视学校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106.62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106.62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单位（单位）：赞皇县农业广播电视学校(本级)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82.31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42.64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18.16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8.05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0.57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19.63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19.63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0.87</w:t>
            </w:r>
          </w:p>
        </w:tc>
        <w:tc>
          <w:tcPr>
            <w:tcW w:w="666" w:type="dxa"/>
            <w:tcBorders>
              <w:top w:val="nil"/>
              <w:left w:val="nil"/>
              <w:bottom w:val="single" w:color="000000" w:sz="8" w:space="0"/>
              <w:right w:val="single" w:color="000000" w:sz="8" w:space="0"/>
            </w:tcBorders>
            <w:shd w:val="clear" w:color="auto" w:fill="auto"/>
            <w:noWrap/>
            <w:vAlign w:val="center"/>
          </w:tcPr>
          <w:p>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101.94</w:t>
            </w:r>
          </w:p>
        </w:tc>
        <w:tc>
          <w:tcPr>
            <w:tcW w:w="5811" w:type="dxa"/>
            <w:gridSpan w:val="6"/>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注：本表反映单位本年度一般公共预算财政拨款基本支出明细情况。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单位（单位）：赞皇县农业广播电视学校(本级)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5000" w:type="pct"/>
            <w:gridSpan w:val="9"/>
            <w:tcBorders>
              <w:top w:val="single" w:color="000000" w:themeColor="text1" w:sz="8" w:space="0"/>
              <w:left w:val="nil"/>
              <w:bottom w:val="nil"/>
              <w:right w:val="nil"/>
            </w:tcBorders>
            <w:noWrap/>
            <w:vAlign w:val="center"/>
          </w:tcPr>
          <w:p>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注：本表反映单位本年度政府性基金预算财政拨款收入、支出及结转和结余情况。（如无相关数据，则需注明空表列示）注：本单位无相关支出，空表列示。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单位（单位）：赞皇县农业广播电视学校(本级)</w:t>
            </w:r>
          </w:p>
        </w:tc>
        <w:tc>
          <w:tcPr>
            <w:tcW w:w="1421" w:type="pct"/>
            <w:gridSpan w:val="4"/>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注：本表反映单位本年度国有资本经营预算财政拨款支出情况。（如无相关数据，则需注明空表列示）</w:t>
            </w:r>
          </w:p>
          <w:p>
            <w:pPr>
              <w:keepNext w:val="0"/>
              <w:keepLines w:val="0"/>
              <w:widowControl/>
              <w:suppressLineNumbers w:val="0"/>
              <w:jc w:val="left"/>
              <w:textAlignment w:val="center"/>
              <w:rPr>
                <w:rFonts w:hint="default"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注：本单位无相关支出，空表列示。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单位（单位）：赞皇县农业广播电视学校(本级)</w:t>
            </w:r>
          </w:p>
        </w:tc>
        <w:tc>
          <w:tcPr>
            <w:tcW w:w="933" w:type="pct"/>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注：本表反映单位本年度财政拨款“三公”经费支出预决算情况。其中：预算数为“三公”经费全年预算数，反映按规定程序调整后的预算数；决算数是包括当年财政拨款和以前年度结转资金安排的实际支出</w:t>
            </w:r>
          </w:p>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注：本单位无相关支出，空表列示。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决算情况说明</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本单位2025年度收、支总计（含结转和结余）均为106.62万元。与2024年度决算相比，收支各增加6.39万元，增长6.4%，主要原因是</w:t>
      </w:r>
      <w:r>
        <w:rPr>
          <w:rFonts w:hint="eastAsia" w:ascii="Times New Roman" w:eastAsia="仿宋_GB2312"/>
          <w:b w:val="0"/>
          <w:sz w:val="32"/>
          <w:szCs w:val="32"/>
          <w:lang w:val="en-US" w:eastAsia="zh-CN"/>
        </w:rPr>
        <w:t>2024年底调整工资</w:t>
      </w:r>
      <w:r>
        <w:rPr>
          <w:rFonts w:ascii="Times New Roman" w:eastAsia="仿宋_GB2312"/>
          <w:b w:val="0"/>
          <w:sz w:val="32"/>
          <w:szCs w:val="32"/>
        </w:rPr>
        <w:t>。</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106.62万元，其中：财政拨款收入106.62万元，占100.0%；上级补助收入0.00万元，占0.0%；事业收入0.00万元，占0.0%；经营收入0.00万元，占0.0%；附属单位上缴收入0.00万元，占0.0%；其他收入0.00万元，占0.0%。</w:t>
      </w:r>
    </w:p>
    <w:p>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本单位2025年度本年支出合计106.62万元，其中：基本支出106.62万元，占100.0%；项目支出0.00万元，占0.0%；经营支出0.00万元，占0.0%；上缴上级支出0.00万元，占0.0%；对附属单位补助支出0.00万元，占0.0%。</w:t>
      </w:r>
    </w:p>
    <w:p>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pPr>
        <w:widowControl/>
        <w:spacing w:before="0" w:beforeLines="0" w:beforeAutospacing="0" w:after="0" w:afterLines="0" w:afterAutospacing="0" w:line="360" w:lineRule="auto"/>
        <w:ind w:firstLine="642"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本单位2025年度财政拨款收、支总计（含结转和结余）均为106.62万元。与2024年度相比，财政拨款收支各增加6.39万元，增长6.4%，主要原因是</w:t>
      </w:r>
      <w:r>
        <w:rPr>
          <w:rFonts w:hint="eastAsia" w:ascii="Times New Roman" w:eastAsia="仿宋_GB2312"/>
          <w:b w:val="0"/>
          <w:sz w:val="32"/>
          <w:szCs w:val="32"/>
          <w:lang w:val="en-US" w:eastAsia="zh-CN"/>
        </w:rPr>
        <w:t>2024年底调整工资</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本单位2025年度财政拨款本年收入106.62万元,比上年增加6.39万元，增长6.4%，主要原因是</w:t>
      </w:r>
      <w:r>
        <w:rPr>
          <w:rFonts w:hint="eastAsia" w:ascii="Times New Roman" w:eastAsia="仿宋_GB2312"/>
          <w:b w:val="0"/>
          <w:sz w:val="32"/>
          <w:szCs w:val="32"/>
          <w:lang w:val="en-US" w:eastAsia="zh-CN"/>
        </w:rPr>
        <w:t>2024年底调整工资</w:t>
      </w:r>
      <w:r>
        <w:rPr>
          <w:rFonts w:ascii="Times New Roman" w:eastAsia="仿宋_GB2312"/>
          <w:b w:val="0"/>
          <w:sz w:val="32"/>
          <w:szCs w:val="32"/>
        </w:rPr>
        <w:t>；本年支出106.62万元，比上年增加6.39万元，增长6.4%，主要原因是</w:t>
      </w:r>
      <w:r>
        <w:rPr>
          <w:rFonts w:hint="eastAsia" w:ascii="Times New Roman" w:eastAsia="仿宋_GB2312"/>
          <w:b w:val="0"/>
          <w:sz w:val="32"/>
          <w:szCs w:val="32"/>
          <w:lang w:val="en-US" w:eastAsia="zh-CN"/>
        </w:rPr>
        <w:t>2024年底调整工资</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一般公共预算财政拨款本年收入106.62万元,比上年增加6.39万元，增长6.4%，主要原因是</w:t>
      </w:r>
      <w:r>
        <w:rPr>
          <w:rFonts w:hint="eastAsia" w:ascii="Times New Roman" w:eastAsia="仿宋_GB2312"/>
          <w:b w:val="0"/>
          <w:sz w:val="32"/>
          <w:szCs w:val="32"/>
          <w:lang w:val="en-US" w:eastAsia="zh-CN"/>
        </w:rPr>
        <w:t>2024年底调整工资</w:t>
      </w:r>
      <w:r>
        <w:rPr>
          <w:rFonts w:ascii="Times New Roman" w:eastAsia="仿宋_GB2312"/>
          <w:b w:val="0"/>
          <w:sz w:val="32"/>
          <w:szCs w:val="32"/>
        </w:rPr>
        <w:t>；本年支出106.62万元，比上年增加6.39万元，增长6.4%，主要原因是</w:t>
      </w:r>
      <w:r>
        <w:rPr>
          <w:rFonts w:hint="eastAsia" w:ascii="Times New Roman" w:eastAsia="仿宋_GB2312"/>
          <w:b w:val="0"/>
          <w:sz w:val="32"/>
          <w:szCs w:val="32"/>
          <w:lang w:val="en-US" w:eastAsia="zh-CN"/>
        </w:rPr>
        <w:t>2024年度调整工资</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政府性基金预算财政拨款本年收入0.00万元，比上年增加0.00万元，增长0.00%，主要原因是</w:t>
      </w:r>
      <w:r>
        <w:rPr>
          <w:rFonts w:hint="eastAsia" w:ascii="Times New Roman" w:eastAsia="仿宋_GB2312"/>
          <w:b w:val="0"/>
          <w:sz w:val="32"/>
          <w:szCs w:val="32"/>
          <w:lang w:val="en-US" w:eastAsia="zh-CN"/>
        </w:rPr>
        <w:t>无相关支出</w:t>
      </w:r>
      <w:r>
        <w:rPr>
          <w:rFonts w:ascii="Times New Roman" w:eastAsia="仿宋_GB2312"/>
          <w:b w:val="0"/>
          <w:sz w:val="32"/>
          <w:szCs w:val="32"/>
        </w:rPr>
        <w:t>；本年支出0.00万元，比上年增加0.00万元，增长0.00%，主要原因是</w:t>
      </w:r>
      <w:r>
        <w:rPr>
          <w:rFonts w:hint="eastAsia" w:ascii="Times New Roman" w:eastAsia="仿宋_GB2312"/>
          <w:b w:val="0"/>
          <w:sz w:val="32"/>
          <w:szCs w:val="32"/>
          <w:lang w:val="en-US" w:eastAsia="zh-CN"/>
        </w:rPr>
        <w:t>无相关支出</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w:t>
      </w:r>
      <w:r>
        <w:rPr>
          <w:rFonts w:hint="eastAsia" w:ascii="Times New Roman" w:eastAsia="仿宋_GB2312"/>
          <w:b w:val="0"/>
          <w:sz w:val="32"/>
          <w:szCs w:val="32"/>
          <w:lang w:val="en-US" w:eastAsia="zh-CN"/>
        </w:rPr>
        <w:t>无相关支出</w:t>
      </w:r>
      <w:r>
        <w:rPr>
          <w:rFonts w:ascii="Times New Roman" w:eastAsia="仿宋_GB2312"/>
          <w:b w:val="0"/>
          <w:sz w:val="32"/>
          <w:szCs w:val="32"/>
        </w:rPr>
        <w:t>；本年支出0.00万元，比上年增加0.00万元，增长0.00%，主要原因是</w:t>
      </w:r>
      <w:r>
        <w:rPr>
          <w:rFonts w:hint="eastAsia" w:ascii="Times New Roman" w:eastAsia="仿宋_GB2312"/>
          <w:b w:val="0"/>
          <w:sz w:val="32"/>
          <w:szCs w:val="32"/>
          <w:lang w:val="en-US" w:eastAsia="zh-CN"/>
        </w:rPr>
        <w:t>无相关支出</w:t>
      </w:r>
      <w:r>
        <w:rPr>
          <w:rFonts w:ascii="Times New Roman" w:eastAsia="仿宋_GB2312"/>
          <w:b w:val="0"/>
          <w:sz w:val="32"/>
          <w:szCs w:val="32"/>
        </w:rPr>
        <w:t>。</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widowControl/>
        <w:spacing w:before="0" w:beforeLines="0" w:beforeAutospacing="0" w:after="0" w:afterLines="0" w:afterAutospacing="0" w:line="360" w:lineRule="auto"/>
        <w:ind w:firstLine="642"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本单位2025年度财政拨款本年收入106.62万元，完成年初预算的106.2%，比年初预算增加6.26万元，决算数大于预算数主要原因是</w:t>
      </w:r>
      <w:r>
        <w:rPr>
          <w:rFonts w:hint="eastAsia" w:ascii="Times New Roman" w:eastAsia="仿宋_GB2312"/>
          <w:b w:val="0"/>
          <w:sz w:val="32"/>
          <w:szCs w:val="32"/>
          <w:lang w:val="en-US" w:eastAsia="zh-CN"/>
        </w:rPr>
        <w:t>2024年底调整工资</w:t>
      </w:r>
      <w:r>
        <w:rPr>
          <w:rFonts w:ascii="Times New Roman" w:eastAsia="仿宋_GB2312"/>
          <w:b w:val="0"/>
          <w:sz w:val="32"/>
          <w:szCs w:val="32"/>
        </w:rPr>
        <w:t>；本年支出106.62万元，完成年初预算的106.2%，比年初预算增加6.26万元，决算数大于预算数主要原因是</w:t>
      </w:r>
      <w:r>
        <w:rPr>
          <w:rFonts w:hint="eastAsia" w:ascii="Times New Roman" w:eastAsia="仿宋_GB2312"/>
          <w:b w:val="0"/>
          <w:sz w:val="32"/>
          <w:szCs w:val="32"/>
          <w:lang w:val="en-US" w:eastAsia="zh-CN"/>
        </w:rPr>
        <w:t>2024年底调整工资</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一般公共预算财政拨款本年收入完成年初预算的106.2%，比年初预算增加6.26万元，主要原因是</w:t>
      </w:r>
      <w:r>
        <w:rPr>
          <w:rFonts w:hint="eastAsia" w:ascii="Times New Roman" w:eastAsia="仿宋_GB2312"/>
          <w:b w:val="0"/>
          <w:sz w:val="32"/>
          <w:szCs w:val="32"/>
          <w:lang w:val="en-US" w:eastAsia="zh-CN"/>
        </w:rPr>
        <w:t>2024年底调整工资</w:t>
      </w:r>
      <w:r>
        <w:rPr>
          <w:rFonts w:ascii="Times New Roman" w:eastAsia="仿宋_GB2312"/>
          <w:b w:val="0"/>
          <w:sz w:val="32"/>
          <w:szCs w:val="32"/>
        </w:rPr>
        <w:t>；支出完成年初预算的106.2%，比年初预算增加6.26万元，主要原因是</w:t>
      </w:r>
      <w:r>
        <w:rPr>
          <w:rFonts w:hint="eastAsia" w:ascii="Times New Roman" w:eastAsia="仿宋_GB2312"/>
          <w:b w:val="0"/>
          <w:sz w:val="32"/>
          <w:szCs w:val="32"/>
          <w:lang w:val="en-US" w:eastAsia="zh-CN"/>
        </w:rPr>
        <w:t>2024年底调整工资</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政府性基金预算财政拨款本年收入完成年初预算的0.0%，比年初预算增加0.00万元，主要原因是</w:t>
      </w:r>
      <w:r>
        <w:rPr>
          <w:rFonts w:hint="eastAsia" w:ascii="Times New Roman" w:eastAsia="仿宋_GB2312"/>
          <w:b w:val="0"/>
          <w:sz w:val="32"/>
          <w:szCs w:val="32"/>
          <w:lang w:val="en-US" w:eastAsia="zh-CN"/>
        </w:rPr>
        <w:t>无相关支出</w:t>
      </w:r>
      <w:r>
        <w:rPr>
          <w:rFonts w:ascii="Times New Roman" w:eastAsia="仿宋_GB2312"/>
          <w:b w:val="0"/>
          <w:sz w:val="32"/>
          <w:szCs w:val="32"/>
        </w:rPr>
        <w:t>；支出完成年初预算的0.0%，比年初预算增加0.00万元，主要原因是</w:t>
      </w:r>
      <w:r>
        <w:rPr>
          <w:rFonts w:hint="eastAsia" w:ascii="Times New Roman" w:eastAsia="仿宋_GB2312"/>
          <w:b w:val="0"/>
          <w:sz w:val="32"/>
          <w:szCs w:val="32"/>
          <w:lang w:val="en-US" w:eastAsia="zh-CN"/>
        </w:rPr>
        <w:t>无相关支出</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w:t>
      </w:r>
      <w:r>
        <w:rPr>
          <w:rFonts w:hint="eastAsia" w:ascii="Times New Roman" w:eastAsia="仿宋_GB2312"/>
          <w:b w:val="0"/>
          <w:sz w:val="32"/>
          <w:szCs w:val="32"/>
          <w:lang w:val="en-US" w:eastAsia="zh-CN"/>
        </w:rPr>
        <w:t>无相关支出</w:t>
      </w:r>
      <w:r>
        <w:rPr>
          <w:rFonts w:ascii="Times New Roman" w:eastAsia="仿宋_GB2312"/>
          <w:b w:val="0"/>
          <w:sz w:val="32"/>
          <w:szCs w:val="32"/>
        </w:rPr>
        <w:t>；支出完成年初预算的0.0%，比年初预算增加0.00万元，主要原因是</w:t>
      </w:r>
      <w:r>
        <w:rPr>
          <w:rFonts w:hint="eastAsia" w:ascii="Times New Roman" w:eastAsia="仿宋_GB2312"/>
          <w:b w:val="0"/>
          <w:sz w:val="32"/>
          <w:szCs w:val="32"/>
          <w:lang w:val="en-US" w:eastAsia="zh-CN"/>
        </w:rPr>
        <w:t>无相关支出</w:t>
      </w:r>
      <w:r>
        <w:rPr>
          <w:rFonts w:ascii="Times New Roman" w:eastAsia="仿宋_GB2312"/>
          <w:b w:val="0"/>
          <w:sz w:val="32"/>
          <w:szCs w:val="32"/>
        </w:rPr>
        <w:t>。</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widowControl/>
        <w:spacing w:before="0" w:beforeLines="0" w:beforeAutospacing="0" w:after="0" w:afterLines="0" w:afterAutospacing="0" w:line="360" w:lineRule="auto"/>
        <w:ind w:firstLine="642" w:firstLineChars="200"/>
        <w:jc w:val="left"/>
        <w:rPr>
          <w:rFonts w:ascii="Times New Roman" w:eastAsia="楷体_GB2312"/>
          <w:sz w:val="32"/>
          <w:szCs w:val="32"/>
        </w:rPr>
      </w:pPr>
      <w:r>
        <w:rPr>
          <w:rFonts w:ascii="Times New Roman" w:eastAsia="楷体_GB2312"/>
          <w:b/>
          <w:sz w:val="32"/>
          <w:szCs w:val="32"/>
        </w:rPr>
        <w:t>（三）财政拨款支出决算结构情况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2025年度财政拨款支出106.62万元，主要用于以下方面：</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一般公共预算财政拨款支出：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w:t>
      </w:r>
      <w:r>
        <w:rPr>
          <w:rFonts w:hint="eastAsia" w:ascii="Times New Roman" w:eastAsia="仿宋_GB2312"/>
          <w:b w:val="0"/>
          <w:sz w:val="32"/>
          <w:szCs w:val="32"/>
          <w:lang w:val="en-US" w:eastAsia="zh-CN"/>
        </w:rPr>
        <w:t>0</w:t>
      </w:r>
      <w:r>
        <w:rPr>
          <w:rFonts w:ascii="Times New Roman" w:eastAsia="仿宋_GB2312"/>
          <w:b w:val="0"/>
          <w:sz w:val="32"/>
          <w:szCs w:val="32"/>
        </w:rPr>
        <w:t>万元，占</w:t>
      </w:r>
      <w:r>
        <w:rPr>
          <w:rFonts w:hint="eastAsia" w:ascii="Times New Roman" w:eastAsia="仿宋_GB2312"/>
          <w:b w:val="0"/>
          <w:sz w:val="32"/>
          <w:szCs w:val="32"/>
          <w:lang w:val="en-US" w:eastAsia="zh-CN"/>
        </w:rPr>
        <w:t>0.0</w:t>
      </w:r>
      <w:r>
        <w:rPr>
          <w:rFonts w:ascii="Times New Roman" w:eastAsia="仿宋_GB2312"/>
          <w:b w:val="0"/>
          <w:sz w:val="32"/>
          <w:szCs w:val="32"/>
        </w:rPr>
        <w:t>%，主要用于等支出；外交（类）支出0.00万元，占0.0%，主要用于等支出；国防（类）支出0.00万元，占0.0%，主要用于等支出；公共安全类（类）支出0.00万元，占0.0%，主要用于等支出；教育（类）支出106.62万元，占100.0%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政府性基金预算财政拨款支出：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0.00%，主要用于等支出。</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国有资本经营预算财政拨款支出：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pPr>
        <w:widowControl/>
        <w:spacing w:before="0" w:beforeLines="0" w:beforeAutospacing="0" w:after="0" w:afterLines="0" w:afterAutospacing="0" w:line="360" w:lineRule="auto"/>
        <w:ind w:firstLine="642"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2025年度财政拨款基本支出106.62万元，其中：</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人员经费101.94万元，主要包括基本工资、津贴补贴、奖金、伙食补助费、绩效工资、机关事业</w:t>
      </w:r>
      <w:r>
        <w:rPr>
          <w:rFonts w:hint="eastAsia" w:ascii="Times New Roman" w:eastAsia="仿宋_GB2312"/>
          <w:b w:val="0"/>
          <w:sz w:val="32"/>
          <w:szCs w:val="32"/>
          <w:lang w:eastAsia="zh-CN"/>
        </w:rPr>
        <w:t>单位</w:t>
      </w:r>
      <w:r>
        <w:rPr>
          <w:rFonts w:ascii="Times New Roman" w:eastAsia="仿宋_GB2312"/>
          <w:b w:val="0"/>
          <w:sz w:val="32"/>
          <w:szCs w:val="32"/>
        </w:rPr>
        <w:t>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4.68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pPr>
        <w:widowControl/>
        <w:spacing w:before="0" w:beforeLines="0" w:beforeAutospacing="0" w:after="0" w:afterLines="0" w:afterAutospacing="0" w:line="360" w:lineRule="auto"/>
        <w:ind w:firstLine="642"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本单位2025年度“三公”经费财政拨款支出预算为0.00万元，支出决算为0.00万元，完成预算的0.0%，较预算增加0.00万元，增长0.0%，主要原因是</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无相关支出。</w:t>
      </w:r>
      <w:r>
        <w:rPr>
          <w:rFonts w:ascii="Times New Roman" w:eastAsia="仿宋_GB2312"/>
          <w:b w:val="0"/>
          <w:sz w:val="32"/>
          <w:szCs w:val="32"/>
        </w:rPr>
        <w:t>较2024年度决算增加0.00万元，增长0.00%，主要原因是</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无相关支出</w:t>
      </w:r>
      <w:r>
        <w:rPr>
          <w:rFonts w:ascii="Times New Roman" w:eastAsia="仿宋_GB2312"/>
          <w:b w:val="0"/>
          <w:sz w:val="32"/>
          <w:szCs w:val="32"/>
        </w:rPr>
        <w:t>。</w:t>
      </w:r>
    </w:p>
    <w:p>
      <w:pPr>
        <w:widowControl/>
        <w:spacing w:before="0" w:beforeLines="0" w:beforeAutospacing="0" w:after="0" w:afterLines="0" w:afterAutospacing="0" w:line="360" w:lineRule="auto"/>
        <w:ind w:firstLine="642"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本单位2025年度因公出国（境）费支出预算为0.00万元,支出决算0.00万元。完成预算的0.0%。因公出国（境）费支出较预算增加0.00万元，增长0.0%,主要原因是</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无相关支出</w:t>
      </w:r>
      <w:r>
        <w:rPr>
          <w:rFonts w:ascii="Times New Roman" w:eastAsia="仿宋_GB2312"/>
          <w:b w:val="0"/>
          <w:sz w:val="32"/>
          <w:szCs w:val="32"/>
        </w:rPr>
        <w:t>；较上年增加0.00万元，增长0.00%,主要原因是</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无相关支出</w:t>
      </w:r>
      <w:r>
        <w:rPr>
          <w:rFonts w:ascii="Times New Roman" w:eastAsia="仿宋_GB2312"/>
          <w:b w:val="0"/>
          <w:sz w:val="32"/>
          <w:szCs w:val="32"/>
        </w:rPr>
        <w:t>。因公出国（境）团组0个、共0人、参加其他单位组织的因公出国（境）团组个、共人/无本</w:t>
      </w:r>
      <w:r>
        <w:rPr>
          <w:rFonts w:hint="eastAsia" w:ascii="Times New Roman" w:eastAsia="仿宋_GB2312"/>
          <w:b w:val="0"/>
          <w:sz w:val="32"/>
          <w:szCs w:val="32"/>
          <w:lang w:eastAsia="zh-CN"/>
        </w:rPr>
        <w:t>单位</w:t>
      </w:r>
      <w:r>
        <w:rPr>
          <w:rFonts w:ascii="Times New Roman" w:eastAsia="仿宋_GB2312"/>
          <w:b w:val="0"/>
          <w:sz w:val="32"/>
          <w:szCs w:val="32"/>
        </w:rPr>
        <w:t>组织的出国（境）团组。</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本单位2025年度公务用车购置及运行维护费预算为0.00万元，支出决算0.00万元，完成预算的0.0%,较预算增加0.00万元，增长0.0%,主要原因是</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无相关支出</w:t>
      </w:r>
      <w:r>
        <w:rPr>
          <w:rFonts w:ascii="Times New Roman" w:eastAsia="仿宋_GB2312"/>
          <w:b w:val="0"/>
          <w:sz w:val="32"/>
          <w:szCs w:val="32"/>
        </w:rPr>
        <w:t>；较上年增加0.00万元，增长0.00%,主要原因是</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无相关支出</w:t>
      </w:r>
      <w:r>
        <w:rPr>
          <w:rFonts w:ascii="Times New Roman" w:eastAsia="仿宋_GB2312"/>
          <w:b w:val="0"/>
          <w:sz w:val="32"/>
          <w:szCs w:val="32"/>
        </w:rPr>
        <w:t>。其中：</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本单位2025年度公务用车购置量0辆，发生“公务用车购置”经费支出0.00万元。公务用车购置费支出较预算增加0.00万元，增长0.0%,主要原因是</w:t>
      </w:r>
      <w:r>
        <w:rPr>
          <w:rFonts w:hint="eastAsia" w:ascii="Times New Roman" w:eastAsia="仿宋_GB2312"/>
          <w:b w:val="0"/>
          <w:sz w:val="32"/>
          <w:szCs w:val="32"/>
          <w:lang w:val="en-US" w:eastAsia="zh-CN"/>
        </w:rPr>
        <w:t>无相关支出</w:t>
      </w:r>
      <w:r>
        <w:rPr>
          <w:rFonts w:ascii="Times New Roman" w:eastAsia="仿宋_GB2312"/>
          <w:b w:val="0"/>
          <w:sz w:val="32"/>
          <w:szCs w:val="32"/>
        </w:rPr>
        <w:t>；较上年增加0.00万元，增长0.00%,主要原因是</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无相关支出</w:t>
      </w:r>
      <w:r>
        <w:rPr>
          <w:rFonts w:ascii="Times New Roman" w:eastAsia="仿宋_GB2312"/>
          <w:b w:val="0"/>
          <w:sz w:val="32"/>
          <w:szCs w:val="32"/>
        </w:rPr>
        <w:t>。</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公务用车运行维护费支出0.00万元：</w:t>
      </w:r>
      <w:r>
        <w:rPr>
          <w:rFonts w:ascii="Times New Roman" w:eastAsia="仿宋_GB2312"/>
          <w:b w:val="0"/>
          <w:sz w:val="32"/>
          <w:szCs w:val="32"/>
        </w:rPr>
        <w:t>本单位2025年度单位公务用车保有量0辆，发生运行维护费支出0.00万元。公车运行维护费支出较预算增加0.00万元，增长0.0%,主要原因是</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无相关支出</w:t>
      </w:r>
      <w:r>
        <w:rPr>
          <w:rFonts w:ascii="Times New Roman" w:eastAsia="仿宋_GB2312"/>
          <w:b w:val="0"/>
          <w:sz w:val="32"/>
          <w:szCs w:val="32"/>
        </w:rPr>
        <w:t>；较上年增加0.00万元，增长0.00%，主要原因是</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无相关支出</w:t>
      </w:r>
      <w:r>
        <w:rPr>
          <w:rFonts w:ascii="Times New Roman" w:eastAsia="仿宋_GB2312"/>
          <w:b w:val="0"/>
          <w:sz w:val="32"/>
          <w:szCs w:val="32"/>
        </w:rPr>
        <w:t>。</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本单位2025年度公务接待费支出预算为0.00万元，支出决算0.00万元，完成预算的0.0%。公务接待费支出较预算增加0.00万元，增长0.0%,主要原因是</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无相关支出</w:t>
      </w:r>
      <w:r>
        <w:rPr>
          <w:rFonts w:ascii="Times New Roman" w:eastAsia="仿宋_GB2312"/>
          <w:b w:val="0"/>
          <w:sz w:val="32"/>
          <w:szCs w:val="32"/>
        </w:rPr>
        <w:t>；较上年度增加0.00万元，增长0.00%,主要原因是</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无相关支出</w:t>
      </w:r>
      <w:r>
        <w:rPr>
          <w:rFonts w:ascii="Times New Roman" w:eastAsia="仿宋_GB2312"/>
          <w:b w:val="0"/>
          <w:sz w:val="32"/>
          <w:szCs w:val="32"/>
        </w:rPr>
        <w:t>。本年度共发生公务接待0批次、0人次。</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本单位2025年度机关运行经费支出0.00万元，较2024年度增加0.00万元，增长0.00%。主要原因是</w:t>
      </w:r>
      <w:r>
        <w:rPr>
          <w:rFonts w:hint="eastAsia" w:ascii="Times New Roman" w:eastAsia="仿宋_GB2312"/>
          <w:b w:val="0"/>
          <w:sz w:val="32"/>
          <w:szCs w:val="32"/>
          <w:lang w:val="en-US" w:eastAsia="zh-CN"/>
        </w:rPr>
        <w:t>事业单位无机关运行经费</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0辆，比上年增加0辆，主要是。其中，副部（省）级及以上领导用车0辆，主要负责人用车0辆，机要通信用车0辆，应急保障用车0辆，执法执勤用车0辆，特种专业技术用车0辆，离退休干部用车0辆，其他用车0辆，其他用车主要是。单位价值100万元（含）以上设备（不含车辆）0台（套）。</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（一）绩效评价工作开展情况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w:t>
      </w:r>
      <w:r>
        <w:rPr>
          <w:rFonts w:hint="eastAsia" w:ascii="Times New Roman" w:eastAsia="仿宋_GB2312"/>
          <w:b w:val="0"/>
          <w:sz w:val="32"/>
          <w:szCs w:val="32"/>
          <w:lang w:val="en-US" w:eastAsia="zh-CN"/>
        </w:rPr>
        <w:t>106.62</w:t>
      </w:r>
      <w:r>
        <w:rPr>
          <w:rFonts w:ascii="Times New Roman" w:eastAsia="仿宋_GB2312"/>
          <w:b w:val="0"/>
          <w:sz w:val="32"/>
          <w:szCs w:val="32"/>
        </w:rPr>
        <w:t>万元。其中，一般公共预算项目</w:t>
      </w:r>
      <w:r>
        <w:rPr>
          <w:rFonts w:hint="eastAsia" w:ascii="Times New Roman" w:eastAsia="仿宋_GB2312"/>
          <w:b w:val="0"/>
          <w:sz w:val="32"/>
          <w:szCs w:val="32"/>
          <w:lang w:val="en-US" w:eastAsia="zh-CN"/>
        </w:rPr>
        <w:t>1</w:t>
      </w:r>
      <w:r>
        <w:rPr>
          <w:rFonts w:ascii="Times New Roman" w:eastAsia="仿宋_GB2312"/>
          <w:b w:val="0"/>
          <w:sz w:val="32"/>
          <w:szCs w:val="32"/>
        </w:rPr>
        <w:t>个，涉及资金</w:t>
      </w:r>
      <w:r>
        <w:rPr>
          <w:rFonts w:hint="eastAsia" w:ascii="Times New Roman" w:eastAsia="仿宋_GB2312"/>
          <w:b w:val="0"/>
          <w:sz w:val="32"/>
          <w:szCs w:val="32"/>
          <w:lang w:val="en-US" w:eastAsia="zh-CN"/>
        </w:rPr>
        <w:t>106.62</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%；政府性基金预算项目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万元，占政府性基金预算项目支出总额的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%；国有资本经营预算项目</w:t>
      </w:r>
      <w:r>
        <w:rPr>
          <w:rFonts w:hint="eastAsia" w:ascii="Times New Roman" w:eastAsia="仿宋_GB2312"/>
          <w:b w:val="0"/>
          <w:sz w:val="32"/>
          <w:szCs w:val="32"/>
          <w:lang w:val="en-US" w:eastAsia="zh-CN"/>
        </w:rPr>
        <w:t>0</w:t>
      </w:r>
      <w:r>
        <w:rPr>
          <w:rFonts w:ascii="Times New Roman" w:eastAsia="仿宋_GB2312"/>
          <w:b w:val="0"/>
          <w:sz w:val="32"/>
          <w:szCs w:val="32"/>
        </w:rPr>
        <w:t>个，涉及资金</w:t>
      </w:r>
      <w:r>
        <w:rPr>
          <w:rFonts w:hint="eastAsia" w:ascii="Times New Roman" w:eastAsia="仿宋_GB2312"/>
          <w:b w:val="0"/>
          <w:sz w:val="32"/>
          <w:szCs w:val="32"/>
          <w:lang w:val="en-US" w:eastAsia="zh-CN"/>
        </w:rPr>
        <w:t>0</w:t>
      </w:r>
      <w:r>
        <w:rPr>
          <w:rFonts w:ascii="Times New Roman" w:eastAsia="仿宋_GB2312"/>
          <w:b w:val="0"/>
          <w:sz w:val="32"/>
          <w:szCs w:val="32"/>
        </w:rPr>
        <w:t>万元，占国有资本经营预算项目支出总额的</w:t>
      </w:r>
      <w:r>
        <w:rPr>
          <w:rFonts w:hint="eastAsia" w:ascii="Times New Roman" w:eastAsia="仿宋_GB2312"/>
          <w:b w:val="0"/>
          <w:sz w:val="32"/>
          <w:szCs w:val="32"/>
          <w:lang w:val="en-US" w:eastAsia="zh-CN"/>
        </w:rPr>
        <w:t>0</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人员经费</w:t>
      </w:r>
      <w:r>
        <w:rPr>
          <w:rFonts w:hint="eastAsia" w:ascii="Times New Roman" w:eastAsia="仿宋_GB2312"/>
          <w:b w:val="0"/>
          <w:sz w:val="32"/>
          <w:szCs w:val="32"/>
          <w:lang w:eastAsia="zh-CN"/>
        </w:rPr>
        <w:t>”</w:t>
      </w:r>
      <w:r>
        <w:rPr>
          <w:rFonts w:hint="eastAsia" w:ascii="Times New Roman" w:eastAsia="仿宋_GB2312"/>
          <w:b w:val="0"/>
          <w:sz w:val="32"/>
          <w:szCs w:val="32"/>
          <w:lang w:val="en-US" w:eastAsia="zh-CN"/>
        </w:rPr>
        <w:t>“公用经费”</w:t>
      </w:r>
      <w:r>
        <w:rPr>
          <w:rFonts w:ascii="Times New Roman" w:eastAsia="仿宋_GB2312"/>
          <w:b w:val="0"/>
          <w:sz w:val="32"/>
          <w:szCs w:val="32"/>
        </w:rPr>
        <w:t>等</w:t>
      </w:r>
      <w:r>
        <w:rPr>
          <w:rFonts w:hint="eastAsia" w:ascii="Times New Roman" w:eastAsia="仿宋_GB2312"/>
          <w:b w:val="0"/>
          <w:sz w:val="32"/>
          <w:szCs w:val="32"/>
          <w:lang w:val="en-US" w:eastAsia="zh-CN"/>
        </w:rPr>
        <w:t>2</w:t>
      </w:r>
      <w:r>
        <w:rPr>
          <w:rFonts w:ascii="Times New Roman" w:eastAsia="仿宋_GB2312"/>
          <w:b w:val="0"/>
          <w:sz w:val="32"/>
          <w:szCs w:val="32"/>
        </w:rPr>
        <w:t>个项目开展了</w:t>
      </w:r>
      <w:r>
        <w:rPr>
          <w:rFonts w:hint="eastAsia" w:ascii="Times New Roman" w:eastAsia="仿宋_GB2312"/>
          <w:b w:val="0"/>
          <w:sz w:val="32"/>
          <w:szCs w:val="32"/>
          <w:lang w:eastAsia="zh-CN"/>
        </w:rPr>
        <w:t>单位</w:t>
      </w:r>
      <w:r>
        <w:rPr>
          <w:rFonts w:ascii="Times New Roman" w:eastAsia="仿宋_GB2312"/>
          <w:b w:val="0"/>
          <w:sz w:val="32"/>
          <w:szCs w:val="32"/>
        </w:rPr>
        <w:t>重点评价，涉及一般公共预算支出</w:t>
      </w:r>
      <w:r>
        <w:rPr>
          <w:rFonts w:hint="eastAsia" w:ascii="Times New Roman" w:eastAsia="仿宋_GB2312"/>
          <w:b w:val="0"/>
          <w:sz w:val="32"/>
          <w:szCs w:val="32"/>
          <w:lang w:val="en-US" w:eastAsia="zh-CN"/>
        </w:rPr>
        <w:t>106.62</w:t>
      </w:r>
      <w:r>
        <w:rPr>
          <w:rFonts w:ascii="Times New Roman" w:eastAsia="仿宋_GB2312"/>
          <w:b w:val="0"/>
          <w:sz w:val="32"/>
          <w:szCs w:val="32"/>
        </w:rPr>
        <w:t>万元，政府性基金预算支出</w:t>
      </w:r>
      <w:r>
        <w:rPr>
          <w:rFonts w:hint="eastAsia" w:ascii="Times New Roman" w:eastAsia="仿宋_GB2312"/>
          <w:b w:val="0"/>
          <w:sz w:val="32"/>
          <w:szCs w:val="32"/>
          <w:lang w:val="en-US" w:eastAsia="zh-CN"/>
        </w:rPr>
        <w:t>0</w:t>
      </w:r>
      <w:r>
        <w:rPr>
          <w:rFonts w:ascii="Times New Roman" w:eastAsia="仿宋_GB2312"/>
          <w:b w:val="0"/>
          <w:sz w:val="32"/>
          <w:szCs w:val="32"/>
        </w:rPr>
        <w:t>万元，国有资本经营预算支出</w:t>
      </w:r>
      <w:r>
        <w:rPr>
          <w:rFonts w:hint="eastAsia" w:ascii="Times New Roman" w:eastAsia="仿宋_GB2312"/>
          <w:b w:val="0"/>
          <w:sz w:val="32"/>
          <w:szCs w:val="32"/>
          <w:lang w:val="en-US" w:eastAsia="zh-CN"/>
        </w:rPr>
        <w:t>0</w:t>
      </w:r>
      <w:r>
        <w:rPr>
          <w:rFonts w:ascii="Times New Roman" w:eastAsia="仿宋_GB2312"/>
          <w:b w:val="0"/>
          <w:sz w:val="32"/>
          <w:szCs w:val="32"/>
        </w:rPr>
        <w:t>万元，从评价情况来看，</w:t>
      </w:r>
      <w:r>
        <w:rPr>
          <w:rFonts w:hint="eastAsia" w:ascii="Times New Roman" w:eastAsia="仿宋_GB2312"/>
          <w:b w:val="0"/>
          <w:sz w:val="32"/>
          <w:szCs w:val="32"/>
          <w:lang w:val="en-US" w:eastAsia="zh-CN"/>
        </w:rPr>
        <w:t>2025年度在财政单位的指导下积极推进预算绩效管理工作。我校以实现绩效目标为导向，以财政支出为手段，以评价结果应用为保障，提高财政资金使用效益，扎实有效推进了我校预算绩效工作</w:t>
      </w:r>
      <w:r>
        <w:rPr>
          <w:rFonts w:ascii="Times New Roman" w:eastAsia="仿宋_GB2312"/>
          <w:b w:val="0"/>
          <w:sz w:val="32"/>
          <w:szCs w:val="32"/>
        </w:rPr>
        <w:t>。</w:t>
      </w:r>
    </w:p>
    <w:p>
      <w:pPr>
        <w:widowControl/>
        <w:numPr>
          <w:ilvl w:val="0"/>
          <w:numId w:val="2"/>
        </w:numPr>
        <w:spacing w:before="0" w:beforeLines="0" w:beforeAutospacing="0" w:after="0" w:afterLines="0" w:afterAutospacing="0" w:line="360" w:lineRule="auto"/>
        <w:ind w:firstLine="642" w:firstLineChars="200"/>
        <w:jc w:val="left"/>
        <w:rPr>
          <w:rFonts w:ascii="Times New Roman" w:eastAsia="仿宋_GB2312"/>
          <w:b/>
          <w:sz w:val="32"/>
          <w:szCs w:val="32"/>
        </w:rPr>
      </w:pPr>
      <w:r>
        <w:rPr>
          <w:rFonts w:hint="eastAsia" w:ascii="Times New Roman" w:eastAsia="仿宋_GB2312"/>
          <w:b/>
          <w:sz w:val="32"/>
          <w:szCs w:val="32"/>
          <w:lang w:eastAsia="zh-CN"/>
        </w:rPr>
        <w:t>单位</w:t>
      </w:r>
      <w:r>
        <w:rPr>
          <w:rFonts w:ascii="Times New Roman" w:eastAsia="仿宋_GB2312"/>
          <w:b/>
          <w:sz w:val="32"/>
          <w:szCs w:val="32"/>
        </w:rPr>
        <w:t>决算中项目绩效自评结果</w:t>
      </w:r>
    </w:p>
    <w:p>
      <w:pPr>
        <w:widowControl/>
        <w:numPr>
          <w:ilvl w:val="0"/>
          <w:numId w:val="0"/>
        </w:numPr>
        <w:tabs>
          <w:tab w:val="left" w:pos="816"/>
        </w:tabs>
        <w:spacing w:before="0" w:beforeLines="0" w:beforeAutospacing="0" w:after="0" w:afterLines="0" w:afterAutospacing="0" w:line="360" w:lineRule="auto"/>
        <w:jc w:val="left"/>
        <w:rPr>
          <w:rFonts w:hint="default" w:ascii="Times New Roman" w:eastAsia="仿宋_GB2312"/>
          <w:b/>
          <w:sz w:val="32"/>
          <w:szCs w:val="32"/>
          <w:lang w:val="en-US" w:eastAsia="zh-CN"/>
        </w:rPr>
      </w:pPr>
      <w:r>
        <w:rPr>
          <w:rFonts w:hint="eastAsia" w:ascii="Times New Roman" w:eastAsia="仿宋_GB2312"/>
          <w:b/>
          <w:sz w:val="32"/>
          <w:szCs w:val="32"/>
          <w:lang w:val="en-US" w:eastAsia="zh-CN"/>
        </w:rPr>
        <w:tab/>
      </w:r>
      <w:r>
        <w:rPr>
          <w:rFonts w:hint="eastAsia" w:ascii="Times New Roman" w:eastAsia="仿宋_GB2312"/>
          <w:b/>
          <w:sz w:val="32"/>
          <w:szCs w:val="32"/>
          <w:lang w:val="en-US" w:eastAsia="zh-CN"/>
        </w:rPr>
        <w:t>2025年本单位无民生项目和重点支出项目。因此没有绩效目标、绩效自评结果、绩效评价报告等相关信息。</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（三）</w:t>
      </w:r>
      <w:r>
        <w:rPr>
          <w:rFonts w:hint="eastAsia" w:ascii="Times New Roman" w:eastAsia="仿宋_GB2312"/>
          <w:b/>
          <w:sz w:val="32"/>
          <w:szCs w:val="32"/>
          <w:lang w:eastAsia="zh-CN"/>
        </w:rPr>
        <w:t>单位</w:t>
      </w:r>
      <w:r>
        <w:rPr>
          <w:rFonts w:ascii="Times New Roman" w:eastAsia="仿宋_GB2312"/>
          <w:b/>
          <w:sz w:val="32"/>
          <w:szCs w:val="32"/>
        </w:rPr>
        <w:t>评价项目绩效评价结果（如有）</w:t>
      </w:r>
    </w:p>
    <w:p>
      <w:pPr>
        <w:widowControl/>
        <w:spacing w:before="0" w:beforeLines="0" w:beforeAutospacing="0" w:after="0" w:afterLines="0" w:afterAutospacing="0" w:line="360" w:lineRule="auto"/>
        <w:ind w:firstLine="1600" w:firstLineChars="500"/>
        <w:jc w:val="left"/>
        <w:rPr>
          <w:rFonts w:hint="eastAsia" w:ascii="Times New Roman" w:eastAsia="仿宋_GB2312"/>
          <w:sz w:val="32"/>
          <w:szCs w:val="32"/>
          <w:lang w:val="en-US" w:eastAsia="zh-CN"/>
        </w:rPr>
      </w:pPr>
      <w:r>
        <w:rPr>
          <w:rFonts w:hint="eastAsia" w:ascii="Times New Roman" w:eastAsia="仿宋_GB2312"/>
          <w:sz w:val="32"/>
          <w:szCs w:val="32"/>
          <w:lang w:val="en-US" w:eastAsia="zh-CN"/>
        </w:rPr>
        <w:t>无</w:t>
      </w:r>
    </w:p>
    <w:p>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w:t>
      </w:r>
      <w:r>
        <w:rPr>
          <w:rFonts w:hint="eastAsia" w:ascii="Times New Roman" w:eastAsia="仿宋_GB2312"/>
          <w:b w:val="0"/>
          <w:sz w:val="32"/>
          <w:szCs w:val="32"/>
          <w:lang w:eastAsia="zh-CN"/>
        </w:rPr>
        <w:t>单位</w:t>
      </w:r>
      <w:r>
        <w:rPr>
          <w:rFonts w:ascii="Times New Roman" w:eastAsia="仿宋_GB2312"/>
          <w:b w:val="0"/>
          <w:sz w:val="32"/>
          <w:szCs w:val="32"/>
        </w:rPr>
        <w:t>取得的财政预算资金。</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w:t>
      </w:r>
      <w:r>
        <w:rPr>
          <w:rFonts w:hint="eastAsia" w:ascii="Times New Roman" w:eastAsia="仿宋_GB2312"/>
          <w:b w:val="0"/>
          <w:sz w:val="32"/>
          <w:szCs w:val="32"/>
          <w:lang w:eastAsia="zh-CN"/>
        </w:rPr>
        <w:t>单位</w:t>
      </w:r>
      <w:r>
        <w:rPr>
          <w:rFonts w:ascii="Times New Roman" w:eastAsia="仿宋_GB2312"/>
          <w:b w:val="0"/>
          <w:sz w:val="32"/>
          <w:szCs w:val="32"/>
        </w:rPr>
        <w:t>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w:t>
      </w:r>
      <w:r>
        <w:rPr>
          <w:rFonts w:hint="eastAsia" w:ascii="Times New Roman" w:eastAsia="仿宋_GB2312"/>
          <w:b w:val="0"/>
          <w:sz w:val="32"/>
          <w:szCs w:val="32"/>
          <w:lang w:eastAsia="zh-CN"/>
        </w:rPr>
        <w:t>单位</w:t>
      </w:r>
      <w:r>
        <w:rPr>
          <w:rFonts w:ascii="Times New Roman" w:eastAsia="仿宋_GB2312"/>
          <w:b w:val="0"/>
          <w:sz w:val="32"/>
          <w:szCs w:val="32"/>
        </w:rPr>
        <w:t>集中安排的用于购置固定资产、战备性和应急性储备、土地和无形资产，以及购建基础设施、大型修缮和财政支持企业更新改造所发生的支出。</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w:t>
      </w:r>
      <w:r>
        <w:rPr>
          <w:rFonts w:hint="eastAsia" w:ascii="Times New Roman" w:eastAsia="仿宋_GB2312"/>
          <w:b w:val="0"/>
          <w:sz w:val="32"/>
          <w:szCs w:val="32"/>
          <w:lang w:eastAsia="zh-CN"/>
        </w:rPr>
        <w:t>单位</w:t>
      </w:r>
      <w:r>
        <w:rPr>
          <w:rFonts w:ascii="Times New Roman" w:eastAsia="仿宋_GB2312"/>
          <w:b w:val="0"/>
          <w:sz w:val="32"/>
          <w:szCs w:val="32"/>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pPr>
        <w:widowControl/>
        <w:spacing w:before="0" w:beforeLines="0" w:beforeAutospacing="0" w:after="0" w:afterLines="0" w:afterAutospacing="0" w:line="360" w:lineRule="auto"/>
        <w:ind w:firstLine="642"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Calibri Light">
    <w:altName w:val="DejaVu Sans"/>
    <w:panose1 w:val="020F0302020204030204"/>
    <w:charset w:val="00"/>
    <w:family w:val="auto"/>
    <w:pitch w:val="default"/>
    <w:sig w:usb0="00000000" w:usb1="00000000"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altName w:val="方正仿宋_GBK"/>
    <w:panose1 w:val="02000000000000000000"/>
    <w:charset w:val="86"/>
    <w:family w:val="auto"/>
    <w:pitch w:val="default"/>
    <w:sig w:usb0="00000000" w:usb1="00000000" w:usb2="00000012"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ArialUnicodeMS">
    <w:altName w:val="DejaVu Sans"/>
    <w:panose1 w:val="00000000000000000000"/>
    <w:charset w:val="81"/>
    <w:family w:val="auto"/>
    <w:pitch w:val="default"/>
    <w:sig w:usb0="00000000" w:usb1="00000000" w:usb2="00000010"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A554C2"/>
    <w:multiLevelType w:val="singleLevel"/>
    <w:tmpl w:val="35A554C2"/>
    <w:lvl w:ilvl="0" w:tentative="0">
      <w:start w:val="2"/>
      <w:numFmt w:val="chineseCounting"/>
      <w:suff w:val="nothing"/>
      <w:lvlText w:val="（%1）"/>
      <w:lvlJc w:val="left"/>
      <w:rPr>
        <w:rFonts w:hint="eastAsia"/>
      </w:rPr>
    </w:lvl>
  </w:abstractNum>
  <w:abstractNum w:abstractNumId="1">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7C904BE"/>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3C5DBF"/>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AF3B4C"/>
    <w:rsid w:val="17B713F6"/>
    <w:rsid w:val="184350A0"/>
    <w:rsid w:val="18935485"/>
    <w:rsid w:val="18A34206"/>
    <w:rsid w:val="18DE3B2C"/>
    <w:rsid w:val="18EF453A"/>
    <w:rsid w:val="1906685D"/>
    <w:rsid w:val="19111683"/>
    <w:rsid w:val="19353916"/>
    <w:rsid w:val="193E101D"/>
    <w:rsid w:val="198904EC"/>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155DEC"/>
    <w:rsid w:val="232C221B"/>
    <w:rsid w:val="2356249E"/>
    <w:rsid w:val="235A7573"/>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DA851DB"/>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3F21D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DC7FFD"/>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935BC9"/>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 w:val="BEA4B2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106.62</c:v>
                </c:pt>
                <c:pt idx="1">
                  <c:v>100.23</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1066200.66</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1066200.66</c:v>
                </c:pt>
                <c:pt idx="1">
                  <c:v>0</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100.23</c:v>
                </c:pt>
                <c:pt idx="1">
                  <c:v>100.23</c:v>
                </c:pt>
                <c:pt idx="2">
                  <c:v>100.23</c:v>
                </c:pt>
                <c:pt idx="3">
                  <c:v>100.23</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106.62</c:v>
                </c:pt>
                <c:pt idx="1">
                  <c:v>106.62</c:v>
                </c:pt>
                <c:pt idx="2">
                  <c:v>106.62</c:v>
                </c:pt>
                <c:pt idx="3">
                  <c:v>106.62</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100.36</c:v>
                </c:pt>
                <c:pt idx="1">
                  <c:v>100.36</c:v>
                </c:pt>
                <c:pt idx="2">
                  <c:v>100.36</c:v>
                </c:pt>
                <c:pt idx="3">
                  <c:v>100.36</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106.62</c:v>
                </c:pt>
                <c:pt idx="1">
                  <c:v>106.62</c:v>
                </c:pt>
                <c:pt idx="2">
                  <c:v>106.62</c:v>
                </c:pt>
                <c:pt idx="3">
                  <c:v>106.62</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39</Pages>
  <Words>28</Words>
  <Characters>33</Characters>
  <Lines>86</Lines>
  <Paragraphs>24</Paragraphs>
  <TotalTime>2</TotalTime>
  <ScaleCrop>false</ScaleCrop>
  <LinksUpToDate>false</LinksUpToDate>
  <CharactersWithSpaces>33</CharactersWithSpaces>
  <Application>WPS Office_11.8.2.12185_F1E327BC-269C-435d-A152-05C5408002CA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2023-08-04T15:55:00Z</dcterms:created>
  <dc:creator>王明新TIAD</dc:creator>
  <cp:lastModifiedBy>uos</cp:lastModifiedBy>
  <cp:lastPrinted>2023-08-04T09:00:00Z</cp:lastPrinted>
  <dcterms:modified xsi:type="dcterms:W3CDTF">2026-10-09T11:37:05Z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2052-11.8.2.12185</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eyJoZGlkIjoiMzVkNjQxMzUwZjliMzIxNTI2OGM4NmZjZTZiMjFmODQiLCJ1c2VySWQiOiIxMjU4NTU1Mzk5In0=</vt:lpwstr>
  </property>
</Properties>
</file>