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2512B0">
      <w:pPr>
        <w:adjustRightInd w:val="0"/>
        <w:snapToGrid w:val="0"/>
        <w:spacing w:line="560" w:lineRule="exact"/>
        <w:rPr>
          <w:rFonts w:hint="eastAsia" w:ascii="黑体" w:hAnsi="黑体" w:eastAsia="黑体" w:cs="黑体"/>
          <w:sz w:val="32"/>
          <w:szCs w:val="32"/>
        </w:rPr>
      </w:pPr>
      <w:r>
        <w:rPr>
          <w:rFonts w:hint="eastAsia" w:ascii="黑体" w:hAnsi="黑体" w:eastAsia="黑体" w:cs="黑体"/>
          <w:sz w:val="32"/>
          <w:szCs w:val="32"/>
        </w:rPr>
        <w:t>附件4</w:t>
      </w:r>
    </w:p>
    <w:p w14:paraId="170F943B">
      <w:pPr>
        <w:spacing w:line="560" w:lineRule="exact"/>
        <w:jc w:val="center"/>
        <w:rPr>
          <w:rFonts w:ascii="宋体" w:hAnsi="宋体" w:cs="宋体"/>
          <w:b/>
          <w:bCs/>
          <w:sz w:val="44"/>
          <w:szCs w:val="44"/>
        </w:rPr>
      </w:pPr>
    </w:p>
    <w:p w14:paraId="29835CEE">
      <w:pPr>
        <w:spacing w:line="560" w:lineRule="exact"/>
        <w:jc w:val="center"/>
        <w:rPr>
          <w:rFonts w:hint="default" w:ascii="宋体" w:hAnsi="宋体" w:eastAsia="宋体" w:cs="宋体"/>
          <w:b/>
          <w:bCs/>
          <w:sz w:val="44"/>
          <w:szCs w:val="44"/>
          <w:lang w:val="en-US" w:eastAsia="zh-CN"/>
        </w:rPr>
      </w:pPr>
      <w:r>
        <w:rPr>
          <w:rFonts w:hint="eastAsia" w:ascii="宋体" w:hAnsi="宋体" w:cs="宋体"/>
          <w:b/>
          <w:bCs/>
          <w:sz w:val="44"/>
          <w:szCs w:val="44"/>
          <w:lang w:val="en-US" w:eastAsia="zh-CN"/>
        </w:rPr>
        <w:t>河北赞皇经济开发区管理委员会</w:t>
      </w:r>
    </w:p>
    <w:p w14:paraId="622ED6C1">
      <w:pPr>
        <w:spacing w:line="560" w:lineRule="exact"/>
        <w:jc w:val="center"/>
        <w:rPr>
          <w:rFonts w:ascii="宋体" w:hAnsi="宋体" w:cs="宋体"/>
          <w:b/>
          <w:bCs/>
          <w:sz w:val="44"/>
          <w:szCs w:val="44"/>
        </w:rPr>
      </w:pPr>
      <w:r>
        <w:rPr>
          <w:rFonts w:hint="eastAsia" w:ascii="宋体" w:hAnsi="宋体" w:cs="宋体"/>
          <w:b/>
          <w:bCs/>
          <w:sz w:val="44"/>
          <w:szCs w:val="44"/>
        </w:rPr>
        <w:t>202</w:t>
      </w:r>
      <w:r>
        <w:rPr>
          <w:rFonts w:hint="eastAsia" w:ascii="宋体" w:hAnsi="宋体" w:cs="宋体"/>
          <w:b/>
          <w:bCs/>
          <w:sz w:val="44"/>
          <w:szCs w:val="44"/>
          <w:lang w:val="en-US" w:eastAsia="zh-CN"/>
        </w:rPr>
        <w:t>5</w:t>
      </w:r>
      <w:r>
        <w:rPr>
          <w:rFonts w:hint="eastAsia" w:ascii="宋体" w:hAnsi="宋体" w:cs="宋体"/>
          <w:b/>
          <w:bCs/>
          <w:sz w:val="44"/>
          <w:szCs w:val="44"/>
        </w:rPr>
        <w:t>年度整体支出绩效自评报告</w:t>
      </w:r>
    </w:p>
    <w:p w14:paraId="0E0507A0">
      <w:pPr>
        <w:spacing w:line="560" w:lineRule="exact"/>
        <w:jc w:val="center"/>
        <w:rPr>
          <w:rFonts w:ascii="华文楷体" w:eastAsia="华文楷体"/>
          <w:sz w:val="32"/>
          <w:szCs w:val="32"/>
        </w:rPr>
      </w:pPr>
    </w:p>
    <w:p w14:paraId="7E3E0C9B">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lang w:val="en-US" w:eastAsia="zh-CN"/>
        </w:rPr>
        <w:t>根据赞</w:t>
      </w:r>
      <w:r>
        <w:rPr>
          <w:rFonts w:hint="eastAsia" w:ascii="仿宋" w:hAnsi="仿宋" w:eastAsia="仿宋"/>
          <w:sz w:val="32"/>
          <w:szCs w:val="32"/>
          <w:lang w:eastAsia="zh-CN"/>
        </w:rPr>
        <w:t>皇县财政局《关于</w:t>
      </w:r>
      <w:r>
        <w:rPr>
          <w:rFonts w:hint="eastAsia" w:ascii="仿宋" w:hAnsi="仿宋" w:eastAsia="仿宋"/>
          <w:sz w:val="32"/>
          <w:szCs w:val="32"/>
        </w:rPr>
        <w:t>开展 202</w:t>
      </w:r>
      <w:r>
        <w:rPr>
          <w:rFonts w:hint="eastAsia" w:ascii="仿宋" w:hAnsi="仿宋" w:eastAsia="仿宋"/>
          <w:sz w:val="32"/>
          <w:szCs w:val="32"/>
          <w:lang w:val="en-US" w:eastAsia="zh-CN"/>
        </w:rPr>
        <w:t>6</w:t>
      </w:r>
      <w:r>
        <w:rPr>
          <w:rFonts w:hint="eastAsia" w:ascii="仿宋" w:hAnsi="仿宋" w:eastAsia="仿宋"/>
          <w:sz w:val="32"/>
          <w:szCs w:val="32"/>
        </w:rPr>
        <w:t>年绩效自评工作的</w:t>
      </w:r>
      <w:r>
        <w:rPr>
          <w:rFonts w:hint="eastAsia" w:ascii="仿宋" w:hAnsi="仿宋" w:eastAsia="仿宋"/>
          <w:sz w:val="32"/>
          <w:szCs w:val="32"/>
          <w:lang w:eastAsia="zh-CN"/>
        </w:rPr>
        <w:t>通知》</w:t>
      </w:r>
      <w:r>
        <w:rPr>
          <w:rFonts w:hint="eastAsia" w:ascii="仿宋" w:hAnsi="仿宋" w:eastAsia="仿宋"/>
          <w:sz w:val="32"/>
          <w:szCs w:val="32"/>
        </w:rPr>
        <w:t>文件精神，遵循“科学性、规范性、客观性和公正性”的原则，对</w:t>
      </w:r>
      <w:r>
        <w:rPr>
          <w:rFonts w:hint="eastAsia" w:ascii="仿宋" w:hAnsi="仿宋" w:eastAsia="仿宋"/>
          <w:sz w:val="32"/>
          <w:szCs w:val="32"/>
          <w:lang w:val="en-US" w:eastAsia="zh-CN"/>
        </w:rPr>
        <w:t>河北赞皇经济开发区管理委员会</w:t>
      </w:r>
      <w:r>
        <w:rPr>
          <w:rFonts w:hint="eastAsia" w:ascii="仿宋" w:hAnsi="仿宋" w:eastAsia="仿宋"/>
          <w:sz w:val="32"/>
          <w:szCs w:val="32"/>
        </w:rPr>
        <w:t>202</w:t>
      </w:r>
      <w:r>
        <w:rPr>
          <w:rFonts w:hint="eastAsia" w:ascii="仿宋" w:hAnsi="仿宋" w:eastAsia="仿宋"/>
          <w:sz w:val="32"/>
          <w:szCs w:val="32"/>
          <w:lang w:val="en-US" w:eastAsia="zh-CN"/>
        </w:rPr>
        <w:t>5</w:t>
      </w:r>
      <w:r>
        <w:rPr>
          <w:rFonts w:hint="eastAsia" w:ascii="仿宋" w:hAnsi="仿宋" w:eastAsia="仿宋"/>
          <w:sz w:val="32"/>
          <w:szCs w:val="32"/>
        </w:rPr>
        <w:t>年整体支出情况实施了财政支出绩效自评价，形成本评价报告。</w:t>
      </w:r>
    </w:p>
    <w:p w14:paraId="2A4B33FD">
      <w:pPr>
        <w:adjustRightInd w:val="0"/>
        <w:snapToGrid w:val="0"/>
        <w:spacing w:line="560" w:lineRule="exact"/>
        <w:rPr>
          <w:rFonts w:ascii="黑体" w:hAnsi="黑体" w:eastAsia="黑体"/>
          <w:b/>
          <w:bCs/>
          <w:sz w:val="32"/>
          <w:szCs w:val="36"/>
        </w:rPr>
      </w:pPr>
      <w:r>
        <w:rPr>
          <w:rFonts w:hint="eastAsia" w:ascii="黑体" w:hAnsi="黑体" w:eastAsia="黑体"/>
          <w:sz w:val="32"/>
          <w:szCs w:val="32"/>
        </w:rPr>
        <w:t xml:space="preserve">     一、部门</w:t>
      </w:r>
      <w:r>
        <w:rPr>
          <w:rFonts w:hint="eastAsia" w:ascii="黑体" w:hAnsi="黑体" w:eastAsia="黑体"/>
          <w:sz w:val="32"/>
          <w:szCs w:val="36"/>
        </w:rPr>
        <w:t>基本情况</w:t>
      </w:r>
    </w:p>
    <w:p w14:paraId="24C68C21">
      <w:pPr>
        <w:keepNext w:val="0"/>
        <w:keepLines w:val="0"/>
        <w:pageBreakBefore w:val="0"/>
        <w:kinsoku/>
        <w:wordWrap/>
        <w:overflowPunct/>
        <w:topLinePunct w:val="0"/>
        <w:autoSpaceDE/>
        <w:autoSpaceDN/>
        <w:bidi w:val="0"/>
        <w:adjustRightInd w:val="0"/>
        <w:snapToGrid w:val="0"/>
        <w:spacing w:line="560" w:lineRule="exact"/>
        <w:ind w:firstLine="640" w:firstLineChars="200"/>
        <w:rPr>
          <w:rFonts w:hint="eastAsia" w:ascii="楷体" w:hAnsi="楷体" w:eastAsia="楷体" w:cs="楷体_GB2312"/>
          <w:bCs/>
          <w:sz w:val="32"/>
          <w:szCs w:val="32"/>
        </w:rPr>
      </w:pPr>
      <w:r>
        <w:rPr>
          <w:rFonts w:hint="eastAsia" w:ascii="楷体" w:hAnsi="楷体" w:eastAsia="楷体" w:cs="楷体_GB2312"/>
          <w:bCs/>
          <w:sz w:val="32"/>
          <w:szCs w:val="32"/>
        </w:rPr>
        <w:t>（一）部门概况</w:t>
      </w:r>
    </w:p>
    <w:p w14:paraId="1E2E7B28">
      <w:pPr>
        <w:pStyle w:val="9"/>
        <w:keepNext w:val="0"/>
        <w:keepLines w:val="0"/>
        <w:pageBreakBefore w:val="0"/>
        <w:kinsoku/>
        <w:wordWrap/>
        <w:overflowPunct/>
        <w:topLinePunct w:val="0"/>
        <w:autoSpaceDE/>
        <w:autoSpaceDN/>
        <w:bidi w:val="0"/>
        <w:spacing w:line="560" w:lineRule="exact"/>
        <w:rPr>
          <w:rFonts w:hint="eastAsia" w:ascii="仿宋" w:hAnsi="仿宋" w:eastAsia="仿宋" w:cs="仿宋"/>
          <w:sz w:val="32"/>
          <w:szCs w:val="32"/>
        </w:rPr>
      </w:pPr>
      <w:r>
        <w:rPr>
          <w:rFonts w:hint="eastAsia" w:ascii="楷体" w:hAnsi="楷体" w:eastAsia="楷体" w:cs="楷体"/>
          <w:sz w:val="32"/>
          <w:szCs w:val="32"/>
        </w:rPr>
        <w:t>1、单位职责：</w:t>
      </w:r>
      <w:r>
        <w:rPr>
          <w:rFonts w:hint="eastAsia" w:ascii="仿宋" w:hAnsi="仿宋" w:eastAsia="仿宋" w:cs="仿宋"/>
          <w:sz w:val="32"/>
          <w:szCs w:val="32"/>
        </w:rPr>
        <w:t>编制辖区的总体规划和经济、社会发展规划，经批准后组织实施；编制辖区区域性城市发展规划、国土利用规划，经批准后组织实施；审批或审核辖区固定资产投资项目；负责辖区基础建设和公用设施的建设管理；负责辖区财政管理，实施辖区内财政预算决算、国有资产管理和财政监察工作；负责招商引资、进出口贸易和国内外经济技术合作；负责协调辖区内上级有关单位派驻机构的工作；负责赞皇县政府交办其他事项。</w:t>
      </w:r>
    </w:p>
    <w:p w14:paraId="5C4AFB1A">
      <w:pPr>
        <w:pStyle w:val="9"/>
        <w:keepNext w:val="0"/>
        <w:keepLines w:val="0"/>
        <w:pageBreakBefore w:val="0"/>
        <w:kinsoku/>
        <w:wordWrap/>
        <w:overflowPunct/>
        <w:topLinePunct w:val="0"/>
        <w:autoSpaceDE/>
        <w:autoSpaceDN/>
        <w:bidi w:val="0"/>
        <w:spacing w:line="560" w:lineRule="exact"/>
        <w:rPr>
          <w:rFonts w:hint="eastAsia" w:ascii="楷体" w:hAnsi="楷体" w:eastAsia="楷体" w:cs="楷体"/>
          <w:sz w:val="32"/>
          <w:szCs w:val="32"/>
        </w:rPr>
      </w:pPr>
      <w:r>
        <w:rPr>
          <w:rFonts w:hint="eastAsia" w:ascii="楷体" w:hAnsi="楷体" w:eastAsia="楷体" w:cs="楷体"/>
          <w:sz w:val="32"/>
          <w:szCs w:val="32"/>
        </w:rPr>
        <w:t>2.机构设置：</w:t>
      </w:r>
    </w:p>
    <w:p w14:paraId="2436706E">
      <w:pPr>
        <w:pStyle w:val="9"/>
        <w:keepNext w:val="0"/>
        <w:keepLines w:val="0"/>
        <w:pageBreakBefore w:val="0"/>
        <w:kinsoku/>
        <w:wordWrap/>
        <w:overflowPunct/>
        <w:topLinePunct w:val="0"/>
        <w:autoSpaceDE/>
        <w:autoSpaceDN/>
        <w:bidi w:val="0"/>
        <w:spacing w:line="560" w:lineRule="exact"/>
        <w:rPr>
          <w:rFonts w:hint="eastAsia" w:ascii="仿宋" w:hAnsi="仿宋" w:eastAsia="仿宋" w:cs="仿宋"/>
          <w:sz w:val="32"/>
          <w:szCs w:val="32"/>
          <w:lang w:eastAsia="zh-CN"/>
        </w:rPr>
      </w:pPr>
      <w:r>
        <w:rPr>
          <w:rFonts w:hint="eastAsia" w:ascii="仿宋" w:hAnsi="仿宋" w:eastAsia="仿宋" w:cs="仿宋"/>
          <w:sz w:val="32"/>
          <w:szCs w:val="32"/>
        </w:rPr>
        <w:t>按照精简、统一、效能原则，河北赞皇经济开发区党工委和管委会设5个内设机构。</w:t>
      </w:r>
      <w:r>
        <w:rPr>
          <w:rFonts w:hint="eastAsia" w:ascii="仿宋" w:hAnsi="仿宋" w:eastAsia="仿宋" w:cs="仿宋"/>
          <w:sz w:val="32"/>
          <w:szCs w:val="32"/>
          <w:lang w:eastAsia="zh-CN"/>
        </w:rPr>
        <w:t>分别是</w:t>
      </w:r>
      <w:r>
        <w:rPr>
          <w:rFonts w:hint="eastAsia" w:ascii="仿宋" w:hAnsi="仿宋" w:eastAsia="仿宋" w:cs="仿宋"/>
          <w:sz w:val="32"/>
          <w:szCs w:val="32"/>
        </w:rPr>
        <w:t>党政办公室</w:t>
      </w:r>
      <w:r>
        <w:rPr>
          <w:rFonts w:hint="eastAsia" w:ascii="仿宋" w:hAnsi="仿宋" w:eastAsia="仿宋" w:cs="仿宋"/>
          <w:sz w:val="32"/>
          <w:szCs w:val="32"/>
          <w:lang w:eastAsia="zh-CN"/>
        </w:rPr>
        <w:t>、</w:t>
      </w:r>
      <w:r>
        <w:rPr>
          <w:rFonts w:hint="eastAsia" w:ascii="仿宋" w:hAnsi="仿宋" w:eastAsia="仿宋" w:cs="仿宋"/>
          <w:sz w:val="32"/>
          <w:szCs w:val="32"/>
        </w:rPr>
        <w:t>经济发展局</w:t>
      </w:r>
      <w:r>
        <w:rPr>
          <w:rFonts w:hint="eastAsia" w:ascii="仿宋" w:hAnsi="仿宋" w:eastAsia="仿宋" w:cs="仿宋"/>
          <w:sz w:val="32"/>
          <w:szCs w:val="32"/>
          <w:lang w:eastAsia="zh-CN"/>
        </w:rPr>
        <w:t>、</w:t>
      </w:r>
      <w:r>
        <w:rPr>
          <w:rFonts w:hint="eastAsia" w:ascii="仿宋" w:hAnsi="仿宋" w:eastAsia="仿宋" w:cs="仿宋"/>
          <w:sz w:val="32"/>
          <w:szCs w:val="32"/>
        </w:rPr>
        <w:t>招商局</w:t>
      </w:r>
      <w:r>
        <w:rPr>
          <w:rFonts w:hint="eastAsia" w:ascii="仿宋" w:hAnsi="仿宋" w:eastAsia="仿宋" w:cs="仿宋"/>
          <w:sz w:val="32"/>
          <w:szCs w:val="32"/>
          <w:lang w:eastAsia="zh-CN"/>
        </w:rPr>
        <w:t>、</w:t>
      </w:r>
      <w:r>
        <w:rPr>
          <w:rFonts w:hint="eastAsia" w:ascii="仿宋" w:hAnsi="仿宋" w:eastAsia="仿宋" w:cs="仿宋"/>
          <w:sz w:val="32"/>
          <w:szCs w:val="32"/>
        </w:rPr>
        <w:t>建设管理局</w:t>
      </w:r>
      <w:r>
        <w:rPr>
          <w:rFonts w:hint="eastAsia" w:ascii="仿宋" w:hAnsi="仿宋" w:eastAsia="仿宋" w:cs="仿宋"/>
          <w:sz w:val="32"/>
          <w:szCs w:val="32"/>
          <w:lang w:eastAsia="zh-CN"/>
        </w:rPr>
        <w:t>、</w:t>
      </w:r>
      <w:r>
        <w:rPr>
          <w:rFonts w:hint="eastAsia" w:ascii="仿宋" w:hAnsi="仿宋" w:eastAsia="仿宋" w:cs="仿宋"/>
          <w:sz w:val="32"/>
          <w:szCs w:val="32"/>
        </w:rPr>
        <w:t>综合监管局</w:t>
      </w:r>
      <w:r>
        <w:rPr>
          <w:rFonts w:hint="eastAsia" w:ascii="仿宋" w:hAnsi="仿宋" w:eastAsia="仿宋" w:cs="仿宋"/>
          <w:sz w:val="32"/>
          <w:szCs w:val="32"/>
          <w:lang w:eastAsia="zh-CN"/>
        </w:rPr>
        <w:t>。</w:t>
      </w:r>
    </w:p>
    <w:p w14:paraId="4933A79F">
      <w:pPr>
        <w:keepNext w:val="0"/>
        <w:keepLines w:val="0"/>
        <w:pageBreakBefore w:val="0"/>
        <w:numPr>
          <w:ilvl w:val="0"/>
          <w:numId w:val="1"/>
        </w:numPr>
        <w:kinsoku/>
        <w:wordWrap/>
        <w:overflowPunct/>
        <w:topLinePunct w:val="0"/>
        <w:autoSpaceDE/>
        <w:autoSpaceDN/>
        <w:bidi w:val="0"/>
        <w:adjustRightInd w:val="0"/>
        <w:snapToGrid w:val="0"/>
        <w:spacing w:line="560" w:lineRule="exact"/>
        <w:ind w:firstLine="640" w:firstLineChars="200"/>
        <w:rPr>
          <w:rFonts w:hint="eastAsia" w:ascii="楷体" w:hAnsi="楷体" w:eastAsia="楷体" w:cs="楷体_GB2312"/>
          <w:bCs/>
          <w:sz w:val="32"/>
          <w:szCs w:val="32"/>
        </w:rPr>
      </w:pPr>
      <w:r>
        <w:rPr>
          <w:rFonts w:hint="eastAsia" w:ascii="楷体" w:hAnsi="楷体" w:eastAsia="楷体" w:cs="楷体_GB2312"/>
          <w:bCs/>
          <w:sz w:val="32"/>
          <w:szCs w:val="32"/>
        </w:rPr>
        <w:t>部门收支预决算情况</w:t>
      </w:r>
    </w:p>
    <w:p w14:paraId="57400720">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rPr>
          <w:rFonts w:hint="eastAsia" w:ascii="仿宋" w:hAnsi="仿宋" w:eastAsia="仿宋" w:cs="仿宋"/>
          <w:bCs/>
          <w:sz w:val="32"/>
          <w:szCs w:val="32"/>
        </w:rPr>
      </w:pPr>
      <w:r>
        <w:rPr>
          <w:rFonts w:hint="eastAsia" w:ascii="仿宋" w:hAnsi="仿宋" w:eastAsia="仿宋" w:cs="仿宋"/>
          <w:bCs/>
          <w:sz w:val="32"/>
          <w:szCs w:val="32"/>
          <w:lang w:val="en-US" w:eastAsia="zh-CN"/>
        </w:rPr>
        <w:t>2025年部门预算收</w:t>
      </w:r>
      <w:r>
        <w:rPr>
          <w:rFonts w:hint="eastAsia" w:ascii="仿宋" w:hAnsi="仿宋" w:eastAsia="仿宋" w:cs="仿宋"/>
          <w:kern w:val="2"/>
          <w:sz w:val="32"/>
          <w:szCs w:val="32"/>
          <w:lang w:val="en-US" w:eastAsia="zh-CN" w:bidi="ar-SA"/>
        </w:rPr>
        <w:t>入393.5万元，其中一般公共预算拨款393.5</w:t>
      </w:r>
      <w:r>
        <w:rPr>
          <w:rFonts w:hint="eastAsia" w:ascii="仿宋" w:hAnsi="仿宋" w:eastAsia="仿宋" w:cs="仿宋"/>
          <w:bCs/>
          <w:sz w:val="32"/>
          <w:szCs w:val="32"/>
          <w:lang w:val="en-US" w:eastAsia="zh-CN"/>
        </w:rPr>
        <w:t>万元</w:t>
      </w:r>
      <w:r>
        <w:rPr>
          <w:rFonts w:hint="eastAsia" w:ascii="仿宋" w:hAnsi="仿宋" w:eastAsia="仿宋" w:cs="仿宋"/>
          <w:kern w:val="2"/>
          <w:sz w:val="32"/>
          <w:szCs w:val="32"/>
          <w:lang w:val="en-US" w:eastAsia="zh-CN" w:bidi="ar-SA"/>
        </w:rPr>
        <w:t>。2025年部门预算支出 393.5万元，其中：人员支出207.57万元；日常公用支出34.93万元，项目支出151</w:t>
      </w:r>
      <w:r>
        <w:rPr>
          <w:rFonts w:hint="eastAsia" w:ascii="仿宋" w:hAnsi="仿宋" w:eastAsia="仿宋" w:cs="仿宋"/>
          <w:bCs/>
          <w:sz w:val="32"/>
          <w:szCs w:val="32"/>
          <w:lang w:val="en-US" w:eastAsia="zh-CN"/>
        </w:rPr>
        <w:t>万元。</w:t>
      </w:r>
    </w:p>
    <w:p w14:paraId="5D3784D0">
      <w:pPr>
        <w:numPr>
          <w:ilvl w:val="0"/>
          <w:numId w:val="0"/>
        </w:numPr>
        <w:tabs>
          <w:tab w:val="left" w:pos="1501"/>
        </w:tabs>
        <w:adjustRightInd w:val="0"/>
        <w:snapToGrid w:val="0"/>
        <w:spacing w:line="560" w:lineRule="exact"/>
        <w:ind w:firstLine="640" w:firstLineChars="200"/>
        <w:rPr>
          <w:rFonts w:ascii="楷体" w:hAnsi="楷体" w:eastAsia="楷体" w:cs="楷体_GB2312"/>
          <w:bCs/>
          <w:sz w:val="32"/>
          <w:szCs w:val="32"/>
        </w:rPr>
      </w:pPr>
      <w:r>
        <w:rPr>
          <w:rFonts w:hint="eastAsia" w:ascii="楷体" w:hAnsi="楷体" w:eastAsia="楷体" w:cs="楷体_GB2312"/>
          <w:bCs/>
          <w:sz w:val="32"/>
          <w:szCs w:val="32"/>
        </w:rPr>
        <w:t>（三）部门整体支出绩效目标、指标</w:t>
      </w:r>
    </w:p>
    <w:p w14:paraId="73C74A2E">
      <w:pPr>
        <w:keepNext w:val="0"/>
        <w:keepLines w:val="0"/>
        <w:pageBreakBefore w:val="0"/>
        <w:widowControl/>
        <w:kinsoku/>
        <w:wordWrap/>
        <w:overflowPunct/>
        <w:topLinePunct w:val="0"/>
        <w:autoSpaceDE/>
        <w:bidi w:val="0"/>
        <w:adjustRightInd/>
        <w:spacing w:line="570" w:lineRule="exact"/>
        <w:ind w:firstLine="640" w:firstLineChars="200"/>
        <w:jc w:val="both"/>
        <w:textAlignment w:val="auto"/>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lang w:val="en-US" w:eastAsia="zh-CN"/>
        </w:rPr>
        <w:t>2025年</w:t>
      </w:r>
      <w:r>
        <w:rPr>
          <w:rFonts w:hint="eastAsia" w:ascii="仿宋_GB2312" w:hAnsi="仿宋_GB2312" w:eastAsia="仿宋_GB2312" w:cs="仿宋_GB2312"/>
          <w:sz w:val="32"/>
          <w:szCs w:val="32"/>
          <w:shd w:val="clear" w:color="auto" w:fill="FFFFFF"/>
        </w:rPr>
        <w:t>，开发区</w:t>
      </w:r>
      <w:r>
        <w:rPr>
          <w:rFonts w:hint="eastAsia" w:ascii="仿宋_GB2312" w:hAnsi="仿宋_GB2312" w:eastAsia="仿宋_GB2312" w:cs="仿宋_GB2312"/>
          <w:sz w:val="32"/>
          <w:szCs w:val="32"/>
          <w:shd w:val="clear" w:color="auto" w:fill="FFFFFF"/>
          <w:lang w:eastAsia="zh-CN"/>
        </w:rPr>
        <w:t>全面贯彻党的二十大和二十届历次全会精神，坚决落实省市关于开发区工作的安排部署，</w:t>
      </w:r>
      <w:r>
        <w:rPr>
          <w:rFonts w:hint="eastAsia" w:ascii="仿宋_GB2312" w:hAnsi="仿宋_GB2312" w:eastAsia="仿宋_GB2312" w:cs="仿宋_GB2312"/>
          <w:sz w:val="32"/>
          <w:szCs w:val="32"/>
          <w:shd w:val="clear" w:color="auto" w:fill="FFFFFF"/>
        </w:rPr>
        <w:t>在县委县政府的坚强领导下，紧紧围绕县委“1567”总体工作思路，树牢“项目为王，服务争先”理念，扎实开展深入贯彻中央八项规定精神学习教育，聚焦主导产业，以招商引资为核心，以项目建设为抓手，以改革创新为动力，全力推动开发区产业升级、设施完善、服务优化、质效提升，奋力打造全县特色产业集聚高地。</w:t>
      </w:r>
    </w:p>
    <w:p w14:paraId="7106B639">
      <w:pPr>
        <w:adjustRightInd w:val="0"/>
        <w:snapToGrid w:val="0"/>
        <w:spacing w:line="560" w:lineRule="exact"/>
        <w:ind w:firstLine="640" w:firstLineChars="200"/>
        <w:rPr>
          <w:rFonts w:ascii="黑体" w:hAnsi="黑体" w:eastAsia="黑体"/>
          <w:sz w:val="32"/>
          <w:szCs w:val="32"/>
        </w:rPr>
      </w:pPr>
      <w:r>
        <w:rPr>
          <w:rFonts w:hint="eastAsia" w:ascii="黑体" w:hAnsi="黑体" w:eastAsia="黑体"/>
          <w:sz w:val="32"/>
          <w:szCs w:val="32"/>
        </w:rPr>
        <w:t>二、自评工作开展情况</w:t>
      </w:r>
    </w:p>
    <w:p w14:paraId="1A495DD1">
      <w:pPr>
        <w:keepNext w:val="0"/>
        <w:keepLines w:val="0"/>
        <w:pageBreakBefore w:val="0"/>
        <w:kinsoku/>
        <w:wordWrap/>
        <w:overflowPunct/>
        <w:topLinePunct w:val="0"/>
        <w:autoSpaceDE/>
        <w:autoSpaceDN/>
        <w:bidi w:val="0"/>
        <w:spacing w:line="560" w:lineRule="exact"/>
        <w:rPr>
          <w:rFonts w:ascii="楷体" w:hAnsi="楷体" w:eastAsia="楷体" w:cs="楷体_GB2312"/>
          <w:sz w:val="32"/>
          <w:szCs w:val="32"/>
        </w:rPr>
      </w:pPr>
      <w:r>
        <w:rPr>
          <w:rFonts w:hint="eastAsia" w:ascii="仿宋" w:hAnsi="仿宋" w:eastAsia="仿宋" w:cs="楷体_GB2312"/>
          <w:b/>
          <w:bCs/>
          <w:sz w:val="32"/>
          <w:szCs w:val="32"/>
        </w:rPr>
        <w:t xml:space="preserve">    </w:t>
      </w:r>
      <w:r>
        <w:rPr>
          <w:rFonts w:hint="eastAsia" w:ascii="楷体" w:hAnsi="楷体" w:eastAsia="楷体" w:cs="楷体_GB2312"/>
          <w:bCs/>
          <w:sz w:val="32"/>
          <w:szCs w:val="32"/>
        </w:rPr>
        <w:t>（一）自评的组织工作</w:t>
      </w:r>
    </w:p>
    <w:p w14:paraId="7D0944D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0" w:beforeAutospacing="0" w:after="0" w:afterAutospacing="0" w:line="560" w:lineRule="exact"/>
        <w:ind w:left="0" w:right="0" w:firstLine="0"/>
        <w:jc w:val="both"/>
        <w:rPr>
          <w:rFonts w:ascii="仿宋" w:hAnsi="仿宋" w:eastAsia="仿宋"/>
          <w:sz w:val="32"/>
          <w:szCs w:val="32"/>
        </w:rPr>
      </w:pPr>
      <w:r>
        <w:rPr>
          <w:rFonts w:hint="eastAsia" w:ascii="仿宋" w:hAnsi="仿宋" w:eastAsia="仿宋"/>
          <w:sz w:val="32"/>
          <w:szCs w:val="32"/>
        </w:rPr>
        <w:t xml:space="preserve">    </w:t>
      </w:r>
      <w:r>
        <w:rPr>
          <w:rFonts w:hint="eastAsia" w:ascii="仿宋" w:hAnsi="仿宋" w:eastAsia="仿宋" w:cs="黑体"/>
          <w:kern w:val="2"/>
          <w:sz w:val="32"/>
          <w:szCs w:val="32"/>
          <w:lang w:val="en-US" w:eastAsia="zh-CN" w:bidi="ar-SA"/>
        </w:rPr>
        <w:t>按照科学规范、公正公开、绩效相关的原则，依据下达的预算，对项目评价资料收集，采用定量与定性相结合，专项经费投入与产出相结合的办法，对照项目实际完成内容，评价实际实施内容与批复预算的完成情况；依据项目资金计划文件和凭证，评价项目资金下拨、到位及使用情况。</w:t>
      </w:r>
    </w:p>
    <w:p w14:paraId="1A828B5A">
      <w:pPr>
        <w:keepNext w:val="0"/>
        <w:keepLines w:val="0"/>
        <w:pageBreakBefore w:val="0"/>
        <w:numPr>
          <w:ilvl w:val="0"/>
          <w:numId w:val="2"/>
        </w:numPr>
        <w:kinsoku/>
        <w:wordWrap/>
        <w:overflowPunct/>
        <w:topLinePunct w:val="0"/>
        <w:autoSpaceDE/>
        <w:autoSpaceDN/>
        <w:bidi w:val="0"/>
        <w:spacing w:line="560" w:lineRule="exact"/>
        <w:rPr>
          <w:rFonts w:ascii="楷体" w:hAnsi="楷体" w:eastAsia="楷体" w:cs="楷体_GB2312"/>
          <w:bCs/>
          <w:sz w:val="32"/>
          <w:szCs w:val="32"/>
        </w:rPr>
      </w:pPr>
      <w:r>
        <w:rPr>
          <w:rFonts w:hint="eastAsia" w:ascii="楷体" w:hAnsi="楷体" w:eastAsia="楷体" w:cs="楷体_GB2312"/>
          <w:bCs/>
          <w:sz w:val="32"/>
          <w:szCs w:val="32"/>
        </w:rPr>
        <w:t>自评的方法和过程</w:t>
      </w:r>
    </w:p>
    <w:p w14:paraId="254C23FE">
      <w:pPr>
        <w:pStyle w:val="6"/>
        <w:keepNext w:val="0"/>
        <w:keepLines w:val="0"/>
        <w:pageBreakBefore w:val="0"/>
        <w:numPr>
          <w:ilvl w:val="0"/>
          <w:numId w:val="0"/>
        </w:numPr>
        <w:kinsoku/>
        <w:wordWrap/>
        <w:overflowPunct/>
        <w:topLinePunct w:val="0"/>
        <w:autoSpaceDE/>
        <w:autoSpaceDN/>
        <w:bidi w:val="0"/>
        <w:spacing w:line="560" w:lineRule="exact"/>
        <w:rPr>
          <w:rFonts w:ascii="楷体" w:hAnsi="楷体" w:eastAsia="楷体" w:cs="楷体_GB2312"/>
          <w:bCs/>
          <w:sz w:val="32"/>
          <w:szCs w:val="32"/>
        </w:rPr>
      </w:pPr>
      <w:r>
        <w:rPr>
          <w:rFonts w:hint="eastAsia"/>
          <w:lang w:val="en-US" w:eastAsia="zh-CN"/>
        </w:rPr>
        <w:t xml:space="preserve">      </w:t>
      </w:r>
      <w:r>
        <w:rPr>
          <w:rFonts w:hint="eastAsia" w:ascii="仿宋" w:hAnsi="仿宋" w:eastAsia="仿宋" w:cs="仿宋"/>
          <w:kern w:val="2"/>
          <w:sz w:val="32"/>
          <w:szCs w:val="32"/>
          <w:lang w:val="en-US" w:eastAsia="zh-CN" w:bidi="ar-SA"/>
        </w:rPr>
        <w:t>采取自评和他评相结合方式，成立项目自评小组，结合评价内容，做到有计划，有安排，扎实开展本次自评工作。按照上级下达的项目支出绩效评价指标体系，自评小组针对申报内容、资金兑现、财务管理、社会效益等做出自我评价，认真听取企业建议和意见，做好自评工作。</w:t>
      </w:r>
    </w:p>
    <w:p w14:paraId="7D227371">
      <w:pPr>
        <w:spacing w:line="560" w:lineRule="exact"/>
        <w:rPr>
          <w:rFonts w:ascii="黑体" w:hAnsi="黑体" w:eastAsia="黑体"/>
          <w:b/>
          <w:bCs/>
          <w:sz w:val="32"/>
          <w:szCs w:val="32"/>
        </w:rPr>
      </w:pPr>
      <w:r>
        <w:rPr>
          <w:rFonts w:hint="eastAsia" w:ascii="黑体" w:hAnsi="黑体" w:eastAsia="黑体"/>
          <w:sz w:val="32"/>
          <w:szCs w:val="32"/>
        </w:rPr>
        <w:t xml:space="preserve">    三、部门整体支出绩效目标实现情况及指标分析</w:t>
      </w:r>
    </w:p>
    <w:p w14:paraId="648E07ED">
      <w:pPr>
        <w:numPr>
          <w:ilvl w:val="0"/>
          <w:numId w:val="3"/>
        </w:numPr>
        <w:spacing w:line="560" w:lineRule="exact"/>
        <w:ind w:firstLine="640" w:firstLineChars="200"/>
        <w:rPr>
          <w:rFonts w:ascii="楷体" w:hAnsi="楷体" w:eastAsia="楷体" w:cs="楷体_GB2312"/>
          <w:bCs/>
          <w:sz w:val="32"/>
          <w:szCs w:val="32"/>
        </w:rPr>
      </w:pPr>
      <w:r>
        <w:rPr>
          <w:rFonts w:hint="eastAsia" w:ascii="楷体" w:hAnsi="楷体" w:eastAsia="楷体" w:cs="楷体_GB2312"/>
          <w:bCs/>
          <w:sz w:val="32"/>
          <w:szCs w:val="32"/>
        </w:rPr>
        <w:t>总体绩效目标实现情况</w:t>
      </w:r>
    </w:p>
    <w:p w14:paraId="03FA1050">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lang w:val="en-US" w:eastAsia="zh-CN"/>
        </w:rPr>
        <w:t>1、</w:t>
      </w:r>
      <w:r>
        <w:rPr>
          <w:rFonts w:hint="eastAsia" w:ascii="仿宋" w:hAnsi="仿宋" w:eastAsia="仿宋"/>
          <w:sz w:val="32"/>
          <w:szCs w:val="32"/>
        </w:rPr>
        <w:t>全面加大招商力度，每季度均举办一次重点项目集中签约仪式，四次集中签约涵盖能源、食品加工、医疗器械、机械制造等领域，为全县抓项目扩投资、抓产业优结构、抓经济稳增长注入了强劲动力。优化营商环境，积极开展多种招商方式，重大项目要稳步跟进推动。</w:t>
      </w:r>
      <w:r>
        <w:rPr>
          <w:rFonts w:hint="eastAsia" w:ascii="仿宋" w:hAnsi="仿宋" w:eastAsia="仿宋"/>
          <w:sz w:val="32"/>
          <w:szCs w:val="32"/>
          <w:lang w:val="en-US" w:eastAsia="zh-CN"/>
        </w:rPr>
        <w:t>2、</w:t>
      </w:r>
      <w:r>
        <w:rPr>
          <w:rFonts w:hint="eastAsia" w:ascii="仿宋" w:hAnsi="仿宋" w:eastAsia="仿宋"/>
          <w:sz w:val="32"/>
          <w:szCs w:val="32"/>
        </w:rPr>
        <w:t>全力推进项目建设，加大项目落地监督力度，对开工项目的手续办理和工程进度进行督导盯办。</w:t>
      </w:r>
      <w:r>
        <w:rPr>
          <w:rFonts w:hint="eastAsia" w:ascii="仿宋" w:hAnsi="仿宋" w:eastAsia="仿宋"/>
          <w:sz w:val="32"/>
          <w:szCs w:val="32"/>
          <w:lang w:val="en-US" w:eastAsia="zh-CN"/>
        </w:rPr>
        <w:t>3、</w:t>
      </w:r>
      <w:r>
        <w:rPr>
          <w:rFonts w:hint="eastAsia" w:ascii="仿宋" w:hAnsi="仿宋" w:eastAsia="仿宋"/>
          <w:sz w:val="32"/>
          <w:szCs w:val="32"/>
        </w:rPr>
        <w:t>完善园区基础设施建设，改善园区形象，提升园区承载力。</w:t>
      </w:r>
      <w:r>
        <w:rPr>
          <w:rFonts w:hint="eastAsia" w:ascii="仿宋" w:hAnsi="仿宋" w:eastAsia="仿宋"/>
          <w:sz w:val="32"/>
          <w:szCs w:val="32"/>
          <w:lang w:val="en-US" w:eastAsia="zh-CN"/>
        </w:rPr>
        <w:t>4、</w:t>
      </w:r>
      <w:r>
        <w:rPr>
          <w:rFonts w:hint="eastAsia" w:ascii="仿宋" w:hAnsi="仿宋" w:eastAsia="仿宋"/>
          <w:sz w:val="32"/>
          <w:szCs w:val="32"/>
        </w:rPr>
        <w:t>支持产业发展，坚持“亩均论英雄”的鲜明导向，着力培育高端高新技术产业，提升开发区综合实力。</w:t>
      </w:r>
      <w:r>
        <w:rPr>
          <w:rFonts w:hint="eastAsia" w:ascii="仿宋" w:hAnsi="仿宋" w:eastAsia="仿宋"/>
          <w:sz w:val="32"/>
          <w:szCs w:val="32"/>
          <w:lang w:val="en-US" w:eastAsia="zh-CN"/>
        </w:rPr>
        <w:t>5、</w:t>
      </w:r>
      <w:r>
        <w:rPr>
          <w:rFonts w:hint="eastAsia" w:ascii="仿宋" w:hAnsi="仿宋" w:eastAsia="仿宋"/>
          <w:sz w:val="32"/>
          <w:szCs w:val="32"/>
        </w:rPr>
        <w:t>抓好开发区经济运行，准确把握园区企业运行情况，切实科学做好经济运行上报工作，为全年省、市开发区考核进位奠定良好基础，确保综合考评位次前移。</w:t>
      </w:r>
      <w:r>
        <w:rPr>
          <w:rFonts w:hint="eastAsia" w:ascii="仿宋" w:hAnsi="仿宋" w:eastAsia="仿宋"/>
          <w:sz w:val="32"/>
          <w:szCs w:val="32"/>
          <w:lang w:val="en-US" w:eastAsia="zh-CN"/>
        </w:rPr>
        <w:t>6、</w:t>
      </w:r>
      <w:r>
        <w:rPr>
          <w:rFonts w:hint="eastAsia" w:ascii="仿宋" w:hAnsi="仿宋" w:eastAsia="仿宋"/>
          <w:sz w:val="32"/>
          <w:szCs w:val="32"/>
        </w:rPr>
        <w:t>全力开展空气质量专项治理，对园区道路洒水及两侧保洁，根据天气适时加大对园区道路洒水的管理，并做好日常环卫人员的管理，安排专人，建立机制，定时清理园区内垃圾，确保园区道路整洁卫生。</w:t>
      </w:r>
    </w:p>
    <w:p w14:paraId="30FFA010">
      <w:pPr>
        <w:spacing w:line="560" w:lineRule="exact"/>
        <w:rPr>
          <w:rFonts w:ascii="楷体" w:hAnsi="楷体" w:eastAsia="楷体"/>
          <w:bCs/>
          <w:sz w:val="32"/>
          <w:szCs w:val="32"/>
        </w:rPr>
      </w:pPr>
      <w:r>
        <w:rPr>
          <w:rFonts w:hint="eastAsia" w:ascii="仿宋" w:hAnsi="仿宋" w:eastAsia="仿宋" w:cs="楷体_GB2312"/>
          <w:b/>
          <w:bCs/>
          <w:sz w:val="32"/>
          <w:szCs w:val="32"/>
        </w:rPr>
        <w:t xml:space="preserve">    </w:t>
      </w:r>
      <w:r>
        <w:rPr>
          <w:rFonts w:hint="eastAsia" w:ascii="楷体" w:hAnsi="楷体" w:eastAsia="楷体" w:cs="楷体_GB2312"/>
          <w:bCs/>
          <w:sz w:val="32"/>
          <w:szCs w:val="32"/>
        </w:rPr>
        <w:t>（二）分项绩效目标实现情况及指标分析</w:t>
      </w:r>
    </w:p>
    <w:p w14:paraId="43412EDE">
      <w:pPr>
        <w:keepNext w:val="0"/>
        <w:keepLines w:val="0"/>
        <w:pageBreakBefore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spacing w:line="560" w:lineRule="exact"/>
        <w:ind w:firstLine="560"/>
        <w:rPr>
          <w:rFonts w:hint="eastAsia" w:ascii="仿宋" w:hAnsi="仿宋" w:eastAsia="仿宋" w:cs="仿宋"/>
          <w:b w:val="0"/>
          <w:bCs/>
          <w:sz w:val="32"/>
        </w:rPr>
      </w:pPr>
      <w:r>
        <w:rPr>
          <w:rFonts w:hint="eastAsia" w:ascii="仿宋" w:hAnsi="仿宋" w:eastAsia="仿宋" w:cs="仿宋"/>
          <w:b w:val="0"/>
          <w:bCs/>
          <w:sz w:val="32"/>
          <w:lang w:val="en-US" w:eastAsia="zh-CN"/>
        </w:rPr>
        <w:t>1、</w:t>
      </w:r>
      <w:r>
        <w:rPr>
          <w:rFonts w:hint="eastAsia" w:ascii="仿宋" w:hAnsi="仿宋" w:eastAsia="仿宋" w:cs="仿宋"/>
          <w:b w:val="0"/>
          <w:bCs/>
          <w:sz w:val="32"/>
        </w:rPr>
        <w:t>组织编制开发区发展规划和计划</w:t>
      </w:r>
    </w:p>
    <w:p w14:paraId="662A7D4B">
      <w:pPr>
        <w:keepNext w:val="0"/>
        <w:keepLines w:val="0"/>
        <w:pageBreakBefore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spacing w:line="560" w:lineRule="exact"/>
        <w:ind w:firstLine="560"/>
        <w:rPr>
          <w:rFonts w:hint="eastAsia" w:ascii="仿宋" w:hAnsi="仿宋" w:eastAsia="仿宋" w:cs="仿宋"/>
          <w:b/>
          <w:sz w:val="32"/>
        </w:rPr>
      </w:pPr>
      <w:r>
        <w:rPr>
          <w:rFonts w:hint="eastAsia" w:ascii="仿宋" w:hAnsi="仿宋" w:eastAsia="仿宋" w:cs="仿宋"/>
          <w:b w:val="0"/>
          <w:bCs/>
          <w:sz w:val="32"/>
        </w:rPr>
        <w:t>绩效目标：编制开发区发</w:t>
      </w:r>
      <w:r>
        <w:rPr>
          <w:rFonts w:hint="eastAsia" w:ascii="仿宋" w:hAnsi="仿宋" w:eastAsia="仿宋" w:cs="仿宋"/>
          <w:sz w:val="32"/>
        </w:rPr>
        <w:t>展规划及产业布局规划，确保年度发展规划和重点计划与开发区发展中长期规划的衔接和协调。</w:t>
      </w:r>
    </w:p>
    <w:p w14:paraId="17AFB397">
      <w:pPr>
        <w:keepNext w:val="0"/>
        <w:keepLines w:val="0"/>
        <w:pageBreakBefore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spacing w:line="560" w:lineRule="exact"/>
        <w:ind w:firstLine="560"/>
        <w:rPr>
          <w:rFonts w:hint="eastAsia" w:ascii="仿宋" w:hAnsi="仿宋" w:eastAsia="仿宋" w:cs="仿宋"/>
          <w:b w:val="0"/>
          <w:bCs/>
          <w:sz w:val="32"/>
        </w:rPr>
      </w:pPr>
      <w:r>
        <w:rPr>
          <w:rFonts w:hint="eastAsia" w:ascii="仿宋" w:hAnsi="仿宋" w:eastAsia="仿宋" w:cs="仿宋"/>
          <w:b w:val="0"/>
          <w:bCs/>
          <w:sz w:val="32"/>
        </w:rPr>
        <w:t>绩效指标：规划编制完成率≥90%。</w:t>
      </w:r>
    </w:p>
    <w:p w14:paraId="1513EA7E">
      <w:pPr>
        <w:keepNext w:val="0"/>
        <w:keepLines w:val="0"/>
        <w:pageBreakBefore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spacing w:line="560" w:lineRule="exact"/>
        <w:ind w:firstLine="560"/>
        <w:rPr>
          <w:rFonts w:hint="eastAsia" w:ascii="仿宋" w:hAnsi="仿宋" w:eastAsia="仿宋" w:cs="仿宋"/>
          <w:b w:val="0"/>
          <w:bCs/>
          <w:sz w:val="32"/>
        </w:rPr>
      </w:pPr>
      <w:r>
        <w:rPr>
          <w:rFonts w:hint="eastAsia" w:ascii="仿宋" w:hAnsi="仿宋" w:eastAsia="仿宋" w:cs="仿宋"/>
          <w:b w:val="0"/>
          <w:bCs/>
          <w:sz w:val="32"/>
          <w:lang w:val="en-US" w:eastAsia="zh-CN"/>
        </w:rPr>
        <w:t>2、</w:t>
      </w:r>
      <w:r>
        <w:rPr>
          <w:rFonts w:hint="eastAsia" w:ascii="仿宋" w:hAnsi="仿宋" w:eastAsia="仿宋" w:cs="仿宋"/>
          <w:b w:val="0"/>
          <w:bCs/>
          <w:sz w:val="32"/>
        </w:rPr>
        <w:t>招商引资工作和项目建设</w:t>
      </w:r>
    </w:p>
    <w:p w14:paraId="03B3820A">
      <w:pPr>
        <w:keepNext w:val="0"/>
        <w:keepLines w:val="0"/>
        <w:pageBreakBefore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spacing w:line="560" w:lineRule="exact"/>
        <w:ind w:firstLine="560"/>
        <w:rPr>
          <w:rFonts w:hint="eastAsia" w:ascii="仿宋" w:hAnsi="仿宋" w:eastAsia="仿宋" w:cs="仿宋"/>
          <w:b w:val="0"/>
          <w:bCs/>
          <w:sz w:val="32"/>
        </w:rPr>
      </w:pPr>
      <w:r>
        <w:rPr>
          <w:rFonts w:hint="eastAsia" w:ascii="仿宋" w:hAnsi="仿宋" w:eastAsia="仿宋" w:cs="仿宋"/>
          <w:b w:val="0"/>
          <w:bCs/>
          <w:sz w:val="32"/>
        </w:rPr>
        <w:t>绩效目标：引进3-5个总投资5亿元以上的项目，确保重点项目顺利建设。</w:t>
      </w:r>
    </w:p>
    <w:p w14:paraId="66B00E39">
      <w:pPr>
        <w:keepNext w:val="0"/>
        <w:keepLines w:val="0"/>
        <w:pageBreakBefore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spacing w:line="560" w:lineRule="exact"/>
        <w:ind w:firstLine="560"/>
        <w:rPr>
          <w:rFonts w:hint="eastAsia" w:ascii="仿宋" w:hAnsi="仿宋" w:eastAsia="仿宋" w:cs="仿宋"/>
          <w:b w:val="0"/>
          <w:bCs/>
          <w:sz w:val="32"/>
        </w:rPr>
      </w:pPr>
      <w:r>
        <w:rPr>
          <w:rFonts w:hint="eastAsia" w:ascii="仿宋" w:hAnsi="仿宋" w:eastAsia="仿宋" w:cs="仿宋"/>
          <w:b w:val="0"/>
          <w:bCs/>
          <w:sz w:val="32"/>
        </w:rPr>
        <w:t>绩效指标：招商引资完成率≥90%。</w:t>
      </w:r>
    </w:p>
    <w:p w14:paraId="55994780">
      <w:pPr>
        <w:keepNext w:val="0"/>
        <w:keepLines w:val="0"/>
        <w:pageBreakBefore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spacing w:line="560" w:lineRule="exact"/>
        <w:ind w:firstLine="560"/>
        <w:rPr>
          <w:rFonts w:hint="eastAsia" w:ascii="仿宋" w:hAnsi="仿宋" w:eastAsia="仿宋" w:cs="仿宋"/>
          <w:b w:val="0"/>
          <w:bCs/>
          <w:sz w:val="32"/>
        </w:rPr>
      </w:pPr>
      <w:r>
        <w:rPr>
          <w:rFonts w:hint="eastAsia" w:ascii="仿宋" w:hAnsi="仿宋" w:eastAsia="仿宋" w:cs="仿宋"/>
          <w:b w:val="0"/>
          <w:bCs/>
          <w:sz w:val="32"/>
          <w:lang w:val="en-US" w:eastAsia="zh-CN"/>
        </w:rPr>
        <w:t>3、</w:t>
      </w:r>
      <w:r>
        <w:rPr>
          <w:rFonts w:hint="eastAsia" w:ascii="仿宋" w:hAnsi="仿宋" w:eastAsia="仿宋" w:cs="仿宋"/>
          <w:b w:val="0"/>
          <w:bCs/>
          <w:sz w:val="32"/>
        </w:rPr>
        <w:t>基础设施建设及环境和资源保护</w:t>
      </w:r>
    </w:p>
    <w:p w14:paraId="5D943C3B">
      <w:pPr>
        <w:keepNext w:val="0"/>
        <w:keepLines w:val="0"/>
        <w:pageBreakBefore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spacing w:line="560" w:lineRule="exact"/>
        <w:ind w:firstLine="560"/>
        <w:rPr>
          <w:rFonts w:hint="eastAsia" w:ascii="仿宋" w:hAnsi="仿宋" w:eastAsia="仿宋" w:cs="仿宋"/>
          <w:b w:val="0"/>
          <w:bCs w:val="0"/>
          <w:sz w:val="32"/>
        </w:rPr>
      </w:pPr>
      <w:r>
        <w:rPr>
          <w:rFonts w:hint="eastAsia" w:ascii="仿宋" w:hAnsi="仿宋" w:eastAsia="仿宋" w:cs="仿宋"/>
          <w:b w:val="0"/>
          <w:bCs/>
          <w:sz w:val="32"/>
        </w:rPr>
        <w:t>绩效目标：完善园区基础设施建设</w:t>
      </w:r>
      <w:r>
        <w:rPr>
          <w:rFonts w:hint="eastAsia" w:ascii="仿宋" w:hAnsi="仿宋" w:eastAsia="仿宋" w:cs="仿宋"/>
          <w:sz w:val="32"/>
        </w:rPr>
        <w:t>，打造良好的园区形象；</w:t>
      </w:r>
      <w:r>
        <w:rPr>
          <w:rFonts w:hint="eastAsia" w:ascii="仿宋" w:hAnsi="仿宋" w:eastAsia="仿宋" w:cs="仿宋"/>
          <w:b w:val="0"/>
          <w:bCs w:val="0"/>
          <w:sz w:val="32"/>
        </w:rPr>
        <w:t>做好工业区环境和资源保护工作。</w:t>
      </w:r>
    </w:p>
    <w:p w14:paraId="065110AE">
      <w:pPr>
        <w:keepNext w:val="0"/>
        <w:keepLines w:val="0"/>
        <w:pageBreakBefore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spacing w:line="560" w:lineRule="exact"/>
        <w:ind w:firstLine="560"/>
        <w:rPr>
          <w:rFonts w:hint="eastAsia" w:ascii="仿宋" w:hAnsi="仿宋" w:eastAsia="仿宋" w:cs="仿宋"/>
          <w:b w:val="0"/>
          <w:bCs w:val="0"/>
          <w:sz w:val="32"/>
        </w:rPr>
      </w:pPr>
      <w:r>
        <w:rPr>
          <w:rFonts w:hint="eastAsia" w:ascii="仿宋" w:hAnsi="仿宋" w:eastAsia="仿宋" w:cs="仿宋"/>
          <w:b w:val="0"/>
          <w:bCs w:val="0"/>
          <w:sz w:val="32"/>
        </w:rPr>
        <w:t>绩效指标：污水管网升级和园区主要道路提升及绿化、亮化等工程完成率≥90%。</w:t>
      </w:r>
    </w:p>
    <w:p w14:paraId="475A8775">
      <w:pPr>
        <w:keepNext w:val="0"/>
        <w:keepLines w:val="0"/>
        <w:pageBreakBefore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spacing w:line="560" w:lineRule="exact"/>
        <w:ind w:firstLine="560"/>
        <w:rPr>
          <w:rFonts w:hint="eastAsia" w:ascii="仿宋" w:hAnsi="仿宋" w:eastAsia="仿宋" w:cs="仿宋"/>
          <w:b w:val="0"/>
          <w:bCs w:val="0"/>
          <w:sz w:val="32"/>
        </w:rPr>
      </w:pPr>
      <w:r>
        <w:rPr>
          <w:rFonts w:hint="eastAsia" w:ascii="仿宋" w:hAnsi="仿宋" w:eastAsia="仿宋" w:cs="仿宋"/>
          <w:b w:val="0"/>
          <w:bCs w:val="0"/>
          <w:sz w:val="32"/>
          <w:lang w:val="en-US" w:eastAsia="zh-CN"/>
        </w:rPr>
        <w:t>4、</w:t>
      </w:r>
      <w:r>
        <w:rPr>
          <w:rFonts w:hint="eastAsia" w:ascii="仿宋" w:hAnsi="仿宋" w:eastAsia="仿宋" w:cs="仿宋"/>
          <w:b w:val="0"/>
          <w:bCs w:val="0"/>
          <w:sz w:val="32"/>
        </w:rPr>
        <w:t>园区融资</w:t>
      </w:r>
    </w:p>
    <w:p w14:paraId="518423D2">
      <w:pPr>
        <w:keepNext w:val="0"/>
        <w:keepLines w:val="0"/>
        <w:pageBreakBefore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spacing w:line="560" w:lineRule="exact"/>
        <w:ind w:firstLine="560"/>
        <w:rPr>
          <w:rFonts w:hint="eastAsia" w:ascii="仿宋" w:hAnsi="仿宋" w:eastAsia="仿宋" w:cs="仿宋"/>
          <w:b w:val="0"/>
          <w:bCs w:val="0"/>
          <w:sz w:val="32"/>
        </w:rPr>
      </w:pPr>
      <w:r>
        <w:rPr>
          <w:rFonts w:hint="eastAsia" w:ascii="仿宋" w:hAnsi="仿宋" w:eastAsia="仿宋" w:cs="仿宋"/>
          <w:b w:val="0"/>
          <w:bCs w:val="0"/>
          <w:sz w:val="32"/>
        </w:rPr>
        <w:t>绩效目标：开发区融资金额稳步增长。</w:t>
      </w:r>
    </w:p>
    <w:p w14:paraId="26A2D028">
      <w:pPr>
        <w:keepNext w:val="0"/>
        <w:keepLines w:val="0"/>
        <w:pageBreakBefore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spacing w:line="560" w:lineRule="exact"/>
        <w:ind w:firstLine="560"/>
        <w:rPr>
          <w:rFonts w:hint="eastAsia" w:ascii="仿宋" w:hAnsi="仿宋" w:eastAsia="仿宋" w:cs="仿宋"/>
          <w:b w:val="0"/>
          <w:bCs w:val="0"/>
          <w:sz w:val="32"/>
        </w:rPr>
      </w:pPr>
      <w:r>
        <w:rPr>
          <w:rFonts w:hint="eastAsia" w:ascii="仿宋" w:hAnsi="仿宋" w:eastAsia="仿宋" w:cs="仿宋"/>
          <w:b w:val="0"/>
          <w:bCs w:val="0"/>
          <w:sz w:val="32"/>
        </w:rPr>
        <w:t>绩效指标：融资目标完成率=100%。</w:t>
      </w:r>
    </w:p>
    <w:p w14:paraId="33D68DF6">
      <w:pPr>
        <w:keepNext w:val="0"/>
        <w:keepLines w:val="0"/>
        <w:pageBreakBefore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spacing w:line="560" w:lineRule="exact"/>
        <w:ind w:firstLine="560"/>
        <w:rPr>
          <w:rFonts w:hint="eastAsia" w:ascii="仿宋" w:hAnsi="仿宋" w:eastAsia="仿宋" w:cs="仿宋"/>
          <w:b w:val="0"/>
          <w:bCs w:val="0"/>
          <w:sz w:val="32"/>
        </w:rPr>
      </w:pPr>
      <w:r>
        <w:rPr>
          <w:rFonts w:hint="eastAsia" w:ascii="仿宋" w:hAnsi="仿宋" w:eastAsia="仿宋" w:cs="仿宋"/>
          <w:b w:val="0"/>
          <w:bCs w:val="0"/>
          <w:sz w:val="32"/>
          <w:lang w:val="en-US" w:eastAsia="zh-CN"/>
        </w:rPr>
        <w:t>5、</w:t>
      </w:r>
      <w:r>
        <w:rPr>
          <w:rFonts w:hint="eastAsia" w:ascii="仿宋" w:hAnsi="仿宋" w:eastAsia="仿宋" w:cs="仿宋"/>
          <w:b w:val="0"/>
          <w:bCs w:val="0"/>
          <w:sz w:val="32"/>
        </w:rPr>
        <w:t>土地收储工作</w:t>
      </w:r>
    </w:p>
    <w:p w14:paraId="07BD43AC">
      <w:pPr>
        <w:keepNext w:val="0"/>
        <w:keepLines w:val="0"/>
        <w:pageBreakBefore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spacing w:line="560" w:lineRule="exact"/>
        <w:ind w:firstLine="560"/>
        <w:rPr>
          <w:rFonts w:hint="eastAsia" w:ascii="仿宋" w:hAnsi="仿宋" w:eastAsia="仿宋" w:cs="仿宋"/>
          <w:b w:val="0"/>
          <w:bCs w:val="0"/>
          <w:sz w:val="32"/>
        </w:rPr>
      </w:pPr>
      <w:r>
        <w:rPr>
          <w:rFonts w:hint="eastAsia" w:ascii="仿宋" w:hAnsi="仿宋" w:eastAsia="仿宋" w:cs="仿宋"/>
          <w:b w:val="0"/>
          <w:bCs w:val="0"/>
          <w:sz w:val="32"/>
        </w:rPr>
        <w:t>绩效目标：完成政府规定的土地收储目标。</w:t>
      </w:r>
    </w:p>
    <w:p w14:paraId="0141AF0D">
      <w:pPr>
        <w:keepNext w:val="0"/>
        <w:keepLines w:val="0"/>
        <w:pageBreakBefore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spacing w:line="560" w:lineRule="exact"/>
        <w:ind w:firstLine="560"/>
        <w:rPr>
          <w:rFonts w:hint="eastAsia" w:ascii="仿宋" w:hAnsi="仿宋" w:eastAsia="仿宋" w:cs="仿宋"/>
          <w:b w:val="0"/>
          <w:bCs w:val="0"/>
          <w:sz w:val="32"/>
        </w:rPr>
      </w:pPr>
      <w:r>
        <w:rPr>
          <w:rFonts w:hint="eastAsia" w:ascii="仿宋" w:hAnsi="仿宋" w:eastAsia="仿宋" w:cs="仿宋"/>
          <w:b w:val="0"/>
          <w:bCs w:val="0"/>
          <w:sz w:val="32"/>
        </w:rPr>
        <w:t>绩效指标：土地收储完成度=100%。</w:t>
      </w:r>
    </w:p>
    <w:p w14:paraId="4D2F667C">
      <w:pPr>
        <w:keepNext w:val="0"/>
        <w:keepLines w:val="0"/>
        <w:pageBreakBefore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spacing w:line="560" w:lineRule="exact"/>
        <w:ind w:firstLine="560"/>
        <w:rPr>
          <w:rFonts w:hint="eastAsia" w:ascii="仿宋" w:hAnsi="仿宋" w:eastAsia="仿宋" w:cs="仿宋"/>
          <w:b w:val="0"/>
          <w:bCs w:val="0"/>
          <w:sz w:val="32"/>
        </w:rPr>
      </w:pPr>
      <w:r>
        <w:rPr>
          <w:rFonts w:hint="eastAsia" w:ascii="仿宋" w:hAnsi="仿宋" w:eastAsia="仿宋" w:cs="仿宋"/>
          <w:b w:val="0"/>
          <w:bCs w:val="0"/>
          <w:sz w:val="32"/>
          <w:lang w:val="en-US" w:eastAsia="zh-CN"/>
        </w:rPr>
        <w:t>6、</w:t>
      </w:r>
      <w:r>
        <w:rPr>
          <w:rFonts w:hint="eastAsia" w:ascii="仿宋" w:hAnsi="仿宋" w:eastAsia="仿宋" w:cs="仿宋"/>
          <w:b w:val="0"/>
          <w:bCs w:val="0"/>
          <w:sz w:val="32"/>
        </w:rPr>
        <w:t>园区政务管理</w:t>
      </w:r>
    </w:p>
    <w:p w14:paraId="10B38093">
      <w:pPr>
        <w:keepNext w:val="0"/>
        <w:keepLines w:val="0"/>
        <w:pageBreakBefore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spacing w:line="560" w:lineRule="exact"/>
        <w:ind w:firstLine="560"/>
        <w:rPr>
          <w:rFonts w:hint="eastAsia" w:ascii="仿宋" w:hAnsi="仿宋" w:eastAsia="仿宋" w:cs="仿宋"/>
          <w:b w:val="0"/>
          <w:bCs w:val="0"/>
          <w:sz w:val="32"/>
        </w:rPr>
      </w:pPr>
      <w:r>
        <w:rPr>
          <w:rFonts w:hint="eastAsia" w:ascii="仿宋" w:hAnsi="仿宋" w:eastAsia="仿宋" w:cs="仿宋"/>
          <w:b w:val="0"/>
          <w:bCs w:val="0"/>
          <w:sz w:val="32"/>
        </w:rPr>
        <w:t>绩效目标：加强人员管理及学习培训，确保机关正常、高效运转。</w:t>
      </w:r>
    </w:p>
    <w:p w14:paraId="4A9860CC">
      <w:pPr>
        <w:keepNext w:val="0"/>
        <w:keepLines w:val="0"/>
        <w:pageBreakBefore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spacing w:line="560" w:lineRule="exact"/>
        <w:ind w:firstLine="560"/>
        <w:rPr>
          <w:rFonts w:hint="eastAsia" w:ascii="仿宋" w:hAnsi="仿宋" w:eastAsia="仿宋" w:cs="仿宋"/>
          <w:b w:val="0"/>
          <w:bCs w:val="0"/>
          <w:sz w:val="32"/>
        </w:rPr>
      </w:pPr>
      <w:r>
        <w:rPr>
          <w:rFonts w:hint="eastAsia" w:ascii="仿宋" w:hAnsi="仿宋" w:eastAsia="仿宋" w:cs="仿宋"/>
          <w:b w:val="0"/>
          <w:bCs w:val="0"/>
          <w:sz w:val="32"/>
        </w:rPr>
        <w:t>绩效指标：园区机关综合事务管理完成率=100%。</w:t>
      </w:r>
    </w:p>
    <w:p w14:paraId="4FAF3017">
      <w:pPr>
        <w:spacing w:line="560" w:lineRule="exact"/>
        <w:ind w:firstLine="640" w:firstLineChars="200"/>
        <w:rPr>
          <w:rFonts w:ascii="黑体" w:hAnsi="黑体" w:eastAsia="黑体"/>
          <w:sz w:val="32"/>
          <w:szCs w:val="32"/>
        </w:rPr>
      </w:pPr>
      <w:r>
        <w:rPr>
          <w:rFonts w:hint="eastAsia" w:ascii="黑体" w:hAnsi="黑体" w:eastAsia="黑体"/>
          <w:sz w:val="32"/>
          <w:szCs w:val="32"/>
        </w:rPr>
        <w:t>四、评价结论和评价等级</w:t>
      </w:r>
    </w:p>
    <w:p w14:paraId="2A1B3BE7">
      <w:pPr>
        <w:keepNext w:val="0"/>
        <w:keepLines w:val="0"/>
        <w:pageBreakBefore w:val="0"/>
        <w:kinsoku/>
        <w:wordWrap/>
        <w:overflowPunct/>
        <w:topLinePunct w:val="0"/>
        <w:autoSpaceDE/>
        <w:autoSpaceDN/>
        <w:bidi w:val="0"/>
        <w:spacing w:line="560" w:lineRule="exact"/>
        <w:ind w:firstLine="640" w:firstLineChars="200"/>
        <w:rPr>
          <w:rFonts w:hint="eastAsia" w:ascii="仿宋" w:hAnsi="仿宋" w:eastAsia="仿宋"/>
          <w:sz w:val="32"/>
          <w:szCs w:val="32"/>
        </w:rPr>
      </w:pPr>
      <w:r>
        <w:rPr>
          <w:rFonts w:hint="eastAsia" w:ascii="仿宋" w:hAnsi="仿宋" w:eastAsia="仿宋"/>
          <w:sz w:val="32"/>
          <w:szCs w:val="32"/>
        </w:rPr>
        <w:t>根据部门职责定位和各项工作履职情况进行综合评价，给出总得分</w:t>
      </w:r>
      <w:r>
        <w:rPr>
          <w:rFonts w:hint="eastAsia" w:ascii="仿宋" w:hAnsi="仿宋" w:eastAsia="仿宋"/>
          <w:sz w:val="32"/>
          <w:szCs w:val="32"/>
          <w:lang w:val="en-US" w:eastAsia="zh-CN"/>
        </w:rPr>
        <w:t>95</w:t>
      </w:r>
      <w:r>
        <w:rPr>
          <w:rFonts w:hint="eastAsia" w:ascii="仿宋" w:hAnsi="仿宋" w:eastAsia="仿宋"/>
          <w:sz w:val="32"/>
          <w:szCs w:val="32"/>
        </w:rPr>
        <w:t>分，得出综合绩效评价等级</w:t>
      </w:r>
      <w:r>
        <w:rPr>
          <w:rFonts w:hint="eastAsia" w:ascii="仿宋" w:hAnsi="仿宋" w:eastAsia="仿宋"/>
          <w:sz w:val="32"/>
          <w:szCs w:val="32"/>
          <w:lang w:eastAsia="zh-CN"/>
        </w:rPr>
        <w:t>为优秀</w:t>
      </w:r>
      <w:r>
        <w:rPr>
          <w:rFonts w:hint="eastAsia" w:ascii="仿宋" w:hAnsi="仿宋" w:eastAsia="仿宋"/>
          <w:sz w:val="32"/>
          <w:szCs w:val="32"/>
        </w:rPr>
        <w:t>。</w:t>
      </w:r>
    </w:p>
    <w:p w14:paraId="15486911">
      <w:pPr>
        <w:spacing w:line="560" w:lineRule="exact"/>
        <w:ind w:firstLine="640" w:firstLineChars="200"/>
        <w:rPr>
          <w:rFonts w:ascii="黑体" w:hAnsi="黑体" w:eastAsia="黑体"/>
          <w:sz w:val="32"/>
          <w:szCs w:val="32"/>
        </w:rPr>
      </w:pPr>
      <w:r>
        <w:rPr>
          <w:rFonts w:hint="eastAsia" w:ascii="黑体" w:hAnsi="黑体" w:eastAsia="黑体"/>
          <w:sz w:val="32"/>
          <w:szCs w:val="32"/>
        </w:rPr>
        <w:t>五、存在的问题及改进措施</w:t>
      </w:r>
    </w:p>
    <w:p w14:paraId="4548908D">
      <w:pPr>
        <w:keepNext w:val="0"/>
        <w:keepLines w:val="0"/>
        <w:pageBreakBefore w:val="0"/>
        <w:kinsoku/>
        <w:wordWrap/>
        <w:overflowPunct/>
        <w:topLinePunct w:val="0"/>
        <w:autoSpaceDE/>
        <w:autoSpaceDN/>
        <w:bidi w:val="0"/>
        <w:spacing w:line="560" w:lineRule="exact"/>
        <w:ind w:firstLine="640" w:firstLineChars="200"/>
        <w:rPr>
          <w:rFonts w:hint="eastAsia" w:ascii="楷体" w:hAnsi="楷体" w:eastAsia="楷体"/>
          <w:bCs/>
          <w:sz w:val="32"/>
          <w:szCs w:val="32"/>
        </w:rPr>
      </w:pPr>
      <w:r>
        <w:rPr>
          <w:rFonts w:hint="eastAsia" w:ascii="楷体" w:hAnsi="楷体" w:eastAsia="楷体"/>
          <w:bCs/>
          <w:sz w:val="32"/>
          <w:szCs w:val="32"/>
        </w:rPr>
        <w:t>（一）存在的主要问题</w:t>
      </w:r>
    </w:p>
    <w:p w14:paraId="517093A0">
      <w:pPr>
        <w:keepNext w:val="0"/>
        <w:keepLines w:val="0"/>
        <w:pageBreakBefore w:val="0"/>
        <w:widowControl w:val="0"/>
        <w:numPr>
          <w:ilvl w:val="0"/>
          <w:numId w:val="0"/>
        </w:numPr>
        <w:kinsoku/>
        <w:wordWrap/>
        <w:overflowPunct/>
        <w:topLinePunct w:val="0"/>
        <w:autoSpaceDE/>
        <w:autoSpaceDN/>
        <w:bidi w:val="0"/>
        <w:adjustRightInd/>
        <w:spacing w:line="560" w:lineRule="exact"/>
        <w:ind w:firstLine="640" w:firstLineChars="200"/>
        <w:jc w:val="both"/>
        <w:textAlignment w:val="auto"/>
        <w:rPr>
          <w:rFonts w:hint="eastAsia" w:ascii="楷体" w:hAnsi="楷体" w:eastAsia="楷体"/>
          <w:bCs/>
          <w:sz w:val="32"/>
          <w:szCs w:val="32"/>
        </w:rPr>
      </w:pPr>
      <w:r>
        <w:rPr>
          <w:rFonts w:hint="eastAsia" w:ascii="仿宋" w:hAnsi="仿宋" w:eastAsia="仿宋" w:cs="黑体"/>
          <w:kern w:val="2"/>
          <w:sz w:val="32"/>
          <w:szCs w:val="32"/>
          <w:lang w:val="en-US" w:eastAsia="zh-CN" w:bidi="ar-SA"/>
        </w:rPr>
        <w:t>一是预算资金执行进度尚需提高；二是绩效管理理念有待加强。长期以来“重资金使用，轻绩效评价”的思想根基较深厚，而“重产出、重结果”的绩效管理理念尚未全面深入人心，认为只要资金使用合法、合规就行，忽视财政资金的使用绩效，对绩效管理工作缺乏主动性，没有将绩效管理工作作为一项日常性重要工作来抓；三是绩效目标设计不够细化。项目实施单位对绩效评价指标体系建立还在摸索阶段，目前，建立的绩效指标评价体系在科学性、规范性、系统性关联性等方面都还有待进一步完善和细化。</w:t>
      </w:r>
    </w:p>
    <w:p w14:paraId="27316176">
      <w:pPr>
        <w:keepNext w:val="0"/>
        <w:keepLines w:val="0"/>
        <w:pageBreakBefore w:val="0"/>
        <w:numPr>
          <w:ilvl w:val="0"/>
          <w:numId w:val="0"/>
        </w:numPr>
        <w:kinsoku/>
        <w:wordWrap/>
        <w:overflowPunct/>
        <w:topLinePunct w:val="0"/>
        <w:autoSpaceDE/>
        <w:autoSpaceDN/>
        <w:bidi w:val="0"/>
        <w:spacing w:line="560" w:lineRule="exact"/>
        <w:ind w:leftChars="200"/>
        <w:rPr>
          <w:rFonts w:hint="eastAsia" w:ascii="楷体" w:hAnsi="楷体" w:eastAsia="楷体"/>
          <w:bCs/>
          <w:sz w:val="32"/>
          <w:szCs w:val="32"/>
        </w:rPr>
      </w:pPr>
      <w:r>
        <w:rPr>
          <w:rFonts w:hint="eastAsia" w:ascii="楷体" w:hAnsi="楷体" w:eastAsia="楷体"/>
          <w:bCs/>
          <w:sz w:val="32"/>
          <w:szCs w:val="32"/>
          <w:lang w:eastAsia="zh-CN"/>
        </w:rPr>
        <w:t>（二）</w:t>
      </w:r>
      <w:r>
        <w:rPr>
          <w:rFonts w:hint="eastAsia" w:ascii="楷体" w:hAnsi="楷体" w:eastAsia="楷体"/>
          <w:bCs/>
          <w:sz w:val="32"/>
          <w:szCs w:val="32"/>
        </w:rPr>
        <w:t>针对问题提出具体的改进措施或建议</w:t>
      </w:r>
    </w:p>
    <w:p w14:paraId="20A4CCB7">
      <w:pPr>
        <w:pStyle w:val="6"/>
        <w:keepNext w:val="0"/>
        <w:keepLines w:val="0"/>
        <w:pageBreakBefore w:val="0"/>
        <w:widowControl w:val="0"/>
        <w:kinsoku/>
        <w:wordWrap/>
        <w:overflowPunct/>
        <w:topLinePunct w:val="0"/>
        <w:autoSpaceDE/>
        <w:autoSpaceDN/>
        <w:bidi w:val="0"/>
        <w:adjustRightInd/>
        <w:spacing w:after="0" w:line="560" w:lineRule="exact"/>
        <w:ind w:left="0" w:leftChars="0" w:firstLine="640" w:firstLineChars="200"/>
        <w:textAlignment w:val="auto"/>
        <w:rPr>
          <w:rFonts w:hint="eastAsia" w:ascii="仿宋" w:hAnsi="仿宋" w:eastAsia="仿宋" w:cs="黑体"/>
          <w:kern w:val="2"/>
          <w:sz w:val="32"/>
          <w:szCs w:val="32"/>
          <w:lang w:val="en-US" w:eastAsia="zh-CN" w:bidi="ar-SA"/>
        </w:rPr>
      </w:pPr>
      <w:r>
        <w:rPr>
          <w:rFonts w:hint="eastAsia" w:ascii="仿宋" w:hAnsi="仿宋" w:eastAsia="仿宋" w:cs="黑体"/>
          <w:kern w:val="2"/>
          <w:sz w:val="32"/>
          <w:szCs w:val="32"/>
          <w:lang w:val="en-US" w:eastAsia="zh-CN" w:bidi="ar-SA"/>
        </w:rPr>
        <w:t>1、树立绩效理念，增强绩效意识。把绩效管理理念与方法引入财政支出全过程管理，充分利用各种新闻媒体、政府网络平台等，加强对绩效评价工作的宣传，对涉及群众利益、群众普遍关心的财政专项资金及时向社会公开，不断强化部门单位的支出责任，广泛接受社会监督</w:t>
      </w:r>
      <w:bookmarkStart w:id="0" w:name="_GoBack"/>
      <w:bookmarkEnd w:id="0"/>
      <w:r>
        <w:rPr>
          <w:rFonts w:hint="eastAsia" w:ascii="仿宋" w:hAnsi="仿宋" w:eastAsia="仿宋" w:cs="黑体"/>
          <w:kern w:val="2"/>
          <w:sz w:val="32"/>
          <w:szCs w:val="32"/>
          <w:lang w:val="en-US" w:eastAsia="zh-CN" w:bidi="ar-SA"/>
        </w:rPr>
        <w:t>。</w:t>
      </w:r>
    </w:p>
    <w:p w14:paraId="77F748A6">
      <w:pPr>
        <w:pStyle w:val="6"/>
        <w:keepNext w:val="0"/>
        <w:keepLines w:val="0"/>
        <w:pageBreakBefore w:val="0"/>
        <w:widowControl w:val="0"/>
        <w:kinsoku/>
        <w:wordWrap/>
        <w:overflowPunct/>
        <w:topLinePunct w:val="0"/>
        <w:autoSpaceDE/>
        <w:autoSpaceDN/>
        <w:bidi w:val="0"/>
        <w:adjustRightInd/>
        <w:spacing w:after="0" w:line="560" w:lineRule="exact"/>
        <w:ind w:left="0" w:leftChars="0" w:firstLine="640" w:firstLineChars="200"/>
        <w:textAlignment w:val="auto"/>
        <w:rPr>
          <w:rFonts w:hint="eastAsia" w:ascii="仿宋" w:hAnsi="仿宋" w:eastAsia="仿宋" w:cs="黑体"/>
          <w:kern w:val="2"/>
          <w:sz w:val="32"/>
          <w:szCs w:val="32"/>
          <w:lang w:val="en-US" w:eastAsia="zh-CN" w:bidi="ar-SA"/>
        </w:rPr>
      </w:pPr>
      <w:r>
        <w:rPr>
          <w:rFonts w:hint="eastAsia" w:ascii="仿宋" w:hAnsi="仿宋" w:eastAsia="仿宋" w:cs="黑体"/>
          <w:kern w:val="2"/>
          <w:sz w:val="32"/>
          <w:szCs w:val="32"/>
          <w:lang w:val="en-US" w:eastAsia="zh-CN" w:bidi="ar-SA"/>
        </w:rPr>
        <w:t>2、提高对项目绩效评价工作的关注度，建立完善的项目绩效评价体系，建立健全绩效评价工作机制，对绩效评价实施精细化管理，制定合理、细化、量化的绩效目标，建立完善的项目绩效评价指标体系将有利于评价项目实施的具体情况和指导日后工作的开展。</w:t>
      </w:r>
    </w:p>
    <w:p w14:paraId="4E7A3B52">
      <w:pPr>
        <w:pStyle w:val="6"/>
        <w:keepNext w:val="0"/>
        <w:keepLines w:val="0"/>
        <w:pageBreakBefore w:val="0"/>
        <w:widowControl w:val="0"/>
        <w:kinsoku/>
        <w:wordWrap/>
        <w:overflowPunct/>
        <w:topLinePunct w:val="0"/>
        <w:autoSpaceDE/>
        <w:autoSpaceDN/>
        <w:bidi w:val="0"/>
        <w:adjustRightInd/>
        <w:spacing w:after="0" w:line="560" w:lineRule="exact"/>
        <w:ind w:left="0" w:leftChars="0" w:firstLine="640" w:firstLineChars="200"/>
        <w:textAlignment w:val="auto"/>
        <w:rPr>
          <w:rFonts w:hint="eastAsia" w:ascii="仿宋" w:hAnsi="仿宋" w:eastAsia="仿宋" w:cs="黑体"/>
          <w:kern w:val="2"/>
          <w:sz w:val="32"/>
          <w:szCs w:val="32"/>
          <w:lang w:val="en-US" w:eastAsia="zh-CN" w:bidi="ar-SA"/>
        </w:rPr>
      </w:pPr>
    </w:p>
    <w:p w14:paraId="0EE6C009">
      <w:pPr>
        <w:pStyle w:val="6"/>
        <w:keepNext w:val="0"/>
        <w:keepLines w:val="0"/>
        <w:pageBreakBefore w:val="0"/>
        <w:widowControl w:val="0"/>
        <w:kinsoku/>
        <w:wordWrap/>
        <w:overflowPunct/>
        <w:topLinePunct w:val="0"/>
        <w:autoSpaceDE/>
        <w:autoSpaceDN/>
        <w:bidi w:val="0"/>
        <w:adjustRightInd/>
        <w:spacing w:after="0" w:line="560" w:lineRule="exact"/>
        <w:ind w:left="0" w:leftChars="0" w:firstLine="5760" w:firstLineChars="1800"/>
        <w:textAlignment w:val="auto"/>
        <w:rPr>
          <w:rFonts w:hint="default" w:ascii="仿宋" w:hAnsi="仿宋" w:eastAsia="仿宋" w:cs="黑体"/>
          <w:kern w:val="2"/>
          <w:sz w:val="32"/>
          <w:szCs w:val="32"/>
          <w:lang w:val="en-US" w:eastAsia="zh-CN" w:bidi="ar-SA"/>
        </w:rPr>
      </w:pPr>
      <w:r>
        <w:rPr>
          <w:rFonts w:hint="eastAsia" w:ascii="仿宋" w:hAnsi="仿宋" w:eastAsia="仿宋" w:cs="黑体"/>
          <w:kern w:val="2"/>
          <w:sz w:val="32"/>
          <w:szCs w:val="32"/>
          <w:lang w:val="en-US" w:eastAsia="zh-CN" w:bidi="ar-SA"/>
        </w:rPr>
        <w:t>2026年4月20日</w:t>
      </w:r>
    </w:p>
    <w:p w14:paraId="6FA042C4">
      <w:pPr>
        <w:pStyle w:val="6"/>
        <w:keepNext w:val="0"/>
        <w:keepLines w:val="0"/>
        <w:pageBreakBefore w:val="0"/>
        <w:widowControl w:val="0"/>
        <w:kinsoku/>
        <w:wordWrap/>
        <w:overflowPunct/>
        <w:topLinePunct w:val="0"/>
        <w:autoSpaceDE/>
        <w:autoSpaceDN/>
        <w:bidi w:val="0"/>
        <w:adjustRightInd/>
        <w:spacing w:after="0" w:line="560" w:lineRule="exact"/>
        <w:ind w:left="0" w:leftChars="0" w:firstLine="640" w:firstLineChars="200"/>
        <w:textAlignment w:val="auto"/>
        <w:rPr>
          <w:rFonts w:hint="eastAsia" w:ascii="仿宋" w:hAnsi="仿宋" w:eastAsia="仿宋" w:cs="黑体"/>
          <w:kern w:val="2"/>
          <w:sz w:val="32"/>
          <w:szCs w:val="32"/>
          <w:lang w:val="en-US" w:eastAsia="zh-CN" w:bidi="ar-SA"/>
        </w:rPr>
      </w:pPr>
    </w:p>
    <w:p w14:paraId="7E9FF780">
      <w:pPr>
        <w:spacing w:line="560" w:lineRule="exact"/>
        <w:rPr>
          <w:rFonts w:ascii="仿宋" w:hAnsi="仿宋" w:eastAsia="仿宋"/>
        </w:rPr>
      </w:pPr>
    </w:p>
    <w:sectPr>
      <w:footerReference r:id="rId3" w:type="default"/>
      <w:pgSz w:w="11906" w:h="16838"/>
      <w:pgMar w:top="1440" w:right="1474" w:bottom="1440" w:left="1587" w:header="851" w:footer="99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2000000000000000000"/>
    <w:charset w:val="86"/>
    <w:family w:val="auto"/>
    <w:pitch w:val="default"/>
    <w:sig w:usb0="A00002BF" w:usb1="38CF7CFA" w:usb2="00082016" w:usb3="00000000" w:csb0="00040001" w:csb1="00000000"/>
  </w:font>
  <w:font w:name="华文楷体">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A7FAC2">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Quad Arrow 307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FD7B592">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- 1 -</w:t>
                          </w:r>
                          <w:r>
                            <w:rPr>
                              <w:rFonts w:hint="eastAsia"/>
                              <w:sz w:val="18"/>
                            </w:rPr>
                            <w:fldChar w:fldCharType="end"/>
                          </w:r>
                        </w:p>
                      </w:txbxContent>
                    </wps:txbx>
                    <wps:bodyPr wrap="none" lIns="0" tIns="0" rIns="0" bIns="0" upright="1">
                      <a:spAutoFit/>
                    </wps:bodyPr>
                  </wps:wsp>
                </a:graphicData>
              </a:graphic>
            </wp:anchor>
          </w:drawing>
        </mc:Choice>
        <mc:Fallback>
          <w:pict>
            <v:shape id="Quad Arrow 3073"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DLZp0PwAEAAJ0DAAAOAAAAAAAAAAEAIAAAAB4BAABkcnMvZTJvRG9jLnhtbFBLBQYA&#10;AAAABgAGAFkBAABQBQAAAAA=&#10;">
              <v:fill on="f" focussize="0,0"/>
              <v:stroke on="f"/>
              <v:imagedata o:title=""/>
              <o:lock v:ext="edit" aspectratio="f"/>
              <v:textbox inset="0mm,0mm,0mm,0mm" style="mso-fit-shape-to-text:t;">
                <w:txbxContent>
                  <w:p w14:paraId="3FD7B592">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- 1 -</w:t>
                    </w:r>
                    <w:r>
                      <w:rPr>
                        <w:rFonts w:hint="eastAsia"/>
                        <w:sz w:val="1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16AA81"/>
    <w:multiLevelType w:val="singleLevel"/>
    <w:tmpl w:val="0516AA81"/>
    <w:lvl w:ilvl="0" w:tentative="0">
      <w:start w:val="2"/>
      <w:numFmt w:val="chineseCounting"/>
      <w:suff w:val="nothing"/>
      <w:lvlText w:val="（%1）"/>
      <w:lvlJc w:val="left"/>
      <w:pPr>
        <w:ind w:left="642" w:firstLine="0"/>
      </w:pPr>
      <w:rPr>
        <w:rFonts w:hint="eastAsia"/>
      </w:rPr>
    </w:lvl>
  </w:abstractNum>
  <w:abstractNum w:abstractNumId="1">
    <w:nsid w:val="5E68489B"/>
    <w:multiLevelType w:val="singleLevel"/>
    <w:tmpl w:val="5E68489B"/>
    <w:lvl w:ilvl="0" w:tentative="0">
      <w:start w:val="1"/>
      <w:numFmt w:val="chineseCounting"/>
      <w:suff w:val="nothing"/>
      <w:lvlText w:val="（%1）"/>
      <w:lvlJc w:val="left"/>
      <w:rPr>
        <w:rFonts w:ascii="楷体" w:hAnsi="楷体" w:eastAsia="楷体"/>
      </w:rPr>
    </w:lvl>
  </w:abstractNum>
  <w:abstractNum w:abstractNumId="2">
    <w:nsid w:val="6462B023"/>
    <w:multiLevelType w:val="singleLevel"/>
    <w:tmpl w:val="6462B023"/>
    <w:lvl w:ilvl="0" w:tentative="0">
      <w:start w:val="2"/>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gxMzVhZTBlNDUyZWUxNDVhMjNkN2E1NjFlOTE5NDcifQ=="/>
  </w:docVars>
  <w:rsids>
    <w:rsidRoot w:val="0EBD2122"/>
    <w:rsid w:val="000B0260"/>
    <w:rsid w:val="00305CE7"/>
    <w:rsid w:val="007E6C1F"/>
    <w:rsid w:val="00956A93"/>
    <w:rsid w:val="009E575C"/>
    <w:rsid w:val="00AF167E"/>
    <w:rsid w:val="00AF566A"/>
    <w:rsid w:val="00B478EA"/>
    <w:rsid w:val="00B6553A"/>
    <w:rsid w:val="00BC6576"/>
    <w:rsid w:val="00CE06BA"/>
    <w:rsid w:val="00F441CC"/>
    <w:rsid w:val="01B104CA"/>
    <w:rsid w:val="02106AB0"/>
    <w:rsid w:val="022C0315"/>
    <w:rsid w:val="02B43A28"/>
    <w:rsid w:val="046F331E"/>
    <w:rsid w:val="050464C8"/>
    <w:rsid w:val="07956271"/>
    <w:rsid w:val="08793FA4"/>
    <w:rsid w:val="08FC3C24"/>
    <w:rsid w:val="09721397"/>
    <w:rsid w:val="0BB63BED"/>
    <w:rsid w:val="0EB97A43"/>
    <w:rsid w:val="0EBD2122"/>
    <w:rsid w:val="0F214EAE"/>
    <w:rsid w:val="11B71E6A"/>
    <w:rsid w:val="1AAF0063"/>
    <w:rsid w:val="1BE140DE"/>
    <w:rsid w:val="1F0C0BD5"/>
    <w:rsid w:val="1F717F05"/>
    <w:rsid w:val="23B70F3D"/>
    <w:rsid w:val="240E5D3F"/>
    <w:rsid w:val="248C197D"/>
    <w:rsid w:val="249715B5"/>
    <w:rsid w:val="252959AF"/>
    <w:rsid w:val="277A6671"/>
    <w:rsid w:val="292D35B7"/>
    <w:rsid w:val="3016415A"/>
    <w:rsid w:val="33EB6CFF"/>
    <w:rsid w:val="35A12947"/>
    <w:rsid w:val="36557F87"/>
    <w:rsid w:val="37387040"/>
    <w:rsid w:val="397A79F8"/>
    <w:rsid w:val="39F34714"/>
    <w:rsid w:val="3B625C0A"/>
    <w:rsid w:val="3C2D6FA3"/>
    <w:rsid w:val="3C972852"/>
    <w:rsid w:val="3CCD7E3F"/>
    <w:rsid w:val="3CEE1963"/>
    <w:rsid w:val="3F471D9D"/>
    <w:rsid w:val="3FDE59A5"/>
    <w:rsid w:val="3FF1682D"/>
    <w:rsid w:val="436B78D3"/>
    <w:rsid w:val="43B617C6"/>
    <w:rsid w:val="4C9C27FE"/>
    <w:rsid w:val="50855C6C"/>
    <w:rsid w:val="512260B4"/>
    <w:rsid w:val="52BD6ACB"/>
    <w:rsid w:val="535E583D"/>
    <w:rsid w:val="55537534"/>
    <w:rsid w:val="55C00A7A"/>
    <w:rsid w:val="561A74F1"/>
    <w:rsid w:val="56680CEF"/>
    <w:rsid w:val="597244E8"/>
    <w:rsid w:val="59E636F4"/>
    <w:rsid w:val="5A1D5DC3"/>
    <w:rsid w:val="5EB71C30"/>
    <w:rsid w:val="619568CD"/>
    <w:rsid w:val="619A0388"/>
    <w:rsid w:val="622639C9"/>
    <w:rsid w:val="66A80E51"/>
    <w:rsid w:val="66AF0CE5"/>
    <w:rsid w:val="6AC537CF"/>
    <w:rsid w:val="6E5B14A6"/>
    <w:rsid w:val="711B255E"/>
    <w:rsid w:val="75DF3800"/>
    <w:rsid w:val="79FF4DD4"/>
    <w:rsid w:val="7BB51E06"/>
    <w:rsid w:val="7C387F7C"/>
    <w:rsid w:val="7FE83423"/>
    <w:rsid w:val="DAFFDDE4"/>
    <w:rsid w:val="FFB73F57"/>
  </w:rsids>
  <m:mathPr>
    <m:mathFont m:val="Cambria Math"/>
    <m:brkBin m:val="before"/>
    <m:brkBinSub m:val="--"/>
    <m:smallFrac m:val="1"/>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qFormat/>
    <w:uiPriority w:val="0"/>
    <w:pPr>
      <w:spacing w:line="360" w:lineRule="auto"/>
      <w:ind w:firstLine="200" w:firstLineChars="200"/>
      <w:textAlignment w:val="baseline"/>
    </w:pPr>
    <w:rPr>
      <w:rFonts w:hint="eastAsia" w:eastAsia="宋体"/>
      <w:sz w:val="24"/>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Times New Roman" w:hAnsi="Times New Roman"/>
      <w:sz w:val="18"/>
    </w:rPr>
  </w:style>
  <w:style w:type="paragraph" w:styleId="5">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6">
    <w:name w:val="Body Text First Indent 2"/>
    <w:basedOn w:val="2"/>
    <w:qFormat/>
    <w:uiPriority w:val="0"/>
    <w:pPr>
      <w:ind w:firstLine="420" w:firstLineChars="200"/>
    </w:pPr>
  </w:style>
  <w:style w:type="paragraph" w:customStyle="1" w:styleId="9">
    <w:name w:val="插入文本样式-插入单位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2353</Words>
  <Characters>2423</Characters>
  <Lines>4</Lines>
  <Paragraphs>1</Paragraphs>
  <TotalTime>4</TotalTime>
  <ScaleCrop>false</ScaleCrop>
  <LinksUpToDate>false</LinksUpToDate>
  <CharactersWithSpaces>2452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2020-02-04T19:46:00Z</dcterms:created>
  <dc:creator>欣欣大人</dc:creator>
  <cp:lastModifiedBy>13323011735</cp:lastModifiedBy>
  <cp:lastPrinted>2024-03-06T23:40:00Z</cp:lastPrinted>
  <dcterms:modified xsi:type="dcterms:W3CDTF">2026-10-16T07:12:33Z</dcterms:modified>
  <dc:title>附件3：</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F64D8D7DE1794B20BFF20A8CE03FC7A9_13</vt:lpwstr>
  </property>
  <property fmtid="{D5CDD505-2E9C-101B-9397-08002B2CF9AE}" pid="4" name="KSOTemplateDocerSaveRecord">
    <vt:lpwstr>eyJoZGlkIjoiZTNhMzhmNjU3NDU2YjNiYWExNDJlM2Y4YTNjMzYyNWIiLCJ1c2VySWQiOiIxNTUwMjQwMDk2In0=</vt:lpwstr>
  </property>
</Properties>
</file>