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bookmarkStart w:id="1" w:name="_GoBack"/>
      <w:bookmarkEnd w:id="1"/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赞皇县农业农村局</w:t>
      </w:r>
    </w:p>
    <w:p>
      <w:pPr>
        <w:spacing w:line="56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2022年度整体支出绩效自评报告</w:t>
      </w:r>
    </w:p>
    <w:p>
      <w:pPr>
        <w:spacing w:line="560" w:lineRule="exact"/>
        <w:jc w:val="center"/>
        <w:rPr>
          <w:rFonts w:ascii="华文楷体" w:eastAsia="华文楷体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贯彻落实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委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政府《关于全面</w:t>
      </w:r>
      <w:r>
        <w:rPr>
          <w:rFonts w:hint="eastAsia" w:ascii="仿宋" w:hAnsi="仿宋" w:eastAsia="仿宋"/>
          <w:sz w:val="32"/>
          <w:szCs w:val="32"/>
          <w:lang w:eastAsia="zh-CN"/>
        </w:rPr>
        <w:t>实施</w:t>
      </w:r>
      <w:r>
        <w:rPr>
          <w:rFonts w:hint="eastAsia" w:ascii="仿宋" w:hAnsi="仿宋" w:eastAsia="仿宋"/>
          <w:sz w:val="32"/>
          <w:szCs w:val="32"/>
        </w:rPr>
        <w:t>预算绩效管理</w:t>
      </w:r>
      <w:r>
        <w:rPr>
          <w:rFonts w:hint="eastAsia" w:ascii="仿宋" w:hAnsi="仿宋" w:eastAsia="仿宋"/>
          <w:sz w:val="32"/>
          <w:szCs w:val="32"/>
          <w:lang w:eastAsia="zh-CN"/>
        </w:rPr>
        <w:t>工作方案</w:t>
      </w:r>
      <w:r>
        <w:rPr>
          <w:rFonts w:hint="eastAsia" w:ascii="仿宋" w:hAnsi="仿宋" w:eastAsia="仿宋"/>
          <w:sz w:val="32"/>
          <w:szCs w:val="32"/>
        </w:rPr>
        <w:t>》（</w:t>
      </w:r>
      <w:r>
        <w:rPr>
          <w:rFonts w:hint="eastAsia" w:ascii="仿宋" w:hAnsi="仿宋" w:eastAsia="仿宋"/>
          <w:sz w:val="32"/>
          <w:szCs w:val="32"/>
          <w:lang w:eastAsia="zh-CN"/>
        </w:rPr>
        <w:t>赞财预</w:t>
      </w:r>
      <w:r>
        <w:rPr>
          <w:rFonts w:hint="eastAsia" w:ascii="仿宋" w:hAnsi="仿宋" w:eastAsia="仿宋"/>
          <w:sz w:val="32"/>
          <w:szCs w:val="32"/>
        </w:rPr>
        <w:t>﹝2019﹞</w:t>
      </w:r>
      <w:r>
        <w:rPr>
          <w:rFonts w:hint="eastAsia" w:ascii="仿宋" w:hAnsi="仿宋" w:eastAsia="仿宋"/>
          <w:sz w:val="32"/>
          <w:szCs w:val="32"/>
          <w:lang w:eastAsia="zh-CN"/>
        </w:rPr>
        <w:t>７</w:t>
      </w:r>
      <w:r>
        <w:rPr>
          <w:rFonts w:hint="eastAsia" w:ascii="仿宋" w:hAnsi="仿宋" w:eastAsia="仿宋"/>
          <w:sz w:val="32"/>
          <w:szCs w:val="32"/>
        </w:rPr>
        <w:t>号）文件精神，遵循“科学性、规范性、客观性和公正性”的原则，对</w:t>
      </w:r>
      <w:r>
        <w:rPr>
          <w:rFonts w:hint="eastAsia" w:ascii="仿宋" w:hAnsi="仿宋" w:eastAsia="仿宋"/>
          <w:sz w:val="32"/>
          <w:szCs w:val="32"/>
          <w:lang w:eastAsia="zh-CN"/>
        </w:rPr>
        <w:t>赞皇县农业农村局</w:t>
      </w:r>
      <w:r>
        <w:rPr>
          <w:rFonts w:hint="eastAsia" w:ascii="仿宋" w:hAnsi="仿宋" w:eastAsia="仿宋"/>
          <w:sz w:val="32"/>
          <w:szCs w:val="32"/>
        </w:rPr>
        <w:t>2022年整体支出情况实施了财政支出绩效自评价，形成本评价报告。</w:t>
      </w:r>
    </w:p>
    <w:p>
      <w:pPr>
        <w:adjustRightInd w:val="0"/>
        <w:snapToGrid w:val="0"/>
        <w:spacing w:line="560" w:lineRule="exact"/>
        <w:rPr>
          <w:rFonts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sz w:val="32"/>
          <w:szCs w:val="32"/>
        </w:rPr>
        <w:t xml:space="preserve">     一、部门</w:t>
      </w:r>
      <w:r>
        <w:rPr>
          <w:rFonts w:hint="eastAsia" w:ascii="黑体" w:hAnsi="黑体" w:eastAsia="黑体"/>
          <w:sz w:val="32"/>
          <w:szCs w:val="36"/>
        </w:rPr>
        <w:t>基本情况</w:t>
      </w:r>
    </w:p>
    <w:p>
      <w:pPr>
        <w:ind w:firstLine="648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部门概况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（一）统筹研究和组织实施全县“三农”工作的发展战略、中长期规划、重大政策。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（二）协调推动发展全县农村社会事业、农村公共服务、农村文化、农村基础设施和乡村治理。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（三）贯彻执行中央、省市深化农村经济体制改革和巩固完善农村基本经营制度的政策。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（四）指导全县乡村产业、农产品加工业和休闲农业发展工作。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（五）负责全县种植业、畜牧业、渔业、农垦、农业机械化等农业各产业的监督管理。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（六）负责全县农产品质量安全监督管理。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（七）负责全县农业资源保护、开发与利用。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（八）负责有关农业生产资料和农业投入品的监督管理。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（九）负责农业防灾减灾、农作物重大病虫害预测预报及防治工作。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（十）负责农业投资管理。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（十一）推动农业科技体制改革和农业科技创新体系建设。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（十二）负责农业农村人才工作。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（十三）牵头开展农业对外合作工作。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（十四）完成县委、县政府和县委农村工作领导小组交办的其他任务。</w:t>
      </w:r>
    </w:p>
    <w:p>
      <w:pPr>
        <w:ind w:firstLine="648"/>
        <w:rPr>
          <w:rFonts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机构设置：</w:t>
      </w:r>
    </w:p>
    <w:p>
      <w:pPr>
        <w:jc w:val="center"/>
        <w:outlineLvl w:val="0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  <w:lang w:eastAsia="zh-CN"/>
        </w:rPr>
        <w:t>单位</w:t>
      </w:r>
      <w:r>
        <w:rPr>
          <w:rFonts w:hint="eastAsia" w:ascii="仿宋" w:hAnsi="仿宋" w:eastAsia="仿宋" w:cs="Times New Roman"/>
          <w:sz w:val="32"/>
          <w:szCs w:val="24"/>
        </w:rPr>
        <w:t>机构设置情况</w:t>
      </w:r>
    </w:p>
    <w:tbl>
      <w:tblPr>
        <w:tblStyle w:val="6"/>
        <w:tblW w:w="8457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34"/>
        <w:gridCol w:w="1089"/>
        <w:gridCol w:w="288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335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b/>
                <w:szCs w:val="24"/>
              </w:rPr>
            </w:pPr>
            <w:r>
              <w:rPr>
                <w:rFonts w:ascii="仿宋" w:hAnsi="仿宋" w:eastAsia="仿宋" w:cs="Times New Roman"/>
                <w:b/>
                <w:szCs w:val="24"/>
              </w:rPr>
              <w:t>单位名称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b/>
                <w:szCs w:val="24"/>
              </w:rPr>
            </w:pPr>
            <w:r>
              <w:rPr>
                <w:rFonts w:ascii="仿宋" w:hAnsi="仿宋" w:eastAsia="仿宋" w:cs="Times New Roman"/>
                <w:b/>
                <w:szCs w:val="24"/>
              </w:rPr>
              <w:t>单位性质</w:t>
            </w:r>
          </w:p>
        </w:tc>
        <w:tc>
          <w:tcPr>
            <w:tcW w:w="108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b/>
                <w:szCs w:val="24"/>
              </w:rPr>
            </w:pPr>
            <w:r>
              <w:rPr>
                <w:rFonts w:ascii="仿宋" w:hAnsi="仿宋" w:eastAsia="仿宋" w:cs="Times New Roman"/>
                <w:b/>
                <w:szCs w:val="24"/>
              </w:rPr>
              <w:t>单位规格</w:t>
            </w:r>
          </w:p>
        </w:tc>
        <w:tc>
          <w:tcPr>
            <w:tcW w:w="288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b/>
                <w:szCs w:val="24"/>
              </w:rPr>
            </w:pPr>
            <w:r>
              <w:rPr>
                <w:rFonts w:ascii="仿宋" w:hAnsi="仿宋" w:eastAsia="仿宋" w:cs="Times New Roman"/>
                <w:b/>
                <w:szCs w:val="24"/>
              </w:rPr>
              <w:t>经费保障形式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3354" w:type="dxa"/>
            <w:vMerge w:val="continue"/>
            <w:vAlign w:val="center"/>
          </w:tcPr>
          <w:p>
            <w:pPr>
              <w:spacing w:line="300" w:lineRule="exact"/>
              <w:jc w:val="left"/>
              <w:outlineLvl w:val="0"/>
              <w:rPr>
                <w:rFonts w:ascii="仿宋" w:hAnsi="仿宋" w:eastAsia="仿宋" w:cs="Times New Roman"/>
                <w:szCs w:val="24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spacing w:line="300" w:lineRule="exact"/>
              <w:jc w:val="left"/>
              <w:outlineLvl w:val="0"/>
              <w:rPr>
                <w:rFonts w:ascii="仿宋" w:hAnsi="仿宋" w:eastAsia="仿宋" w:cs="Times New Roman"/>
                <w:szCs w:val="24"/>
              </w:rPr>
            </w:pPr>
          </w:p>
        </w:tc>
        <w:tc>
          <w:tcPr>
            <w:tcW w:w="1089" w:type="dxa"/>
            <w:vMerge w:val="continue"/>
            <w:vAlign w:val="center"/>
          </w:tcPr>
          <w:p>
            <w:pPr>
              <w:spacing w:line="300" w:lineRule="exact"/>
              <w:jc w:val="left"/>
              <w:outlineLvl w:val="0"/>
              <w:rPr>
                <w:rFonts w:ascii="仿宋" w:hAnsi="仿宋" w:eastAsia="仿宋" w:cs="Times New Roman"/>
                <w:szCs w:val="24"/>
              </w:rPr>
            </w:pPr>
          </w:p>
        </w:tc>
        <w:tc>
          <w:tcPr>
            <w:tcW w:w="2880" w:type="dxa"/>
            <w:vMerge w:val="continue"/>
            <w:vAlign w:val="center"/>
          </w:tcPr>
          <w:p>
            <w:pPr>
              <w:spacing w:line="300" w:lineRule="exact"/>
              <w:jc w:val="left"/>
              <w:outlineLvl w:val="0"/>
              <w:rPr>
                <w:rFonts w:ascii="仿宋" w:hAnsi="仿宋" w:eastAsia="仿宋" w:cs="Times New Roman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35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Times New Roman"/>
                <w:szCs w:val="24"/>
              </w:rPr>
            </w:pPr>
            <w:r>
              <w:rPr>
                <w:rFonts w:hint="eastAsia" w:ascii="仿宋" w:hAnsi="仿宋" w:eastAsia="仿宋" w:cs="Times New Roman"/>
                <w:szCs w:val="24"/>
              </w:rPr>
              <w:t>赞皇县农业农村局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szCs w:val="24"/>
              </w:rPr>
            </w:pPr>
            <w:r>
              <w:rPr>
                <w:rFonts w:hint="eastAsia" w:ascii="仿宋" w:hAnsi="仿宋" w:eastAsia="仿宋"/>
              </w:rPr>
              <w:t>行政</w:t>
            </w:r>
          </w:p>
        </w:tc>
        <w:tc>
          <w:tcPr>
            <w:tcW w:w="1089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Times New Roman"/>
                <w:szCs w:val="24"/>
              </w:rPr>
            </w:pPr>
            <w:r>
              <w:rPr>
                <w:rFonts w:hint="eastAsia" w:ascii="仿宋" w:hAnsi="仿宋" w:eastAsia="仿宋"/>
              </w:rPr>
              <w:t>正科级</w:t>
            </w:r>
          </w:p>
        </w:tc>
        <w:tc>
          <w:tcPr>
            <w:tcW w:w="2880" w:type="dxa"/>
            <w:vAlign w:val="center"/>
          </w:tcPr>
          <w:p>
            <w:pPr>
              <w:spacing w:line="300" w:lineRule="exact"/>
              <w:rPr>
                <w:rFonts w:ascii="仿宋" w:hAnsi="仿宋" w:eastAsia="仿宋" w:cs="Times New Roman"/>
                <w:szCs w:val="24"/>
              </w:rPr>
            </w:pPr>
            <w:r>
              <w:rPr>
                <w:rFonts w:hint="eastAsia" w:ascii="仿宋" w:hAnsi="仿宋" w:eastAsia="仿宋"/>
              </w:rPr>
              <w:t>财政拨款</w:t>
            </w:r>
          </w:p>
        </w:tc>
      </w:tr>
    </w:tbl>
    <w:p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</w:p>
    <w:p>
      <w:pPr>
        <w:ind w:firstLine="643" w:firstLineChars="200"/>
        <w:rPr>
          <w:rFonts w:hint="eastAsia" w:ascii="仿宋" w:hAnsi="仿宋" w:eastAsia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国有资产情况：</w:t>
      </w:r>
    </w:p>
    <w:p>
      <w:pPr>
        <w:ind w:firstLine="640" w:firstLineChars="200"/>
        <w:rPr>
          <w:rFonts w:ascii="仿宋" w:hAnsi="仿宋" w:eastAsia="仿宋" w:cs="Times New Roman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农业农村局上年末固定资产金额为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79.87</w:t>
      </w:r>
      <w:r>
        <w:rPr>
          <w:rFonts w:hint="eastAsia" w:ascii="仿宋" w:hAnsi="仿宋" w:eastAsia="仿宋"/>
          <w:sz w:val="32"/>
          <w:szCs w:val="32"/>
        </w:rPr>
        <w:t>万元（详见下表），本年度拟购置固定资产总额为0万元。</w:t>
      </w:r>
    </w:p>
    <w:tbl>
      <w:tblPr>
        <w:tblStyle w:val="6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7"/>
        <w:gridCol w:w="2127"/>
        <w:gridCol w:w="34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9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赞皇县县直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lang w:eastAsia="zh-CN"/>
              </w:rPr>
              <w:t>单位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固定资产占用情况表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编制</w:t>
            </w:r>
            <w:r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  <w:t>单位</w:t>
            </w:r>
            <w:r>
              <w:rPr>
                <w:rFonts w:hint="eastAsia" w:ascii="仿宋" w:hAnsi="仿宋" w:eastAsia="仿宋" w:cs="宋体"/>
                <w:kern w:val="0"/>
                <w:sz w:val="22"/>
              </w:rPr>
              <w:t>：赞皇县农业农村局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截止时间：202</w:t>
            </w: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年12月31日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项   目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数量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价值（金额单位：万元）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资产总额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——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79.87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1、房屋（平方米）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1267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 xml:space="preserve">  其中：办公用房（平方米）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1267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2、车辆（台、辆）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lang w:val="en-US" w:eastAsia="zh-CN"/>
              </w:rPr>
              <w:t>35.87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3、单价在20万元以上设备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——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4、其他固定资产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</w:rPr>
              <w:t>——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</w:rPr>
            </w:pPr>
          </w:p>
        </w:tc>
      </w:tr>
    </w:tbl>
    <w:p>
      <w:pPr>
        <w:adjustRightInd w:val="0"/>
        <w:snapToGrid w:val="0"/>
        <w:spacing w:line="560" w:lineRule="exact"/>
        <w:rPr>
          <w:rFonts w:hint="eastAsia"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hint="eastAsia"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部门收支预决算情况</w:t>
      </w:r>
    </w:p>
    <w:p>
      <w:pPr>
        <w:ind w:firstLine="648"/>
        <w:rPr>
          <w:rFonts w:hint="eastAsia" w:ascii="FZFangSong-Z02" w:hAnsi="FZFangSong-Z02" w:eastAsia="FZFangSong-Z02"/>
          <w:color w:val="000000"/>
          <w:sz w:val="28"/>
        </w:rPr>
      </w:pPr>
      <w:r>
        <w:rPr>
          <w:rFonts w:hint="eastAsia" w:ascii="楷体" w:hAnsi="楷体" w:eastAsia="楷体" w:cs="楷体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按照预算管理有关规定，目前我省单位预算的编制实行综合预算管理，即全部收入和支出都反映在预算中</w:t>
      </w:r>
      <w:r>
        <w:rPr>
          <w:rFonts w:hint="eastAsia" w:ascii="FZFangSong-Z02" w:hAnsi="FZFangSong-Z02" w:eastAsia="FZFangSong-Z02"/>
          <w:color w:val="000000"/>
          <w:sz w:val="28"/>
        </w:rPr>
        <w:t xml:space="preserve">。 </w:t>
      </w:r>
    </w:p>
    <w:p>
      <w:pPr>
        <w:ind w:firstLine="648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1.收入说明</w:t>
      </w:r>
    </w:p>
    <w:p>
      <w:pPr>
        <w:spacing w:line="5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反映本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当年全部收入。202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年预算收入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21238.3736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8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2.支出说明</w:t>
      </w:r>
    </w:p>
    <w:p>
      <w:pPr>
        <w:pStyle w:val="7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收支预算总表支出栏、基本支出表、项目支出表按经济分类和支出功能分类科目编制，反映农业农村局年度单位预算中支出预算的总体情况。2022年支出预算20810.5736万元，项目支出20810.5736万元，主要为农业生产发展专项资金、省级农田建设补助资金、省级财政衔接推进乡村振兴补助资金等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（三）部门整体支出绩效目标、指标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2022年农业农村工作要对标对表全面建成小康社会目标，坚定不移贯彻落实新发展理念，以实施乡村振兴战略为总抓手，深化农业供给侧结构性改革，实现量的合理增长和质的稳步提升。大力推进质量兴农、科教兴农、绿色兴农、品牌强农，提高农业发展质量效益和竞争力。</w:t>
      </w:r>
    </w:p>
    <w:p>
      <w:pPr>
        <w:pStyle w:val="7"/>
        <w:ind w:left="0" w:leftChars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深化农业供给侧结构性改革，扎实推进美丽乡村建设，推动农业全面升级、农村全面进步、农民全面发展，加快实现全县农业农村现代化。通过稳定粮食生产政策、加强高标准农田建设、做好防灾减灾工作等，稳定粮食面积和产量，同时继续调整优化种植结构；扎实推进生猪稳产保供工作，千方百计增加供给，千方百计促进生猪生产恢复，同时要毫不松懈抓好非洲猪瘟防控；</w:t>
      </w:r>
    </w:p>
    <w:p>
      <w:pPr>
        <w:pStyle w:val="7"/>
        <w:ind w:left="0" w:leftChars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切实抓好产业扶贫，巩固脱贫成果和防止返贫；推进农业绿色发展，大力发展富民乡村产业，完成农村人居环境整治三年行动任务，大力推进农村基础设施建设和公共服务改善，强化农业农村科技装备人才支撑，扎实推进农村改革重点任务，协调推动发展全县农村社会事业、农村公共服务、农村文化、农村基础设施和乡村治理。</w:t>
      </w:r>
    </w:p>
    <w:p>
      <w:pPr>
        <w:pStyle w:val="7"/>
        <w:ind w:left="0" w:leftChars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贯彻执行中央、省市深化农村经济体制改革和巩固完善农村基本经营制度的政策。推动农业科技体制改革和农业科技创新体系建设。负责农业产业技术体系和农技推广体系建设，组织开展农业领域的高新技术和应用技术研究、科技成果转化和技术推广。推动农业高质量发展。建设科技农业、绿色农业、品牌农业、质量农业，大力发展现代都市型农业和高效特色农业产业，提升农业竞争力。保持农村社会和谐稳定，提升农民群众获得感幸福感安全感。  </w:t>
      </w:r>
    </w:p>
    <w:p>
      <w:pPr>
        <w:pStyle w:val="7"/>
        <w:ind w:left="0" w:leftChars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推动农业高质量发展。建设科技农业、绿色农业、品牌农业、质量农业，大力发展现代都市型农业和高效特色农业产业，提升农业竞争力。加强农产品质量安全和相关农业生产资料、农业投入品的监督管理，严防、严管、严控质量安全风险，让人民群众吃得放心、安心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负责全县农业资源保护、开发与利用。指导农用地、渔业水域以及农业生物物种资源的保护与管理，负责水生野生动植物保护、耕地及永久基本农田质量保护工作。指导农产品产地环境管理和农业清洁生产。指导设施农业、生态循环农业、节水农业发展以及农村可再生能源综合开发利用、农业生物质产业发展。</w:t>
      </w:r>
    </w:p>
    <w:p>
      <w:pPr>
        <w:pStyle w:val="7"/>
        <w:ind w:left="0" w:leftChars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推动农业科技体制改革和农业科技创新体系建设。负责农业产业技术体系和农技推广体系建设，组织开展农业领域的高新技术和应用技术研究、科技成果转化和技术推广。负责农业转基因生物安全监督管理和农业植物新品种保护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负责农业农村人才工作。拟订农业农村人才队伍建设规划并组织实施，指导农业教育和农业职业技能开发，指导新型职业农民培育、农业科技人才培养和农村实用人才培训工作。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二、自评工作开展情况</w:t>
      </w:r>
    </w:p>
    <w:p>
      <w:pPr>
        <w:spacing w:line="560" w:lineRule="exact"/>
        <w:rPr>
          <w:rFonts w:ascii="楷体" w:hAnsi="楷体" w:eastAsia="楷体" w:cs="楷体_GB2312"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   </w:t>
      </w:r>
      <w:r>
        <w:rPr>
          <w:rFonts w:hint="eastAsia" w:ascii="楷体" w:hAnsi="楷体" w:eastAsia="楷体" w:cs="楷体_GB2312"/>
          <w:bCs/>
          <w:sz w:val="32"/>
          <w:szCs w:val="32"/>
        </w:rPr>
        <w:t>（一）自评的组织工作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36"/>
        <w:rPr>
          <w:rFonts w:hint="eastAsia" w:ascii="宋体" w:hAnsi="宋体" w:eastAsia="仿宋_GB2312" w:cs="宋体"/>
          <w:i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ascii="仿宋_GB2312" w:hAnsi="微软雅黑" w:eastAsia="仿宋_GB2312" w:cs="宋体"/>
          <w:spacing w:val="-2"/>
          <w:sz w:val="32"/>
          <w:szCs w:val="32"/>
        </w:rPr>
        <w:t>为确实做好20</w:t>
      </w:r>
      <w:r>
        <w:rPr>
          <w:rFonts w:hint="eastAsia" w:ascii="仿宋_GB2312" w:hAnsi="微软雅黑" w:eastAsia="仿宋_GB2312" w:cs="宋体"/>
          <w:spacing w:val="-2"/>
          <w:sz w:val="32"/>
          <w:szCs w:val="32"/>
        </w:rPr>
        <w:t>2</w:t>
      </w:r>
      <w:r>
        <w:rPr>
          <w:rFonts w:hint="eastAsia" w:ascii="仿宋_GB2312" w:hAnsi="微软雅黑" w:eastAsia="仿宋_GB2312" w:cs="宋体"/>
          <w:spacing w:val="-2"/>
          <w:sz w:val="32"/>
          <w:szCs w:val="32"/>
          <w:lang w:val="en-US" w:eastAsia="zh-CN"/>
        </w:rPr>
        <w:t>2</w:t>
      </w:r>
      <w:r>
        <w:rPr>
          <w:rFonts w:ascii="仿宋_GB2312" w:hAnsi="微软雅黑" w:eastAsia="仿宋_GB2312" w:cs="宋体"/>
          <w:spacing w:val="-2"/>
          <w:sz w:val="32"/>
          <w:szCs w:val="32"/>
        </w:rPr>
        <w:t>年</w:t>
      </w:r>
      <w:r>
        <w:rPr>
          <w:rFonts w:hint="eastAsia" w:ascii="仿宋_GB2312" w:hAnsi="微软雅黑" w:eastAsia="仿宋_GB2312" w:cs="宋体"/>
          <w:spacing w:val="-2"/>
          <w:sz w:val="32"/>
          <w:szCs w:val="32"/>
        </w:rPr>
        <w:t>预算项目</w:t>
      </w:r>
      <w:r>
        <w:rPr>
          <w:rFonts w:ascii="仿宋_GB2312" w:hAnsi="微软雅黑" w:eastAsia="仿宋_GB2312" w:cs="宋体"/>
          <w:spacing w:val="-2"/>
          <w:sz w:val="32"/>
          <w:szCs w:val="32"/>
        </w:rPr>
        <w:t>整体绩效自评工作，提高财政资金使用效益，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根据</w:t>
      </w:r>
      <w:r>
        <w:rPr>
          <w:rFonts w:hint="eastAsia" w:ascii="仿宋_GB2312" w:hAnsi="微软雅黑" w:eastAsia="仿宋_GB2312" w:cs="宋体"/>
          <w:spacing w:val="-2"/>
          <w:sz w:val="32"/>
          <w:szCs w:val="32"/>
        </w:rPr>
        <w:t>县财政局通知</w:t>
      </w:r>
      <w:r>
        <w:rPr>
          <w:rFonts w:ascii="仿宋_GB2312" w:hAnsi="微软雅黑" w:eastAsia="仿宋_GB2312" w:cs="宋体"/>
          <w:spacing w:val="-2"/>
          <w:sz w:val="32"/>
          <w:szCs w:val="32"/>
        </w:rPr>
        <w:t>文件精神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和财政项目预算安排资金情况</w:t>
      </w:r>
      <w:r>
        <w:rPr>
          <w:rFonts w:ascii="仿宋_GB2312" w:hAnsi="微软雅黑" w:eastAsia="仿宋_GB2312" w:cs="宋体"/>
          <w:spacing w:val="-2"/>
          <w:sz w:val="32"/>
          <w:szCs w:val="32"/>
        </w:rPr>
        <w:t>结合实际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对各项目进行绩效评价工作。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36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宋体"/>
          <w:spacing w:val="-2"/>
          <w:sz w:val="32"/>
          <w:szCs w:val="32"/>
        </w:rPr>
        <w:t>1.全面学习政策。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全面履行各项工作职责，扎实推进各项工作开展，明确责任，确保效果，</w:t>
      </w:r>
      <w:r>
        <w:rPr>
          <w:rFonts w:hint="eastAsia" w:ascii="仿宋_GB2312" w:hAnsi="微软雅黑" w:eastAsia="仿宋_GB2312" w:cs="宋体"/>
          <w:spacing w:val="-2"/>
          <w:sz w:val="32"/>
          <w:szCs w:val="32"/>
        </w:rPr>
        <w:t>要求大家全面深入学习，确保评价工作开展前充分把握相关政策</w:t>
      </w:r>
      <w:r>
        <w:rPr>
          <w:rFonts w:hint="eastAsia" w:ascii="仿宋_GB2312" w:hAnsi="微软雅黑" w:eastAsia="仿宋_GB2312" w:cs="宋体"/>
          <w:spacing w:val="-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认真落实各项工作自评。</w:t>
      </w:r>
    </w:p>
    <w:p>
      <w:pPr>
        <w:spacing w:line="360" w:lineRule="auto"/>
        <w:ind w:firstLine="632" w:firstLineChars="200"/>
        <w:rPr>
          <w:rFonts w:hint="eastAsia" w:ascii="仿宋_GB2312" w:hAnsi="微软雅黑" w:eastAsia="仿宋_GB2312" w:cs="宋体"/>
          <w:spacing w:val="-2"/>
          <w:sz w:val="32"/>
          <w:szCs w:val="32"/>
        </w:rPr>
      </w:pPr>
      <w:r>
        <w:rPr>
          <w:rFonts w:hint="eastAsia" w:ascii="仿宋_GB2312" w:hAnsi="微软雅黑" w:eastAsia="仿宋_GB2312" w:cs="宋体"/>
          <w:spacing w:val="-2"/>
          <w:sz w:val="32"/>
          <w:szCs w:val="32"/>
          <w:lang w:val="en-US" w:eastAsia="zh-CN"/>
        </w:rPr>
        <w:t>2、</w:t>
      </w:r>
      <w:r>
        <w:rPr>
          <w:rFonts w:hint="eastAsia" w:ascii="仿宋_GB2312" w:hAnsi="微软雅黑" w:eastAsia="仿宋_GB2312" w:cs="宋体"/>
          <w:spacing w:val="-2"/>
          <w:sz w:val="32"/>
          <w:szCs w:val="32"/>
        </w:rPr>
        <w:t>加强沟通协调。积极与相关各方沟通，加快工作进度，一是与财政局沟通，对工作的具体安排和政策要求进行咨询；二是与各项目的业务科室沟通，督促其尽快落实自评工作，要求其按时提交自评材料，为下一步绩效评价工作做好准备。</w:t>
      </w:r>
    </w:p>
    <w:p>
      <w:pPr>
        <w:spacing w:line="360" w:lineRule="auto"/>
        <w:ind w:firstLine="632" w:firstLineChars="200"/>
        <w:rPr>
          <w:rFonts w:hint="eastAsia" w:ascii="仿宋_GB2312" w:hAnsi="微软雅黑" w:eastAsia="仿宋_GB2312" w:cs="宋体"/>
          <w:spacing w:val="-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spacing w:val="-2"/>
          <w:sz w:val="32"/>
          <w:szCs w:val="32"/>
          <w:lang w:val="en-US" w:eastAsia="zh-CN"/>
        </w:rPr>
        <w:t>3、部门日常财务管理、专项监督检查</w:t>
      </w:r>
    </w:p>
    <w:p>
      <w:pPr>
        <w:spacing w:line="360" w:lineRule="auto"/>
        <w:ind w:firstLine="632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微软雅黑" w:eastAsia="仿宋_GB2312" w:cs="宋体"/>
          <w:spacing w:val="-2"/>
          <w:sz w:val="32"/>
          <w:szCs w:val="32"/>
          <w:lang w:val="en-US" w:eastAsia="zh-CN"/>
        </w:rPr>
        <w:t>预算资金的使用与管理符合财政预算管理的有关规定，具有相应的监控机制，遵循公开、公平、公正和统筹规划、突出重点、讲求实效原则，确保资金规范、安全和高效。</w:t>
      </w:r>
    </w:p>
    <w:p>
      <w:pPr>
        <w:numPr>
          <w:ilvl w:val="0"/>
          <w:numId w:val="2"/>
        </w:numPr>
        <w:spacing w:line="560" w:lineRule="exact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自评的方法和过程</w:t>
      </w:r>
    </w:p>
    <w:p>
      <w:pPr>
        <w:spacing w:line="52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绩效自评结果对比倒查的年初绩效目标，制定了项目质量标准，采取了相应的项目质量检查、验收等必需的控制措施或手段。绩效目标设定清晰准确，绩效指标全面完整、科学合理，绩效标准恰当适宜、易于评价。</w:t>
      </w:r>
    </w:p>
    <w:p>
      <w:pPr>
        <w:spacing w:line="560" w:lineRule="exact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   三、部门整体支出绩效目标实现情况及指标分析</w:t>
      </w:r>
    </w:p>
    <w:p>
      <w:pPr>
        <w:numPr>
          <w:ilvl w:val="0"/>
          <w:numId w:val="3"/>
        </w:numPr>
        <w:spacing w:line="560" w:lineRule="exact"/>
        <w:ind w:firstLine="640" w:firstLineChars="200"/>
        <w:rPr>
          <w:rFonts w:ascii="楷体" w:hAnsi="楷体" w:eastAsia="楷体" w:cs="楷体_GB2312"/>
          <w:bCs/>
          <w:sz w:val="32"/>
          <w:szCs w:val="32"/>
        </w:rPr>
      </w:pPr>
      <w:r>
        <w:rPr>
          <w:rFonts w:hint="eastAsia" w:ascii="楷体" w:hAnsi="楷体" w:eastAsia="楷体" w:cs="楷体_GB2312"/>
          <w:bCs/>
          <w:sz w:val="32"/>
          <w:szCs w:val="32"/>
        </w:rPr>
        <w:t>总体绩效目标实现情况</w:t>
      </w:r>
    </w:p>
    <w:p>
      <w:pPr>
        <w:pStyle w:val="4"/>
        <w:spacing w:before="0" w:beforeAutospacing="0" w:after="0" w:afterAutospacing="0" w:line="540" w:lineRule="atLeast"/>
        <w:ind w:firstLine="560"/>
        <w:jc w:val="both"/>
        <w:rPr>
          <w:rFonts w:hint="default" w:ascii="楷体" w:hAnsi="楷体" w:eastAsia="楷体" w:cs="楷体_GB2312"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微软雅黑" w:eastAsia="仿宋_GB2312"/>
          <w:sz w:val="32"/>
          <w:szCs w:val="32"/>
        </w:rPr>
        <w:t>我单位高度重视财政资金的支出绩效，资金从预算、执行、验收、资金支付等流程层层把关，严格按照部门预算进行支出。所有项目资金严格按照项目申报的实施方案组织实施，并责成项目实施科室加强日常监督，做好项目实施的跟踪协调工作，达到预期绩效目标。</w:t>
      </w:r>
    </w:p>
    <w:p>
      <w:pPr>
        <w:spacing w:line="560" w:lineRule="exact"/>
        <w:rPr>
          <w:rFonts w:ascii="楷体" w:hAnsi="楷体" w:eastAsia="楷体"/>
          <w:bCs/>
          <w:sz w:val="32"/>
          <w:szCs w:val="32"/>
        </w:rPr>
      </w:pPr>
      <w:r>
        <w:rPr>
          <w:rFonts w:hint="eastAsia" w:ascii="仿宋" w:hAnsi="仿宋" w:eastAsia="仿宋" w:cs="楷体_GB2312"/>
          <w:b/>
          <w:bCs/>
          <w:sz w:val="32"/>
          <w:szCs w:val="32"/>
        </w:rPr>
        <w:t xml:space="preserve">    </w:t>
      </w:r>
      <w:r>
        <w:rPr>
          <w:rFonts w:hint="eastAsia" w:ascii="楷体" w:hAnsi="楷体" w:eastAsia="楷体" w:cs="楷体_GB2312"/>
          <w:bCs/>
          <w:sz w:val="32"/>
          <w:szCs w:val="32"/>
        </w:rPr>
        <w:t>（二）分项绩效目标实现情况及指标分析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1、 农业机械购置补贴项目建设与管理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促进农业机械化全程全面高质高效发展，全力保障粮食和主要农产品生产全程机械化的需求，为粮食安全和主要农产品有效供给提供坚实的物质技术支撑，加快技术先进农机产品推广，促进农机工业转型升级，提高农机作业质量。推动普惠共享，通过对生产者直接补贴调动其推广使用先进实用农机产品，降低农民劳动强度，提升生产效率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主要农机装备数量稳步增长，装备结构更加合理，区域发展更加协调，农业机械总动力达到40万千瓦。耕、种、收综合机械化水平达到80%以上，小麦、玉米等生产全程机械化取得长足发展，主要经济作物机械化生产和现代设施农业取得明显进展，养殖业、林果业、农产品初加工机械化协调推进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2、土地深松、深翻项目建设与管理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绩效目标：通过实施土地深松、深翻项目，可以打破坚硬的犁底层，加深耕层，还可以降低土壤容重，提高土壤通透性，提高耕地质量，</w:t>
      </w:r>
      <w:bookmarkStart w:id="0" w:name="25671434-26747605-3"/>
      <w:bookmarkEnd w:id="0"/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同时增强雨水人渗速度和数量，提高土壤蓄水能力，促进农作物根系下扎，提高作物抗旱、抗倒伏能力，经试验对比，深翻深松一次每亩耕地的蓄水能力达到10立方米以上，土壤蓄水能力是浅耕的2倍，可使不同类型土壤透水率提高5-7倍。可促进作物增产40-70公斤。可增加肥料的溶解能力，减少化肥的挥发和流失从而提高肥料的利用率，有利于作物生长发育和提高产量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实施土地深松0.1万亩，实施作业后耕地地力提升，作物增产10%左右；每季作物可减少浇水1-2次，每亩可节支40元左右；土壤有机质含量增加，每亩可减少化肥使用5公斤，节约费用15元左右。与未实施深松、深翻项目地块相比，可减少水土流失和扬沙浮尘，有利于生态环境保护。土地深松后蓄水容量每亩可增加15立方米左右，按5万亩测算可增加土地蓄水75万立方米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3、动物强制免疫项目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绩效目标：做好春秋两季动物强制免疫工作，确保防疫密度达到100%。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绩效指标：畜禽养殖动物强制免疫群体免疫量占应强制免疫比例。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4、病死畜禽无害化处理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绩效目标：对养殖环节无害化处理给予补助，加强病死畜禽无害化处理监督和管理工作。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绩效指标：养殖环节病死猪无害化处理覆盖率，养殖环节病死猪无害化处理量占全省养殖环节病死猪比例。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5、畜禽粪污资源化利用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绩效目标：通过相关项目建成和投入使用，将有力促进我县种养循环可持续发展，加快我县现代畜牧业发展、改善农村生态环境。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绩效指标：资源化利用的畜禽粪污量占畜禽粪污产生总量的比例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6、完善农村经济管理体制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推进农村集体产权制度改革，完善农村土地承包制度，引导农村土地合理流转，创新农业经营主体，推动土地合作社、股份合作社和综合性合作社等多元化、多类型农民合作社加快发展，深入开展示范社建设行动，加大对农民专业合作社的培训力度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绩效指标：规范流转行为，优化资源配置，促进农民专业合作经济组织健康发展，加快新农村建设和城镇化进程，促进全县农业合作社规范健康发展。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7、支持农业产业化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绩效目标：组织落实省、市农业产业化经营的发展规划与政策，支持全县农业企业产业化加快发展。提高全县农业产业化经营水平，支持农业产业化龙头企业做大做强，与农户建立可靠、稳定的利益联结机制。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积极组织龙头企业参加廊交会等活动，开展商企对接、银企对接，加大产品宣传推介、项目招商引资力度，全县农业产业化龙头企业销售收入年增幅10%以上。组织好农业产业化各类项目奖励资金的申报工作，增强企业发展动力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8、指导推进农村改革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绩效目标：按照省、市要求，全面深化农村重点领域、关键环节改革，加快推进农业农村体制机制创新，增强全县农村经济社会发展活力。</w:t>
      </w:r>
    </w:p>
    <w:p>
      <w:pPr>
        <w:pStyle w:val="7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绩效指标：在总结试点经验基础上，全面完成所有村的集体经营性资产产权制度改革工作。</w:t>
      </w:r>
    </w:p>
    <w:p>
      <w:pPr>
        <w:pStyle w:val="7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9、推进新农村建设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通过实施农村面貌改造提升行动和开展新民居中心村示范点建设，加快建设社会主义新农村。研究制定美丽乡村建设规划，拟定年度建设目标并监督实施，对项目招投标、项目实施和管理情况监督指导，促进我县美丽乡村深入开展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绩效指标：制定实施美丽乡村“五年规划”，按照“四美”要求，以“十二项”专项行动为重点，打造县城周边，公路沿线、景区周边、产业园区的美丽乡村特色片区。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10、农业资源保护和生态建设</w:t>
      </w:r>
    </w:p>
    <w:p>
      <w:pPr>
        <w:pStyle w:val="7"/>
        <w:ind w:left="0" w:leftChars="0"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绩效目标：按照可持续发展和建设生态农业的要求，保护农业资源，改善和保护农村环境。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绩效指标：建设生态农业，改善农村环境，实现农业可持续发展。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11、扶持农产品生产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绩效目标：对生产者采取直接补贴的办法，支持推广优良品种、先进适用种植技术，实施科学管理,提高农产品产量、质量，提高生产经营效益。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提高万亩示范片优良品种率和单产水平，实现示范片单产高出全县平均单产15%以上。促进农业生产向规模化、园区化、设施化、标准化和产销一体化发展，重点建设蔬菜、水果、中药材标准化果园。提高蔬菜生产水平，提升蔬菜质量，引进蔬菜新品种不低于4个，推广新技术不低于4项。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12、农业行政综合执法</w:t>
      </w:r>
    </w:p>
    <w:p>
      <w:pPr>
        <w:pStyle w:val="7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绩效目标：指导农业行政执法体系建设和法制宣传教育，组织种子、农药等农业投入品执法监督管理。</w:t>
      </w:r>
    </w:p>
    <w:p>
      <w:pPr>
        <w:pStyle w:val="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绩效指标：做好日常性农业投入品质量抽检，完成上级下达的护农执法行动，严格处罚违法行为。提升执法人员和农民素质，开展送法下乡宣传，定期不定期培训执法人员，进一步提高执法能力，实现公正执法，文明执法，规范执法。贯彻执行和宣传国家有关农产品质量安全方面的法律法规和标准，负责农产品质量安全方面的技术咨询、宣传培训工作。开展农产品质量安全监管工作，负责县域农产品质量安全日常监督检查工作，定期对辖区内的农产品进行质量安全抽样检测，配合市、省农产品检测中心来我县抽取蔬菜样品，本县内年抽样检测不低于2000个。定期向上级及有关单位报，送农产品质量安全检测信息，年取样数不低于120个，协助有关单位实施对全县农产品市场的管理工作，周上报信息不低于30条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四、评价结论和评价等级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根据部门职责定位和各项工作履职情况进行综合评价，给出总得分，满分100分，得出综合绩效评价等级。部门整体支出综合绩效评价分为4个等级：得分</w:t>
      </w:r>
      <w:r>
        <w:rPr>
          <w:rFonts w:ascii="仿宋" w:hAnsi="仿宋" w:eastAsia="仿宋" w:cs="Arial"/>
          <w:sz w:val="32"/>
          <w:szCs w:val="32"/>
        </w:rPr>
        <w:t>≥</w:t>
      </w:r>
      <w:r>
        <w:rPr>
          <w:rFonts w:hint="eastAsia" w:ascii="仿宋" w:hAnsi="仿宋" w:eastAsia="仿宋"/>
          <w:sz w:val="32"/>
          <w:szCs w:val="32"/>
        </w:rPr>
        <w:t>85分为优秀；75</w:t>
      </w:r>
      <w:r>
        <w:rPr>
          <w:rFonts w:ascii="仿宋" w:hAnsi="仿宋" w:eastAsia="仿宋" w:cs="Arial"/>
          <w:sz w:val="32"/>
          <w:szCs w:val="32"/>
        </w:rPr>
        <w:t>≤</w:t>
      </w:r>
      <w:r>
        <w:rPr>
          <w:rFonts w:hint="eastAsia" w:ascii="仿宋" w:hAnsi="仿宋" w:eastAsia="仿宋"/>
          <w:sz w:val="32"/>
          <w:szCs w:val="32"/>
        </w:rPr>
        <w:t>得分＜85分为良好；60</w:t>
      </w:r>
      <w:r>
        <w:rPr>
          <w:rFonts w:ascii="仿宋" w:hAnsi="仿宋" w:eastAsia="仿宋" w:cs="Arial"/>
          <w:sz w:val="32"/>
          <w:szCs w:val="32"/>
        </w:rPr>
        <w:t>≤</w:t>
      </w:r>
      <w:r>
        <w:rPr>
          <w:rFonts w:hint="eastAsia" w:ascii="仿宋" w:hAnsi="仿宋" w:eastAsia="仿宋"/>
          <w:sz w:val="32"/>
          <w:szCs w:val="32"/>
        </w:rPr>
        <w:t>得分＜75分为一般；得分＜60分为较差。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五、存在的问题及改进措施</w:t>
      </w:r>
    </w:p>
    <w:p>
      <w:pPr>
        <w:tabs>
          <w:tab w:val="left" w:pos="2220"/>
        </w:tabs>
        <w:spacing w:line="520" w:lineRule="exact"/>
        <w:ind w:firstLine="640" w:firstLineChars="200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1、进一步健全和完善财务管理制度及内部控制制度，创新管理手段，</w:t>
      </w:r>
      <w:r>
        <w:rPr>
          <w:rFonts w:hint="eastAsia" w:ascii="仿宋_GB2312" w:hAnsi="微软雅黑" w:eastAsia="仿宋_GB2312" w:cs="宋体"/>
          <w:kern w:val="0"/>
          <w:sz w:val="32"/>
          <w:szCs w:val="32"/>
          <w:lang w:eastAsia="zh-CN"/>
        </w:rPr>
        <w:t>注重科学性、完整性、细化性，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用新思路、新方法，改进完善财务管理方法。</w:t>
      </w:r>
    </w:p>
    <w:p>
      <w:pPr>
        <w:tabs>
          <w:tab w:val="left" w:pos="2220"/>
        </w:tabs>
        <w:spacing w:line="520" w:lineRule="exact"/>
        <w:rPr>
          <w:rFonts w:ascii="微软雅黑" w:hAnsi="微软雅黑" w:cs="宋体"/>
          <w:kern w:val="0"/>
          <w:sz w:val="24"/>
          <w:szCs w:val="24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 xml:space="preserve">    2、加强预算编制管理，夯实预算执行基础。遵循“量入为出、收支平衡”的原则，采取更有效程序和方法，合理安排资金，有效推进预算支出进度，达到综合预算、不偏不漏。</w:t>
      </w:r>
    </w:p>
    <w:p>
      <w:pPr>
        <w:spacing w:line="520" w:lineRule="exact"/>
        <w:ind w:firstLine="640" w:firstLineChars="200"/>
        <w:rPr>
          <w:rFonts w:hint="eastAsia" w:ascii="楷体" w:hAnsi="楷体" w:eastAsia="楷体"/>
          <w:bCs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、按照财政支出绩效管理的要求，建立科学的财政资金效益考评制度体系，不断提高财政资金使用管理的水平和效率。</w:t>
      </w:r>
    </w:p>
    <w:p>
      <w:pPr>
        <w:spacing w:line="560" w:lineRule="exact"/>
        <w:rPr>
          <w:rFonts w:ascii="仿宋" w:hAnsi="仿宋" w:eastAsia="仿宋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6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ZFangSong-Z02">
    <w:altName w:val="宋体"/>
    <w:panose1 w:val="02000000000000000000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Quad Arrow 3073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o:preferrelative="t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743A88"/>
    <w:multiLevelType w:val="singleLevel"/>
    <w:tmpl w:val="CB743A8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516AA81"/>
    <w:multiLevelType w:val="singleLevel"/>
    <w:tmpl w:val="0516AA81"/>
    <w:lvl w:ilvl="0" w:tentative="0">
      <w:start w:val="2"/>
      <w:numFmt w:val="chineseCounting"/>
      <w:suff w:val="nothing"/>
      <w:lvlText w:val="（%1）"/>
      <w:lvlJc w:val="left"/>
      <w:pPr>
        <w:ind w:left="642" w:firstLine="0"/>
      </w:pPr>
      <w:rPr>
        <w:rFonts w:hint="eastAsia"/>
      </w:rPr>
    </w:lvl>
  </w:abstractNum>
  <w:abstractNum w:abstractNumId="2">
    <w:nsid w:val="5E68489B"/>
    <w:multiLevelType w:val="singleLevel"/>
    <w:tmpl w:val="5E68489B"/>
    <w:lvl w:ilvl="0" w:tentative="0">
      <w:start w:val="1"/>
      <w:numFmt w:val="chineseCounting"/>
      <w:suff w:val="nothing"/>
      <w:lvlText w:val="（%1）"/>
      <w:lvlJc w:val="left"/>
      <w:rPr>
        <w:rFonts w:ascii="楷体" w:hAnsi="楷体" w:eastAsia="楷体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EBD2122"/>
    <w:rsid w:val="000B0260"/>
    <w:rsid w:val="007E6C1F"/>
    <w:rsid w:val="00956A93"/>
    <w:rsid w:val="009E575C"/>
    <w:rsid w:val="00AF167E"/>
    <w:rsid w:val="00AF566A"/>
    <w:rsid w:val="00B478EA"/>
    <w:rsid w:val="00B6553A"/>
    <w:rsid w:val="00BC6576"/>
    <w:rsid w:val="00CE06BA"/>
    <w:rsid w:val="00F441CC"/>
    <w:rsid w:val="01B104CA"/>
    <w:rsid w:val="02106AB0"/>
    <w:rsid w:val="02B43A28"/>
    <w:rsid w:val="046F331E"/>
    <w:rsid w:val="07956271"/>
    <w:rsid w:val="09721397"/>
    <w:rsid w:val="0BB63BED"/>
    <w:rsid w:val="0EB97A43"/>
    <w:rsid w:val="0EBD2122"/>
    <w:rsid w:val="0F214EAE"/>
    <w:rsid w:val="11B71E6A"/>
    <w:rsid w:val="1AAF0063"/>
    <w:rsid w:val="1AF3243E"/>
    <w:rsid w:val="1BE140DE"/>
    <w:rsid w:val="248C197D"/>
    <w:rsid w:val="252959AF"/>
    <w:rsid w:val="277A6671"/>
    <w:rsid w:val="292D35B7"/>
    <w:rsid w:val="2D9F664C"/>
    <w:rsid w:val="2FFD5B31"/>
    <w:rsid w:val="337F9E10"/>
    <w:rsid w:val="33EB6CFF"/>
    <w:rsid w:val="35A12947"/>
    <w:rsid w:val="37387040"/>
    <w:rsid w:val="37BF54E2"/>
    <w:rsid w:val="3B625C0A"/>
    <w:rsid w:val="3CEE1963"/>
    <w:rsid w:val="3EDF07F6"/>
    <w:rsid w:val="3FFFCC99"/>
    <w:rsid w:val="43CB4646"/>
    <w:rsid w:val="4C9C27FE"/>
    <w:rsid w:val="4FF9AD8B"/>
    <w:rsid w:val="512260B4"/>
    <w:rsid w:val="52BD6ACB"/>
    <w:rsid w:val="55537534"/>
    <w:rsid w:val="561A74F1"/>
    <w:rsid w:val="579F3795"/>
    <w:rsid w:val="597244E8"/>
    <w:rsid w:val="5E33FDA0"/>
    <w:rsid w:val="5EB71C30"/>
    <w:rsid w:val="5FDF4715"/>
    <w:rsid w:val="66AF0CE5"/>
    <w:rsid w:val="6AC537CF"/>
    <w:rsid w:val="6BEF8227"/>
    <w:rsid w:val="6E5B14A6"/>
    <w:rsid w:val="6FF34908"/>
    <w:rsid w:val="711B255E"/>
    <w:rsid w:val="78FBD64B"/>
    <w:rsid w:val="7BB51E06"/>
    <w:rsid w:val="7BC73963"/>
    <w:rsid w:val="7BF8B905"/>
    <w:rsid w:val="7C387F7C"/>
    <w:rsid w:val="7DFD96F6"/>
    <w:rsid w:val="7E6B4945"/>
    <w:rsid w:val="7E7F4340"/>
    <w:rsid w:val="7F7F9BCB"/>
    <w:rsid w:val="7FE83423"/>
    <w:rsid w:val="BAFEA325"/>
    <w:rsid w:val="BCD32437"/>
    <w:rsid w:val="CFF7F818"/>
    <w:rsid w:val="DFF4D16B"/>
    <w:rsid w:val="E7C3F532"/>
    <w:rsid w:val="EFBEBD04"/>
    <w:rsid w:val="F3AFCEEC"/>
    <w:rsid w:val="F6DFB158"/>
    <w:rsid w:val="FB9D100F"/>
    <w:rsid w:val="FECAA44D"/>
    <w:rsid w:val="FFDFBA07"/>
    <w:rsid w:val="FFF6D4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插入文本样式-插入总体目标文件"/>
    <w:basedOn w:val="1"/>
    <w:qFormat/>
    <w:uiPriority w:val="0"/>
    <w:pPr>
      <w:spacing w:before="0" w:after="0" w:line="500" w:lineRule="exact"/>
      <w:ind w:firstLine="560"/>
      <w:jc w:val="left"/>
      <w:outlineLvl w:val="9"/>
    </w:pPr>
    <w:rPr>
      <w:rFonts w:ascii="Times New Roman" w:hAnsi="Times New Roman" w:eastAsia="方正仿宋_GBK" w:cs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570</Characters>
  <Lines>4</Lines>
  <Paragraphs>1</Paragraphs>
  <ScaleCrop>false</ScaleCrop>
  <LinksUpToDate>false</LinksUpToDate>
  <CharactersWithSpaces>669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2020-02-05T11:46:00Z</dcterms:created>
  <dc:creator>欣欣大人</dc:creator>
  <cp:lastModifiedBy>cf</cp:lastModifiedBy>
  <cp:lastPrinted>2023-09-01T22:18:00Z</cp:lastPrinted>
  <dcterms:modified xsi:type="dcterms:W3CDTF">2023-11-03T07:38:50Z</dcterms:modified>
  <dc:title>附件3：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AEDB84068944A204EB4CF164E007B868</vt:lpwstr>
  </property>
</Properties>
</file>