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D99DD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2B6167D1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4BA0B710">
      <w:pPr>
        <w:spacing w:line="560" w:lineRule="exact"/>
        <w:jc w:val="center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赞皇县特色产业集群发展中心</w:t>
      </w:r>
    </w:p>
    <w:p w14:paraId="20352A1F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年度整体支出绩效自评报告</w:t>
      </w:r>
    </w:p>
    <w:p w14:paraId="40736617"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 w14:paraId="309AC0A0"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根据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《</w:t>
      </w:r>
      <w:r>
        <w:rPr>
          <w:rFonts w:hint="eastAsia" w:ascii="仿宋" w:hAnsi="仿宋" w:eastAsia="仿宋"/>
          <w:sz w:val="32"/>
          <w:szCs w:val="32"/>
          <w:lang w:eastAsia="zh-CN"/>
        </w:rPr>
        <w:t>赞皇县财政局关于</w:t>
      </w:r>
      <w:r>
        <w:rPr>
          <w:rFonts w:hint="eastAsia" w:ascii="仿宋" w:hAnsi="仿宋" w:eastAsia="仿宋"/>
          <w:sz w:val="32"/>
          <w:szCs w:val="32"/>
        </w:rPr>
        <w:t>开展 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年绩效自评工作的</w:t>
      </w:r>
      <w:r>
        <w:rPr>
          <w:rFonts w:hint="eastAsia" w:ascii="仿宋" w:hAnsi="仿宋" w:eastAsia="仿宋"/>
          <w:sz w:val="32"/>
          <w:szCs w:val="32"/>
          <w:lang w:eastAsia="zh-CN"/>
        </w:rPr>
        <w:t>通知》</w:t>
      </w:r>
      <w:r>
        <w:rPr>
          <w:rFonts w:hint="eastAsia" w:ascii="仿宋" w:hAnsi="仿宋" w:eastAsia="仿宋"/>
          <w:sz w:val="32"/>
          <w:szCs w:val="32"/>
        </w:rPr>
        <w:t>文件精神，遵循“科学性、规范性、客观性和公正性”的原则，对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赞皇县特色产业集群发展中心</w:t>
      </w:r>
      <w:r>
        <w:rPr>
          <w:rFonts w:hint="eastAsia" w:ascii="仿宋" w:hAnsi="仿宋" w:eastAsia="仿宋"/>
          <w:sz w:val="32"/>
          <w:szCs w:val="32"/>
        </w:rPr>
        <w:t>部门202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年整体支出情况实施了财政支出绩效自评价，形成本评价报告。</w:t>
      </w:r>
    </w:p>
    <w:p w14:paraId="5C32EA19">
      <w:pPr>
        <w:adjustRightInd w:val="0"/>
        <w:snapToGrid w:val="0"/>
        <w:spacing w:line="560" w:lineRule="exac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sz w:val="32"/>
          <w:szCs w:val="32"/>
        </w:rPr>
        <w:t xml:space="preserve">     一、部门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 w14:paraId="6B8EDEB4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（一）部门概况</w:t>
      </w:r>
    </w:p>
    <w:p w14:paraId="7B5D2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50" w:lineRule="exact"/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1、</w:t>
      </w:r>
      <w:r>
        <w:rPr>
          <w:rFonts w:hint="eastAsia" w:ascii="楷体" w:hAnsi="楷体" w:eastAsia="楷体" w:cs="楷体"/>
          <w:sz w:val="32"/>
          <w:szCs w:val="32"/>
        </w:rPr>
        <w:t>部门职能</w:t>
      </w:r>
    </w:p>
    <w:p w14:paraId="3A9CF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5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"/>
          <w:color w:val="000000"/>
          <w:sz w:val="32"/>
          <w:szCs w:val="32"/>
          <w:lang w:eastAsia="zh-CN"/>
        </w:rPr>
        <w:t>负责协调推动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全县酸枣仁产业发展，研究酸枣仁产业发展规划并组织实施。</w:t>
      </w:r>
    </w:p>
    <w:p w14:paraId="53E7660F"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组织机构及人员</w:t>
      </w:r>
    </w:p>
    <w:p w14:paraId="4407BF23">
      <w:pPr>
        <w:jc w:val="center"/>
        <w:outlineLvl w:val="0"/>
        <w:rPr>
          <w:rFonts w:ascii="仿宋" w:hAnsi="仿宋" w:eastAsia="仿宋" w:cs="Times New Roman"/>
          <w:sz w:val="32"/>
          <w:szCs w:val="24"/>
        </w:rPr>
      </w:pPr>
      <w:r>
        <w:rPr>
          <w:rFonts w:ascii="仿宋" w:hAnsi="仿宋" w:eastAsia="仿宋" w:cs="Times New Roman"/>
          <w:sz w:val="32"/>
          <w:szCs w:val="24"/>
        </w:rPr>
        <w:t>部门</w:t>
      </w:r>
      <w:r>
        <w:rPr>
          <w:rFonts w:hint="eastAsia" w:ascii="仿宋" w:hAnsi="仿宋" w:eastAsia="仿宋" w:cs="Times New Roman"/>
          <w:sz w:val="32"/>
          <w:szCs w:val="24"/>
        </w:rPr>
        <w:t>机构设置情况</w:t>
      </w:r>
    </w:p>
    <w:tbl>
      <w:tblPr>
        <w:tblStyle w:val="6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34"/>
        <w:gridCol w:w="1089"/>
        <w:gridCol w:w="2880"/>
      </w:tblGrid>
      <w:tr w14:paraId="208BC1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354" w:type="dxa"/>
            <w:vMerge w:val="restart"/>
            <w:noWrap w:val="0"/>
            <w:vAlign w:val="center"/>
          </w:tcPr>
          <w:p w14:paraId="4BDF9050">
            <w:pPr>
              <w:spacing w:line="300" w:lineRule="exact"/>
              <w:jc w:val="center"/>
              <w:rPr>
                <w:rFonts w:ascii="仿宋" w:hAnsi="仿宋" w:eastAsia="仿宋" w:cs="Times New Roman"/>
                <w:b/>
                <w:szCs w:val="24"/>
              </w:rPr>
            </w:pPr>
            <w:r>
              <w:rPr>
                <w:rFonts w:ascii="仿宋" w:hAnsi="仿宋" w:eastAsia="仿宋" w:cs="Times New Roman"/>
                <w:b/>
                <w:szCs w:val="24"/>
              </w:rPr>
              <w:t>单位名称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 w14:paraId="4D128BAC">
            <w:pPr>
              <w:spacing w:line="300" w:lineRule="exact"/>
              <w:jc w:val="center"/>
              <w:rPr>
                <w:rFonts w:ascii="仿宋" w:hAnsi="仿宋" w:eastAsia="仿宋" w:cs="Times New Roman"/>
                <w:b/>
                <w:szCs w:val="24"/>
              </w:rPr>
            </w:pPr>
            <w:r>
              <w:rPr>
                <w:rFonts w:ascii="仿宋" w:hAnsi="仿宋" w:eastAsia="仿宋" w:cs="Times New Roman"/>
                <w:b/>
                <w:szCs w:val="24"/>
              </w:rPr>
              <w:t>单位性质</w:t>
            </w:r>
          </w:p>
        </w:tc>
        <w:tc>
          <w:tcPr>
            <w:tcW w:w="1089" w:type="dxa"/>
            <w:vMerge w:val="restart"/>
            <w:noWrap w:val="0"/>
            <w:vAlign w:val="center"/>
          </w:tcPr>
          <w:p w14:paraId="1889345B">
            <w:pPr>
              <w:spacing w:line="300" w:lineRule="exact"/>
              <w:jc w:val="center"/>
              <w:rPr>
                <w:rFonts w:ascii="仿宋" w:hAnsi="仿宋" w:eastAsia="仿宋" w:cs="Times New Roman"/>
                <w:b/>
                <w:szCs w:val="24"/>
              </w:rPr>
            </w:pPr>
            <w:r>
              <w:rPr>
                <w:rFonts w:ascii="仿宋" w:hAnsi="仿宋" w:eastAsia="仿宋" w:cs="Times New Roman"/>
                <w:b/>
                <w:szCs w:val="24"/>
              </w:rPr>
              <w:t>单位规格</w:t>
            </w:r>
          </w:p>
        </w:tc>
        <w:tc>
          <w:tcPr>
            <w:tcW w:w="2880" w:type="dxa"/>
            <w:vMerge w:val="restart"/>
            <w:noWrap w:val="0"/>
            <w:vAlign w:val="center"/>
          </w:tcPr>
          <w:p w14:paraId="7C6AB75E">
            <w:pPr>
              <w:spacing w:line="300" w:lineRule="exact"/>
              <w:jc w:val="center"/>
              <w:rPr>
                <w:rFonts w:ascii="仿宋" w:hAnsi="仿宋" w:eastAsia="仿宋" w:cs="Times New Roman"/>
                <w:b/>
                <w:szCs w:val="24"/>
              </w:rPr>
            </w:pPr>
            <w:r>
              <w:rPr>
                <w:rFonts w:ascii="仿宋" w:hAnsi="仿宋" w:eastAsia="仿宋" w:cs="Times New Roman"/>
                <w:b/>
                <w:szCs w:val="24"/>
              </w:rPr>
              <w:t>经费保障形式</w:t>
            </w:r>
          </w:p>
        </w:tc>
      </w:tr>
      <w:tr w14:paraId="7CB466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354" w:type="dxa"/>
            <w:vMerge w:val="continue"/>
            <w:noWrap w:val="0"/>
            <w:vAlign w:val="center"/>
          </w:tcPr>
          <w:p w14:paraId="73EB9165">
            <w:pPr>
              <w:spacing w:line="300" w:lineRule="exact"/>
              <w:jc w:val="left"/>
              <w:outlineLvl w:val="0"/>
              <w:rPr>
                <w:rFonts w:ascii="仿宋" w:hAnsi="仿宋" w:eastAsia="仿宋" w:cs="Times New Roman"/>
                <w:szCs w:val="24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 w14:paraId="06AE4C14">
            <w:pPr>
              <w:spacing w:line="300" w:lineRule="exact"/>
              <w:jc w:val="left"/>
              <w:outlineLvl w:val="0"/>
              <w:rPr>
                <w:rFonts w:ascii="仿宋" w:hAnsi="仿宋" w:eastAsia="仿宋" w:cs="Times New Roman"/>
                <w:szCs w:val="24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3AD29A87">
            <w:pPr>
              <w:spacing w:line="300" w:lineRule="exact"/>
              <w:jc w:val="left"/>
              <w:outlineLvl w:val="0"/>
              <w:rPr>
                <w:rFonts w:ascii="仿宋" w:hAnsi="仿宋" w:eastAsia="仿宋" w:cs="Times New Roman"/>
                <w:szCs w:val="24"/>
              </w:rPr>
            </w:pPr>
          </w:p>
        </w:tc>
        <w:tc>
          <w:tcPr>
            <w:tcW w:w="2880" w:type="dxa"/>
            <w:vMerge w:val="continue"/>
            <w:noWrap w:val="0"/>
            <w:vAlign w:val="center"/>
          </w:tcPr>
          <w:p w14:paraId="3AC357D3">
            <w:pPr>
              <w:spacing w:line="300" w:lineRule="exact"/>
              <w:jc w:val="left"/>
              <w:outlineLvl w:val="0"/>
              <w:rPr>
                <w:rFonts w:ascii="仿宋" w:hAnsi="仿宋" w:eastAsia="仿宋" w:cs="Times New Roman"/>
                <w:szCs w:val="24"/>
              </w:rPr>
            </w:pPr>
          </w:p>
        </w:tc>
      </w:tr>
      <w:tr w14:paraId="607E0E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354" w:type="dxa"/>
            <w:noWrap w:val="0"/>
            <w:vAlign w:val="center"/>
          </w:tcPr>
          <w:p w14:paraId="29D5C599">
            <w:pPr>
              <w:spacing w:line="300" w:lineRule="exact"/>
              <w:jc w:val="center"/>
              <w:rPr>
                <w:rFonts w:ascii="仿宋" w:hAnsi="仿宋" w:eastAsia="仿宋" w:cs="Times New Roman"/>
                <w:szCs w:val="24"/>
              </w:rPr>
            </w:pPr>
            <w:r>
              <w:rPr>
                <w:rFonts w:hint="eastAsia" w:ascii="仿宋" w:hAnsi="仿宋" w:eastAsia="仿宋" w:cs="Times New Roman"/>
                <w:szCs w:val="24"/>
                <w:lang w:eastAsia="zh-CN"/>
              </w:rPr>
              <w:t>赞皇县特色产业集群发展中心</w:t>
            </w:r>
          </w:p>
        </w:tc>
        <w:tc>
          <w:tcPr>
            <w:tcW w:w="1134" w:type="dxa"/>
            <w:noWrap w:val="0"/>
            <w:vAlign w:val="center"/>
          </w:tcPr>
          <w:p w14:paraId="2477C50C">
            <w:pPr>
              <w:spacing w:line="300" w:lineRule="exact"/>
              <w:jc w:val="center"/>
              <w:rPr>
                <w:rFonts w:ascii="仿宋" w:hAnsi="仿宋" w:eastAsia="仿宋" w:cs="Times New Roman"/>
                <w:szCs w:val="24"/>
              </w:rPr>
            </w:pPr>
            <w:r>
              <w:rPr>
                <w:rFonts w:hint="eastAsia" w:ascii="仿宋" w:hAnsi="仿宋" w:eastAsia="仿宋"/>
              </w:rPr>
              <w:t>事业</w:t>
            </w:r>
          </w:p>
        </w:tc>
        <w:tc>
          <w:tcPr>
            <w:tcW w:w="1089" w:type="dxa"/>
            <w:noWrap w:val="0"/>
            <w:vAlign w:val="center"/>
          </w:tcPr>
          <w:p w14:paraId="4B857DD2">
            <w:pPr>
              <w:spacing w:line="300" w:lineRule="exact"/>
              <w:jc w:val="center"/>
              <w:rPr>
                <w:rFonts w:ascii="仿宋" w:hAnsi="仿宋" w:eastAsia="仿宋" w:cs="Times New Roman"/>
                <w:szCs w:val="24"/>
              </w:rPr>
            </w:pPr>
            <w:r>
              <w:rPr>
                <w:rFonts w:hint="eastAsia" w:ascii="仿宋" w:hAnsi="仿宋" w:eastAsia="仿宋"/>
              </w:rPr>
              <w:t>正科级</w:t>
            </w:r>
          </w:p>
        </w:tc>
        <w:tc>
          <w:tcPr>
            <w:tcW w:w="2880" w:type="dxa"/>
            <w:noWrap w:val="0"/>
            <w:vAlign w:val="center"/>
          </w:tcPr>
          <w:p w14:paraId="22A58A21">
            <w:pPr>
              <w:spacing w:line="300" w:lineRule="exact"/>
              <w:jc w:val="center"/>
              <w:rPr>
                <w:rFonts w:ascii="仿宋" w:hAnsi="仿宋" w:eastAsia="仿宋" w:cs="Times New Roman"/>
                <w:szCs w:val="24"/>
              </w:rPr>
            </w:pPr>
            <w:r>
              <w:rPr>
                <w:rFonts w:hint="eastAsia" w:ascii="仿宋" w:hAnsi="仿宋" w:eastAsia="仿宋"/>
              </w:rPr>
              <w:t>财政性资金基本保证</w:t>
            </w:r>
          </w:p>
        </w:tc>
      </w:tr>
    </w:tbl>
    <w:p w14:paraId="392B9C85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2025年度末财政拨款人员3人，退休人员0人，遗属人员0人。</w:t>
      </w:r>
    </w:p>
    <w:p w14:paraId="22AFA36B">
      <w:pPr>
        <w:pStyle w:val="5"/>
        <w:numPr>
          <w:ilvl w:val="0"/>
          <w:numId w:val="1"/>
        </w:numPr>
        <w:ind w:left="0" w:leftChars="0" w:firstLine="640" w:firstLineChars="20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资产等基本情况</w:t>
      </w:r>
    </w:p>
    <w:p w14:paraId="49786309">
      <w:pPr>
        <w:adjustRightInd w:val="0"/>
        <w:snapToGrid w:val="0"/>
        <w:spacing w:line="56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2025年年末本单位总资产8.033万元，均为固定资产。</w:t>
      </w:r>
    </w:p>
    <w:p w14:paraId="0197AD7F">
      <w:pPr>
        <w:numPr>
          <w:ilvl w:val="0"/>
          <w:numId w:val="2"/>
        </w:numPr>
        <w:adjustRightInd w:val="0"/>
        <w:snapToGrid w:val="0"/>
        <w:spacing w:line="560" w:lineRule="exact"/>
        <w:ind w:firstLine="640" w:firstLineChars="200"/>
        <w:rPr>
          <w:rFonts w:hint="eastAsia"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部门收支预决算情况</w:t>
      </w:r>
    </w:p>
    <w:p w14:paraId="70A1B325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2025年赞皇县特色产业集群发展中心年初支出预算13.546万元，年底决算数支出为13.546万元。</w:t>
      </w:r>
    </w:p>
    <w:p w14:paraId="5D2FDC14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（三）部门整体支出绩效目标、指标</w:t>
      </w:r>
    </w:p>
    <w:p w14:paraId="271BE43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1．总体绩效目标</w:t>
      </w:r>
    </w:p>
    <w:p w14:paraId="4AF7C788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(1)协调推动全县酸枣仁产业发展，研究酸枣仁产业发展规划并组织实施。</w:t>
      </w:r>
    </w:p>
    <w:p w14:paraId="6D6A27F9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(2)通过组织酸枣仁行业培训、会展论坛，推动酸枣仁区域公用品牌建设。</w:t>
      </w:r>
    </w:p>
    <w:p w14:paraId="34528CF2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(3)服务企业市场拓展及酸枣仁产业相关的招商对接。</w:t>
      </w:r>
    </w:p>
    <w:p w14:paraId="5D7B04DE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(4)做好酸枣仁相关的专家引进、种植繁育加工技术推广工作。</w:t>
      </w:r>
    </w:p>
    <w:p w14:paraId="45678417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(5)组织协调县农业农村局、县林业局、县发改局等相关部门，为酸枣仁产业发展提供支持。</w:t>
      </w:r>
    </w:p>
    <w:p w14:paraId="5323D67C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(6)完成县委、县政府交办的其他任务。</w:t>
      </w:r>
    </w:p>
    <w:p w14:paraId="6B60418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2．分项绩效目标</w:t>
      </w:r>
    </w:p>
    <w:p w14:paraId="75A5A270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（1）协调推动全县酸枣仁产业发展，研究酸枣仁产业发展规划并组织实施</w:t>
      </w:r>
    </w:p>
    <w:p w14:paraId="55838880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绩效目标：做好酸枣仁产业发展研究规划，制定工作计划、机构建设、建章立制、调查研究等工作，组织起草酸枣仁产业方面规范性文件草案，承担机关规范性文件合法性审查工作。</w:t>
      </w:r>
    </w:p>
    <w:p w14:paraId="04D3644B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绩效指标：为县委县政府</w:t>
      </w:r>
      <w:bookmarkStart w:id="0" w:name="_GoBack"/>
      <w:bookmarkEnd w:id="0"/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提供决策依据，为企业发展提供指导，推送全县酸枣仁产业发展。</w:t>
      </w:r>
    </w:p>
    <w:p w14:paraId="18ECE08F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（2）通过组织酸枣仁行业培训、会展论坛，推动酸枣仁区域公用品牌建设</w:t>
      </w:r>
    </w:p>
    <w:p w14:paraId="5B6AC63B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绩效目标：筹办酸枣仁产业大会，做好“赞皇酸枣仁”品牌建设。</w:t>
      </w:r>
    </w:p>
    <w:p w14:paraId="2E1BACB3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绩效指标：完成酸枣仁产业大会，通过各类媒体渠道广泛宣传，提升“赞皇酸枣仁”品牌形象及知名度。</w:t>
      </w:r>
    </w:p>
    <w:p w14:paraId="476A8E24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（3）服务企业市场拓展及酸枣仁产业相关的招商对接</w:t>
      </w:r>
    </w:p>
    <w:p w14:paraId="727E6E97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绩效目标：通过展会、招商会等，为本地酸枣仁全产业链企业招商引资。</w:t>
      </w:r>
    </w:p>
    <w:p w14:paraId="2F1B9AD2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绩效指标：引进酸枣仁企业入驻我县，帮助我县酸枣仁企业签订中药材直采订单，销售订单等。</w:t>
      </w:r>
    </w:p>
    <w:p w14:paraId="655B3DDA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（4）做好酸枣仁相关的专家引进、种植繁育加工技术推广工作</w:t>
      </w:r>
    </w:p>
    <w:p w14:paraId="43A6DB62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绩效目标：邀请专家学者为我县酸枣仁产业提供技术支持。</w:t>
      </w:r>
    </w:p>
    <w:p w14:paraId="0CBB5172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绩效指标：提升酸枣仁产业种植加工生产相关技术水平。</w:t>
      </w:r>
    </w:p>
    <w:p w14:paraId="4B341168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二、自评工作开展情况</w:t>
      </w:r>
    </w:p>
    <w:p w14:paraId="24D53054">
      <w:pPr>
        <w:spacing w:line="560" w:lineRule="exact"/>
        <w:rPr>
          <w:rFonts w:ascii="楷体" w:hAnsi="楷体" w:eastAsia="楷体" w:cs="楷体_GB2312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（一）自评的组织工作</w:t>
      </w:r>
    </w:p>
    <w:p w14:paraId="60512079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黑体"/>
          <w:b w:val="0"/>
          <w:bCs w:val="0"/>
          <w:kern w:val="2"/>
          <w:sz w:val="32"/>
          <w:szCs w:val="32"/>
          <w:lang w:val="en-US" w:eastAsia="zh-CN" w:bidi="ar-SA"/>
        </w:rPr>
        <w:t>中心高度重视绩效自评工作，将其作为提升预算管理水平、优化资金使用效益的重要抓手。成立了由中心主要负责人任组长、分管财务和业务的副主任任副组长、各科室负责人为成员的绩效自评工作领导小组，下设办公室在财务科，具体负责自评工作的统筹协调、组织实施和汇总上报。</w:t>
      </w:r>
    </w:p>
    <w:p w14:paraId="33DFF7C5">
      <w:pPr>
        <w:numPr>
          <w:ilvl w:val="0"/>
          <w:numId w:val="3"/>
        </w:numPr>
        <w:spacing w:line="560" w:lineRule="exact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自评的方法和过程</w:t>
      </w:r>
    </w:p>
    <w:p w14:paraId="5885A5BA">
      <w:pPr>
        <w:adjustRightInd w:val="0"/>
        <w:snapToGrid w:val="0"/>
        <w:spacing w:line="560" w:lineRule="exact"/>
        <w:ind w:firstLine="640" w:firstLineChars="200"/>
      </w:pPr>
      <w:r>
        <w:rPr>
          <w:rFonts w:hint="eastAsia" w:ascii="仿宋" w:hAnsi="仿宋" w:eastAsia="仿宋" w:cs="黑体"/>
          <w:b w:val="0"/>
          <w:bCs w:val="0"/>
          <w:kern w:val="2"/>
          <w:sz w:val="32"/>
          <w:szCs w:val="32"/>
          <w:lang w:val="en-US" w:eastAsia="zh-CN" w:bidi="ar-SA"/>
        </w:rPr>
        <w:t>成立自评工作领导小组，明确人员分工，制定自评工作实施方案，下发自评通知，组织业务培训，统一评价标准和填报口径；各科室对照绩效目标申报表，逐项梳理年度工作完成情况，采集相关数据和佐证材料，填写《绩效自评表》；财务科汇总各科室自评结果，核对财务数据与业务数据的一致性。计算部门整体支出绩效得分，形成初步自评结果。自评工作领导小组召开评议会，集体审核自评结果。撰写《绩效自评报告》，包括基本情况、绩效目标完成情况、存在问题、改进措施等。</w:t>
      </w:r>
    </w:p>
    <w:p w14:paraId="33B18C15">
      <w:pPr>
        <w:spacing w:line="560" w:lineRule="exact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三、部门整体支出绩效目标实现情况及指标分析</w:t>
      </w:r>
    </w:p>
    <w:p w14:paraId="3DBF019B">
      <w:pPr>
        <w:numPr>
          <w:ilvl w:val="0"/>
          <w:numId w:val="4"/>
        </w:numPr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总体绩效目标实现情况</w:t>
      </w:r>
    </w:p>
    <w:p w14:paraId="305DAEA0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黑体"/>
          <w:b w:val="0"/>
          <w:bCs w:val="0"/>
          <w:kern w:val="2"/>
          <w:sz w:val="32"/>
          <w:szCs w:val="32"/>
          <w:lang w:val="en-US" w:eastAsia="zh-CN" w:bidi="ar-SA"/>
        </w:rPr>
        <w:t xml:space="preserve">对于专项资金和预算支出我中心严格按照县财政预算管理，合理安排支出，使绩效目标完成率达到95%以上。在专项资金治理上的绩效执行及完成率达以了100%，更好地保障中心日常运转。 </w:t>
      </w: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</w:t>
      </w:r>
    </w:p>
    <w:p w14:paraId="35022D8F">
      <w:pPr>
        <w:spacing w:line="560" w:lineRule="exact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（二）分项绩效目标实现情况及指标分析</w:t>
      </w:r>
    </w:p>
    <w:p w14:paraId="2C69C064">
      <w:pPr>
        <w:numPr>
          <w:ilvl w:val="0"/>
          <w:numId w:val="0"/>
        </w:numPr>
        <w:spacing w:line="560" w:lineRule="exact"/>
        <w:ind w:leftChars="200"/>
        <w:rPr>
          <w:rFonts w:ascii="楷体" w:hAnsi="楷体" w:eastAsia="楷体" w:cs="楷体_GB2312"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_GB2312"/>
          <w:bCs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楷体" w:hAnsi="楷体" w:eastAsia="楷体" w:cs="楷体_GB2312"/>
          <w:bCs/>
          <w:sz w:val="32"/>
          <w:szCs w:val="32"/>
          <w:highlight w:val="none"/>
        </w:rPr>
        <w:t>预算执行情况</w:t>
      </w:r>
    </w:p>
    <w:p w14:paraId="6BF7546F">
      <w:pPr>
        <w:spacing w:line="560" w:lineRule="exact"/>
        <w:ind w:firstLine="640" w:firstLineChars="200"/>
        <w:rPr>
          <w:rFonts w:hint="eastAsia" w:ascii="仿宋" w:hAnsi="仿宋" w:eastAsia="仿宋" w:cs="楷体_GB2312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sz w:val="32"/>
          <w:szCs w:val="32"/>
          <w:highlight w:val="none"/>
          <w:lang w:eastAsia="zh-CN"/>
        </w:rPr>
        <w:t>预期指标值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100%，实际完成值100%，自评得分10分。</w:t>
      </w:r>
      <w:r>
        <w:rPr>
          <w:rFonts w:hint="eastAsia" w:ascii="仿宋" w:hAnsi="仿宋" w:eastAsia="仿宋" w:cs="楷体_GB2312"/>
          <w:b/>
          <w:bCs/>
          <w:sz w:val="32"/>
          <w:szCs w:val="32"/>
          <w:highlight w:val="none"/>
        </w:rPr>
        <w:t xml:space="preserve">  </w:t>
      </w:r>
    </w:p>
    <w:p w14:paraId="3C507E67">
      <w:pPr>
        <w:spacing w:line="560" w:lineRule="exact"/>
        <w:ind w:firstLine="321" w:firstLineChars="100"/>
        <w:rPr>
          <w:rFonts w:ascii="楷体" w:hAnsi="楷体" w:eastAsia="楷体"/>
          <w:bCs/>
          <w:sz w:val="32"/>
          <w:szCs w:val="32"/>
          <w:highlight w:val="none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  <w:highlight w:val="none"/>
        </w:rPr>
        <w:t xml:space="preserve"> </w:t>
      </w:r>
      <w:r>
        <w:rPr>
          <w:rFonts w:hint="eastAsia" w:ascii="仿宋" w:hAnsi="仿宋" w:eastAsia="仿宋" w:cs="楷体_GB2312"/>
          <w:b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楷体" w:hAnsi="楷体" w:eastAsia="楷体" w:cs="楷体_GB2312"/>
          <w:bCs/>
          <w:sz w:val="32"/>
          <w:szCs w:val="32"/>
          <w:highlight w:val="none"/>
        </w:rPr>
        <w:t>项目产出</w:t>
      </w:r>
    </w:p>
    <w:p w14:paraId="5807154E">
      <w:pPr>
        <w:spacing w:line="560" w:lineRule="exact"/>
        <w:ind w:firstLine="640" w:firstLineChars="200"/>
        <w:rPr>
          <w:rFonts w:hint="default" w:ascii="仿宋" w:hAnsi="仿宋" w:eastAsia="仿宋" w:cs="仿宋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数量指标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eastAsia="zh-CN"/>
        </w:rPr>
        <w:t>：酸枣仁产业大会举办次数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1次，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eastAsia="zh-CN"/>
        </w:rPr>
        <w:t>完成的项目工作量预期指标值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100%，实际完成值100%，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自评得分10分；质量指标：保障单位运转，完成项目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eastAsia="zh-CN"/>
        </w:rPr>
        <w:t>预期指标值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100%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，实际完成值100%，自评得分10分；时效指标：在规定时间内有序完成项目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eastAsia="zh-CN"/>
        </w:rPr>
        <w:t>预期指标值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100%，实际完成值100%，自评得分10分；成本指标：按规定严控支出，自评得分10。</w:t>
      </w:r>
    </w:p>
    <w:p w14:paraId="1F709F5D">
      <w:pPr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_GB2312"/>
          <w:bCs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楷体" w:hAnsi="楷体" w:eastAsia="楷体" w:cs="楷体_GB2312"/>
          <w:bCs/>
          <w:sz w:val="32"/>
          <w:szCs w:val="32"/>
          <w:highlight w:val="none"/>
        </w:rPr>
        <w:t>项目效益</w:t>
      </w:r>
    </w:p>
    <w:p w14:paraId="4DAD1251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经济</w:t>
      </w:r>
      <w:r>
        <w:rPr>
          <w:rFonts w:hint="eastAsia" w:ascii="仿宋" w:hAnsi="仿宋" w:eastAsia="仿宋"/>
          <w:sz w:val="32"/>
          <w:szCs w:val="32"/>
          <w:highlight w:val="none"/>
        </w:rPr>
        <w:t>效益指标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：促进我县酸枣发展、经济增收，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实际完成值100%，自评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得分40分</w:t>
      </w:r>
      <w:r>
        <w:rPr>
          <w:rFonts w:hint="eastAsia" w:ascii="仿宋" w:hAnsi="仿宋" w:eastAsia="仿宋"/>
          <w:sz w:val="32"/>
          <w:szCs w:val="32"/>
          <w:highlight w:val="none"/>
        </w:rPr>
        <w:t>。</w:t>
      </w:r>
    </w:p>
    <w:p w14:paraId="0887B026">
      <w:pPr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_GB2312"/>
          <w:bCs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楷体" w:hAnsi="楷体" w:eastAsia="楷体" w:cs="楷体_GB2312"/>
          <w:bCs/>
          <w:sz w:val="32"/>
          <w:szCs w:val="32"/>
          <w:highlight w:val="none"/>
        </w:rPr>
        <w:t>满意度</w:t>
      </w:r>
    </w:p>
    <w:p w14:paraId="742029A1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满意度指标：服务对象满意度≥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95%，实际完成值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≥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95%，得分10分</w:t>
      </w:r>
      <w:r>
        <w:rPr>
          <w:rFonts w:hint="eastAsia" w:ascii="仿宋" w:hAnsi="仿宋" w:eastAsia="仿宋"/>
          <w:sz w:val="32"/>
          <w:szCs w:val="32"/>
          <w:highlight w:val="none"/>
        </w:rPr>
        <w:t>。</w:t>
      </w:r>
    </w:p>
    <w:p w14:paraId="05ACF81C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 w14:paraId="5E985D02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根据部门职责定位和各项工作履职情况，202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年度项目主要用于做好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保障本单位工作运转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促进我县酸枣产业发展</w:t>
      </w:r>
      <w:r>
        <w:rPr>
          <w:rFonts w:hint="eastAsia" w:ascii="仿宋" w:hAnsi="仿宋" w:eastAsia="仿宋"/>
          <w:sz w:val="32"/>
          <w:szCs w:val="32"/>
        </w:rPr>
        <w:t>等。通过自评，我中心的绩效自评为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/>
          <w:sz w:val="32"/>
          <w:szCs w:val="32"/>
        </w:rPr>
        <w:t>分，项目综合绩效评价等级为优。</w:t>
      </w:r>
    </w:p>
    <w:p w14:paraId="467F5BE0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 w14:paraId="08AE0E81"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（一）存在的主要问题</w:t>
      </w:r>
    </w:p>
    <w:p w14:paraId="4827BD00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绩效指标精细化程度不够。部分指标偏定性描述，量化程度不足；个别个性指标与中心核心业务结合不够紧密，指标值设定偏宽松。</w:t>
      </w:r>
    </w:p>
    <w:p w14:paraId="7A17EF7F">
      <w:pPr>
        <w:numPr>
          <w:ilvl w:val="0"/>
          <w:numId w:val="0"/>
        </w:numPr>
        <w:spacing w:line="560" w:lineRule="exact"/>
        <w:ind w:leftChars="200" w:firstLine="320" w:firstLineChars="100"/>
        <w:rPr>
          <w:rFonts w:hint="eastAsia" w:ascii="楷体" w:hAnsi="楷体" w:eastAsia="楷体"/>
          <w:bCs/>
          <w:sz w:val="32"/>
          <w:szCs w:val="32"/>
          <w:highlight w:val="none"/>
        </w:rPr>
      </w:pPr>
      <w:r>
        <w:rPr>
          <w:rFonts w:hint="eastAsia" w:ascii="楷体" w:hAnsi="楷体" w:eastAsia="楷体"/>
          <w:bCs/>
          <w:sz w:val="32"/>
          <w:szCs w:val="32"/>
          <w:highlight w:val="none"/>
          <w:lang w:val="en-US" w:eastAsia="zh-CN"/>
        </w:rPr>
        <w:t>(二）</w:t>
      </w:r>
      <w:r>
        <w:rPr>
          <w:rFonts w:hint="eastAsia" w:ascii="楷体" w:hAnsi="楷体" w:eastAsia="楷体"/>
          <w:bCs/>
          <w:sz w:val="32"/>
          <w:szCs w:val="32"/>
          <w:highlight w:val="none"/>
        </w:rPr>
        <w:t>针对问题提出具体的改进措施或建议</w:t>
      </w:r>
    </w:p>
    <w:p w14:paraId="3E5BB6DA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优化指标设置。结合业务特点，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从数量、质量、效果等多维度设置绩效指标，多角度衡量资金绩效，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进一步细化量化标准，合理设定目标值。</w:t>
      </w:r>
    </w:p>
    <w:p w14:paraId="2C5C5E6F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六、评价工作组人员名单及签字（姓名、工作单位、职务、职称）</w:t>
      </w:r>
    </w:p>
    <w:p w14:paraId="3D24C882">
      <w:pPr>
        <w:numPr>
          <w:ilvl w:val="0"/>
          <w:numId w:val="0"/>
        </w:numPr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于瑞丽  特产中心  主任</w:t>
      </w:r>
    </w:p>
    <w:p w14:paraId="3F57E5C8">
      <w:pPr>
        <w:numPr>
          <w:ilvl w:val="0"/>
          <w:numId w:val="0"/>
        </w:numPr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丁彦彬  特产中心  副主任</w:t>
      </w:r>
    </w:p>
    <w:p w14:paraId="377DF37F">
      <w:pPr>
        <w:numPr>
          <w:ilvl w:val="0"/>
          <w:numId w:val="0"/>
        </w:numPr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王  伟  特产中心  办公室主任</w:t>
      </w:r>
    </w:p>
    <w:p w14:paraId="19E57E02">
      <w:pPr>
        <w:numPr>
          <w:ilvl w:val="0"/>
          <w:numId w:val="0"/>
        </w:numPr>
        <w:adjustRightInd w:val="0"/>
        <w:snapToGrid w:val="0"/>
        <w:spacing w:line="560" w:lineRule="exact"/>
        <w:ind w:firstLine="560" w:firstLineChars="200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刘晓伟  特产中心  财务</w:t>
      </w:r>
    </w:p>
    <w:p w14:paraId="42295649">
      <w:pPr>
        <w:spacing w:line="560" w:lineRule="exact"/>
        <w:rPr>
          <w:rFonts w:ascii="仿宋" w:hAnsi="仿宋" w:eastAsia="仿宋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7D2C8">
    <w:pPr>
      <w:pStyle w:val="3"/>
    </w:pPr>
    <w:r>
      <w:pict>
        <v:shape id="Quad Arrow 3073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o:preferrelative="t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209C4BA1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- 1 -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E5DEC2"/>
    <w:multiLevelType w:val="singleLevel"/>
    <w:tmpl w:val="84E5DEC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516AA81"/>
    <w:multiLevelType w:val="singleLevel"/>
    <w:tmpl w:val="0516AA81"/>
    <w:lvl w:ilvl="0" w:tentative="0">
      <w:start w:val="2"/>
      <w:numFmt w:val="chineseCounting"/>
      <w:suff w:val="nothing"/>
      <w:lvlText w:val="（%1）"/>
      <w:lvlJc w:val="left"/>
      <w:pPr>
        <w:ind w:left="642" w:firstLine="0"/>
      </w:pPr>
      <w:rPr>
        <w:rFonts w:hint="eastAsia"/>
      </w:rPr>
    </w:lvl>
  </w:abstractNum>
  <w:abstractNum w:abstractNumId="2">
    <w:nsid w:val="469B3857"/>
    <w:multiLevelType w:val="singleLevel"/>
    <w:tmpl w:val="469B3857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5E68489B"/>
    <w:multiLevelType w:val="singleLevel"/>
    <w:tmpl w:val="5E68489B"/>
    <w:lvl w:ilvl="0" w:tentative="0">
      <w:start w:val="1"/>
      <w:numFmt w:val="chineseCounting"/>
      <w:suff w:val="nothing"/>
      <w:lvlText w:val="（%1）"/>
      <w:lvlJc w:val="left"/>
      <w:rPr>
        <w:rFonts w:ascii="楷体" w:hAnsi="楷体" w:eastAsia="楷体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mFjY2FkNGU5NzBkNDk4OGRmOGZhM2FiYjhjYzEwNGMifQ=="/>
  </w:docVars>
  <w:rsids>
    <w:rsidRoot w:val="0EBD2122"/>
    <w:rsid w:val="000B0260"/>
    <w:rsid w:val="007E6C1F"/>
    <w:rsid w:val="00956A93"/>
    <w:rsid w:val="009E575C"/>
    <w:rsid w:val="00AF167E"/>
    <w:rsid w:val="00AF566A"/>
    <w:rsid w:val="00B478EA"/>
    <w:rsid w:val="00B6553A"/>
    <w:rsid w:val="00BC6576"/>
    <w:rsid w:val="00CE06BA"/>
    <w:rsid w:val="00F441CC"/>
    <w:rsid w:val="01B104CA"/>
    <w:rsid w:val="02106AB0"/>
    <w:rsid w:val="02B43A28"/>
    <w:rsid w:val="046F331E"/>
    <w:rsid w:val="05933125"/>
    <w:rsid w:val="07956271"/>
    <w:rsid w:val="09721397"/>
    <w:rsid w:val="0BB63BED"/>
    <w:rsid w:val="0EB97A43"/>
    <w:rsid w:val="0EBD2122"/>
    <w:rsid w:val="0F214EAE"/>
    <w:rsid w:val="11B71E6A"/>
    <w:rsid w:val="1AAF0063"/>
    <w:rsid w:val="1BE140DE"/>
    <w:rsid w:val="248C197D"/>
    <w:rsid w:val="252959AF"/>
    <w:rsid w:val="277A6671"/>
    <w:rsid w:val="292D35B7"/>
    <w:rsid w:val="2C163970"/>
    <w:rsid w:val="33EB6CFF"/>
    <w:rsid w:val="35A12947"/>
    <w:rsid w:val="35EF4D00"/>
    <w:rsid w:val="37387040"/>
    <w:rsid w:val="3B625C0A"/>
    <w:rsid w:val="3CEE1963"/>
    <w:rsid w:val="436B78D3"/>
    <w:rsid w:val="4C62516B"/>
    <w:rsid w:val="4C9C27FE"/>
    <w:rsid w:val="512260B4"/>
    <w:rsid w:val="52BD6ACB"/>
    <w:rsid w:val="55537534"/>
    <w:rsid w:val="561A74F1"/>
    <w:rsid w:val="597244E8"/>
    <w:rsid w:val="5EB71C30"/>
    <w:rsid w:val="620C37DD"/>
    <w:rsid w:val="66AF0CE5"/>
    <w:rsid w:val="6AC537CF"/>
    <w:rsid w:val="6E5B14A6"/>
    <w:rsid w:val="711B255E"/>
    <w:rsid w:val="79BE84CB"/>
    <w:rsid w:val="7BB51E06"/>
    <w:rsid w:val="7C387F7C"/>
    <w:rsid w:val="7FE83423"/>
    <w:rsid w:val="DAFFDDE4"/>
    <w:rsid w:val="F6CBA7A0"/>
    <w:rsid w:val="FFB73F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5">
    <w:name w:val="Body Text First Indent 2"/>
    <w:basedOn w:val="2"/>
    <w:unhideWhenUsed/>
    <w:qFormat/>
    <w:uiPriority w:val="0"/>
    <w:pPr>
      <w:ind w:firstLine="420" w:firstLineChars="200"/>
    </w:pPr>
  </w:style>
  <w:style w:type="paragraph" w:customStyle="1" w:styleId="8">
    <w:name w:val="插入文本样式-插入总体目标文件"/>
    <w:basedOn w:val="1"/>
    <w:qFormat/>
    <w:uiPriority w:val="0"/>
    <w:pPr>
      <w:spacing w:before="0" w:after="0" w:line="500" w:lineRule="exact"/>
      <w:ind w:firstLine="560"/>
      <w:jc w:val="left"/>
      <w:outlineLvl w:val="9"/>
    </w:pPr>
    <w:rPr>
      <w:rFonts w:ascii="Times New Roman" w:hAnsi="Times New Roman" w:eastAsia="方正仿宋_GBK" w:cs="Times New Roman"/>
      <w:sz w:val="28"/>
    </w:rPr>
  </w:style>
  <w:style w:type="paragraph" w:customStyle="1" w:styleId="9">
    <w:name w:val="插入文本样式-插入职责分类绩效目标文件"/>
    <w:basedOn w:val="1"/>
    <w:qFormat/>
    <w:uiPriority w:val="0"/>
    <w:pPr>
      <w:spacing w:before="0" w:after="0" w:line="500" w:lineRule="exact"/>
      <w:ind w:firstLine="560"/>
      <w:jc w:val="left"/>
      <w:outlineLvl w:val="9"/>
    </w:pPr>
    <w:rPr>
      <w:rFonts w:ascii="Times New Roman" w:hAnsi="Times New Roman" w:eastAsia="方正仿宋_GBK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2050</Words>
  <Characters>2146</Characters>
  <Lines>4</Lines>
  <Paragraphs>1</Paragraphs>
  <TotalTime>1</TotalTime>
  <ScaleCrop>false</ScaleCrop>
  <LinksUpToDate>false</LinksUpToDate>
  <CharactersWithSpaces>2188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2020-02-05T19:46:00Z</dcterms:created>
  <dc:creator>欣欣大人</dc:creator>
  <cp:lastModifiedBy>燕儿</cp:lastModifiedBy>
  <cp:lastPrinted>2024-03-07T23:40:00Z</cp:lastPrinted>
  <dcterms:modified xsi:type="dcterms:W3CDTF">2026-10-09T01:30:58Z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96934721B1514D3FBAA28020338CE855_12</vt:lpwstr>
  </property>
  <property fmtid="{D5CDD505-2E9C-101B-9397-08002B2CF9AE}" pid="4" name="KSOTemplateDocerSaveRecord">
    <vt:lpwstr>eyJoZGlkIjoiYTRkZjYwODQyN2QxOTU4Mzc5MDkyZjcyNTA5NjE4M2QiLCJ1c2VySWQiOiI3MTU0NjQwNTQifQ==</vt:lpwstr>
  </property>
</Properties>
</file>