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4DD6A6">
      <w:pPr>
        <w:keepNext w:val="0"/>
        <w:keepLines w:val="0"/>
        <w:pageBreakBefore w:val="0"/>
        <w:widowControl w:val="0"/>
        <w:kinsoku/>
        <w:wordWrap/>
        <w:overflowPunct/>
        <w:topLinePunct w:val="0"/>
        <w:bidi w:val="0"/>
        <w:adjustRightInd/>
        <w:snapToGrid/>
        <w:spacing w:after="66" w:afterLines="20" w:line="720" w:lineRule="exact"/>
        <w:jc w:val="both"/>
        <w:textAlignment w:val="auto"/>
        <w:rPr>
          <w:rFonts w:ascii="仿宋" w:hAnsi="仿宋" w:eastAsia="仿宋"/>
          <w:color w:val="000000"/>
          <w:sz w:val="32"/>
          <w:szCs w:val="32"/>
        </w:rPr>
      </w:pPr>
    </w:p>
    <w:p w14:paraId="5DDD4C56">
      <w:pPr>
        <w:pStyle w:val="2"/>
        <w:rPr>
          <w:rFonts w:ascii="仿宋" w:hAnsi="仿宋" w:eastAsia="仿宋"/>
          <w:color w:val="000000"/>
          <w:sz w:val="32"/>
          <w:szCs w:val="32"/>
        </w:rPr>
      </w:pPr>
    </w:p>
    <w:p w14:paraId="3B38835F">
      <w:pPr>
        <w:pStyle w:val="3"/>
        <w:rPr>
          <w:rFonts w:ascii="仿宋" w:hAnsi="仿宋" w:eastAsia="仿宋"/>
          <w:color w:val="000000"/>
          <w:sz w:val="32"/>
          <w:szCs w:val="32"/>
        </w:rPr>
      </w:pPr>
    </w:p>
    <w:p w14:paraId="2F9F0B73"/>
    <w:p w14:paraId="749D0A69"/>
    <w:p w14:paraId="2CE222CF">
      <w:pPr>
        <w:pStyle w:val="2"/>
      </w:pPr>
    </w:p>
    <w:p w14:paraId="1ECD9FD9">
      <w:pPr>
        <w:keepNext w:val="0"/>
        <w:keepLines w:val="0"/>
        <w:pageBreakBefore w:val="0"/>
        <w:widowControl w:val="0"/>
        <w:kinsoku/>
        <w:wordWrap/>
        <w:overflowPunct/>
        <w:topLinePunct w:val="0"/>
        <w:autoSpaceDE w:val="0"/>
        <w:autoSpaceDN w:val="0"/>
        <w:bidi w:val="0"/>
        <w:adjustRightInd/>
        <w:snapToGrid/>
        <w:spacing w:after="0" w:line="570" w:lineRule="exact"/>
        <w:jc w:val="center"/>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赞</w:t>
      </w:r>
      <w:r>
        <w:rPr>
          <w:rFonts w:hint="eastAsia" w:ascii="仿宋_GB2312" w:hAnsi="仿宋_GB2312" w:eastAsia="仿宋_GB2312" w:cs="仿宋_GB2312"/>
          <w:color w:val="000000"/>
          <w:sz w:val="32"/>
          <w:szCs w:val="32"/>
          <w:lang w:val="en-US" w:eastAsia="zh-CN"/>
        </w:rPr>
        <w:t>应急</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2026</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7</w:t>
      </w:r>
      <w:r>
        <w:rPr>
          <w:rFonts w:hint="eastAsia" w:ascii="仿宋_GB2312" w:hAnsi="仿宋_GB2312" w:eastAsia="仿宋_GB2312" w:cs="仿宋_GB2312"/>
          <w:color w:val="000000"/>
          <w:sz w:val="32"/>
          <w:szCs w:val="32"/>
        </w:rPr>
        <w:t>号</w:t>
      </w:r>
    </w:p>
    <w:p w14:paraId="52F94388">
      <w:pPr>
        <w:pStyle w:val="8"/>
        <w:keepNext w:val="0"/>
        <w:keepLines w:val="0"/>
        <w:pageBreakBefore w:val="0"/>
        <w:widowControl w:val="0"/>
        <w:kinsoku/>
        <w:wordWrap/>
        <w:overflowPunct/>
        <w:topLinePunct w:val="0"/>
        <w:autoSpaceDE w:val="0"/>
        <w:autoSpaceDN w:val="0"/>
        <w:bidi w:val="0"/>
        <w:adjustRightInd/>
        <w:snapToGrid/>
        <w:spacing w:after="0" w:line="570" w:lineRule="exact"/>
        <w:textAlignment w:val="auto"/>
        <w:rPr>
          <w:b/>
          <w:color w:val="000000"/>
          <w:sz w:val="44"/>
          <w:szCs w:val="44"/>
        </w:rPr>
      </w:pPr>
    </w:p>
    <w:p w14:paraId="6619D350">
      <w:pPr>
        <w:pStyle w:val="8"/>
        <w:keepNext w:val="0"/>
        <w:keepLines w:val="0"/>
        <w:pageBreakBefore w:val="0"/>
        <w:widowControl w:val="0"/>
        <w:kinsoku/>
        <w:wordWrap/>
        <w:overflowPunct/>
        <w:topLinePunct w:val="0"/>
        <w:autoSpaceDE w:val="0"/>
        <w:autoSpaceDN w:val="0"/>
        <w:bidi w:val="0"/>
        <w:adjustRightInd/>
        <w:snapToGrid/>
        <w:spacing w:after="0" w:line="570" w:lineRule="exact"/>
        <w:textAlignment w:val="auto"/>
        <w:rPr>
          <w:b/>
          <w:color w:val="000000"/>
          <w:sz w:val="44"/>
          <w:szCs w:val="44"/>
        </w:rPr>
      </w:pPr>
    </w:p>
    <w:p w14:paraId="0050CB7C">
      <w:pPr>
        <w:keepNext w:val="0"/>
        <w:keepLines w:val="0"/>
        <w:pageBreakBefore w:val="0"/>
        <w:widowControl w:val="0"/>
        <w:kinsoku/>
        <w:wordWrap/>
        <w:overflowPunct/>
        <w:topLinePunct w:val="0"/>
        <w:autoSpaceDE w:val="0"/>
        <w:autoSpaceDN w:val="0"/>
        <w:bidi w:val="0"/>
        <w:adjustRightInd/>
        <w:snapToGrid/>
        <w:spacing w:after="0" w:line="570" w:lineRule="exact"/>
        <w:jc w:val="center"/>
        <w:textAlignment w:val="auto"/>
        <w:rPr>
          <w:rFonts w:hint="eastAsia" w:ascii="方正小标宋简体" w:hAnsi="方正小标宋简体" w:eastAsia="方正小标宋简体" w:cs="黑体"/>
          <w:sz w:val="44"/>
          <w:szCs w:val="44"/>
          <w:lang w:val="en-US" w:eastAsia="zh-CN"/>
        </w:rPr>
      </w:pPr>
      <w:r>
        <w:rPr>
          <w:rFonts w:hint="eastAsia" w:ascii="方正小标宋简体" w:hAnsi="方正小标宋简体" w:eastAsia="方正小标宋简体" w:cs="黑体"/>
          <w:sz w:val="44"/>
          <w:szCs w:val="44"/>
        </w:rPr>
        <w:t>关于印发《</w:t>
      </w:r>
      <w:r>
        <w:rPr>
          <w:rFonts w:hint="eastAsia" w:ascii="方正小标宋简体" w:hAnsi="方正小标宋简体" w:eastAsia="方正小标宋简体" w:cs="黑体"/>
          <w:sz w:val="44"/>
          <w:szCs w:val="44"/>
          <w:lang w:val="en-US" w:eastAsia="zh-CN"/>
        </w:rPr>
        <w:t>赞皇县应急管理局2026年</w:t>
      </w:r>
    </w:p>
    <w:p w14:paraId="2B69E46E">
      <w:pPr>
        <w:keepNext w:val="0"/>
        <w:keepLines w:val="0"/>
        <w:pageBreakBefore w:val="0"/>
        <w:widowControl w:val="0"/>
        <w:kinsoku/>
        <w:wordWrap/>
        <w:overflowPunct/>
        <w:topLinePunct w:val="0"/>
        <w:autoSpaceDE w:val="0"/>
        <w:autoSpaceDN w:val="0"/>
        <w:bidi w:val="0"/>
        <w:adjustRightInd/>
        <w:snapToGrid/>
        <w:spacing w:after="0" w:line="570" w:lineRule="exact"/>
        <w:jc w:val="center"/>
        <w:textAlignment w:val="auto"/>
        <w:rPr>
          <w:rFonts w:hint="eastAsia" w:ascii="方正小标宋简体" w:hAnsi="方正小标宋简体" w:eastAsia="方正小标宋简体" w:cs="黑体"/>
          <w:sz w:val="44"/>
          <w:szCs w:val="44"/>
        </w:rPr>
      </w:pPr>
      <w:r>
        <w:rPr>
          <w:rFonts w:hint="eastAsia" w:ascii="方正小标宋简体" w:hAnsi="方正小标宋简体" w:eastAsia="方正小标宋简体" w:cs="黑体"/>
          <w:sz w:val="44"/>
          <w:szCs w:val="44"/>
          <w:lang w:val="en-US" w:eastAsia="zh-CN"/>
        </w:rPr>
        <w:t>“双随机、一公开”监管工作实施方案</w:t>
      </w:r>
      <w:r>
        <w:rPr>
          <w:rFonts w:hint="eastAsia" w:ascii="方正小标宋简体" w:hAnsi="方正小标宋简体" w:eastAsia="方正小标宋简体" w:cs="黑体"/>
          <w:sz w:val="44"/>
          <w:szCs w:val="44"/>
        </w:rPr>
        <w:t>》的</w:t>
      </w:r>
    </w:p>
    <w:p w14:paraId="0D097628">
      <w:pPr>
        <w:keepNext w:val="0"/>
        <w:keepLines w:val="0"/>
        <w:pageBreakBefore w:val="0"/>
        <w:widowControl w:val="0"/>
        <w:kinsoku/>
        <w:wordWrap/>
        <w:overflowPunct/>
        <w:topLinePunct w:val="0"/>
        <w:autoSpaceDE w:val="0"/>
        <w:autoSpaceDN w:val="0"/>
        <w:bidi w:val="0"/>
        <w:adjustRightInd/>
        <w:snapToGrid/>
        <w:spacing w:after="0" w:line="570" w:lineRule="exact"/>
        <w:jc w:val="center"/>
        <w:textAlignment w:val="auto"/>
        <w:rPr>
          <w:rFonts w:hint="eastAsia" w:ascii="仿宋_GB2312" w:eastAsia="方正小标宋简体"/>
          <w:color w:val="000000"/>
          <w:sz w:val="32"/>
          <w:szCs w:val="32"/>
          <w:lang w:val="en-US" w:eastAsia="zh-CN"/>
        </w:rPr>
      </w:pPr>
      <w:r>
        <w:rPr>
          <w:rFonts w:hint="eastAsia" w:ascii="方正小标宋简体" w:hAnsi="方正小标宋简体" w:eastAsia="方正小标宋简体" w:cs="黑体"/>
          <w:sz w:val="44"/>
          <w:szCs w:val="44"/>
        </w:rPr>
        <w:t>通</w:t>
      </w:r>
      <w:r>
        <w:rPr>
          <w:rFonts w:hint="eastAsia" w:ascii="方正小标宋简体" w:hAnsi="方正小标宋简体" w:eastAsia="方正小标宋简体" w:cs="黑体"/>
          <w:sz w:val="44"/>
          <w:szCs w:val="44"/>
          <w:lang w:val="en-US" w:eastAsia="zh-CN"/>
        </w:rPr>
        <w:t xml:space="preserve"> </w:t>
      </w:r>
      <w:r>
        <w:rPr>
          <w:rFonts w:hint="eastAsia" w:ascii="方正小标宋简体" w:hAnsi="方正小标宋简体" w:eastAsia="方正小标宋简体" w:cs="黑体"/>
          <w:sz w:val="44"/>
          <w:szCs w:val="44"/>
        </w:rPr>
        <w:t>知</w:t>
      </w:r>
    </w:p>
    <w:p w14:paraId="2F1E28EF">
      <w:pPr>
        <w:keepNext w:val="0"/>
        <w:keepLines w:val="0"/>
        <w:pageBreakBefore w:val="0"/>
        <w:widowControl w:val="0"/>
        <w:kinsoku/>
        <w:wordWrap/>
        <w:overflowPunct/>
        <w:topLinePunct w:val="0"/>
        <w:autoSpaceDE/>
        <w:autoSpaceDN/>
        <w:bidi w:val="0"/>
        <w:adjustRightInd/>
        <w:snapToGrid/>
        <w:spacing w:line="570" w:lineRule="exact"/>
        <w:textAlignment w:val="auto"/>
        <w:rPr>
          <w:rFonts w:hint="eastAsia" w:ascii="仿宋_GB2312" w:hAnsi="仿宋_GB2312" w:eastAsia="仿宋_GB2312" w:cs="仿宋_GB2312"/>
          <w:sz w:val="32"/>
          <w:szCs w:val="32"/>
          <w:lang w:val="en-US" w:eastAsia="zh-CN"/>
        </w:rPr>
      </w:pPr>
    </w:p>
    <w:p w14:paraId="31EB37C8">
      <w:pPr>
        <w:keepNext w:val="0"/>
        <w:keepLines w:val="0"/>
        <w:pageBreakBefore w:val="0"/>
        <w:widowControl w:val="0"/>
        <w:kinsoku/>
        <w:wordWrap/>
        <w:overflowPunct/>
        <w:topLinePunct w:val="0"/>
        <w:autoSpaceDE/>
        <w:autoSpaceDN/>
        <w:bidi w:val="0"/>
        <w:adjustRightInd/>
        <w:snapToGrid/>
        <w:spacing w:line="57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局各相关股室：</w:t>
      </w:r>
    </w:p>
    <w:p w14:paraId="4AB2FACB">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现将</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赞皇县应急管理局2026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“双随机、一公开”监管工作实施方案</w:t>
      </w:r>
      <w:r>
        <w:rPr>
          <w:rFonts w:hint="eastAsia" w:ascii="仿宋_GB2312" w:hAnsi="仿宋_GB2312" w:eastAsia="仿宋_GB2312" w:cs="仿宋_GB2312"/>
          <w:sz w:val="32"/>
          <w:szCs w:val="32"/>
        </w:rPr>
        <w:t>》印发给你们，请结合工作实际，认真贯彻落实。</w:t>
      </w:r>
    </w:p>
    <w:p w14:paraId="53C2B345">
      <w:pPr>
        <w:pStyle w:val="5"/>
        <w:rPr>
          <w:rFonts w:hint="eastAsia" w:ascii="仿宋_GB2312" w:hAnsi="仿宋_GB2312" w:eastAsia="仿宋_GB2312" w:cs="仿宋_GB2312"/>
          <w:sz w:val="32"/>
          <w:szCs w:val="32"/>
        </w:rPr>
      </w:pPr>
    </w:p>
    <w:p w14:paraId="02E8711E">
      <w:pPr>
        <w:keepNext w:val="0"/>
        <w:keepLines w:val="0"/>
        <w:pageBreakBefore w:val="0"/>
        <w:widowControl w:val="0"/>
        <w:kinsoku/>
        <w:wordWrap/>
        <w:overflowPunct/>
        <w:topLinePunct w:val="0"/>
        <w:autoSpaceDE/>
        <w:autoSpaceDN/>
        <w:bidi w:val="0"/>
        <w:adjustRightInd/>
        <w:snapToGrid/>
        <w:spacing w:line="560" w:lineRule="exact"/>
        <w:ind w:left="3780" w:firstLine="42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赞皇县应急管理局</w:t>
      </w:r>
    </w:p>
    <w:p w14:paraId="7DE426DC">
      <w:pPr>
        <w:keepNext w:val="0"/>
        <w:keepLines w:val="0"/>
        <w:pageBreakBefore w:val="0"/>
        <w:widowControl w:val="0"/>
        <w:kinsoku/>
        <w:wordWrap/>
        <w:overflowPunct/>
        <w:topLinePunct w:val="0"/>
        <w:autoSpaceDE/>
        <w:autoSpaceDN/>
        <w:bidi w:val="0"/>
        <w:adjustRightInd/>
        <w:snapToGrid/>
        <w:spacing w:line="560" w:lineRule="exact"/>
        <w:ind w:left="3780" w:firstLine="420"/>
        <w:jc w:val="center"/>
        <w:textAlignment w:val="auto"/>
        <w:rPr>
          <w:rFonts w:hint="eastAsia" w:ascii="仿宋_GB2312" w:hAnsi="仿宋_GB2312" w:eastAsia="仿宋_GB2312" w:cs="仿宋_GB2312"/>
          <w:snapToGrid w:val="0"/>
          <w:color w:val="000000"/>
          <w:spacing w:val="0"/>
          <w:kern w:val="0"/>
          <w:sz w:val="32"/>
          <w:szCs w:val="32"/>
          <w:lang w:val="en-US" w:eastAsia="zh-CN" w:bidi="ar-SA"/>
        </w:rPr>
        <w:sectPr>
          <w:headerReference r:id="rId5" w:type="default"/>
          <w:footerReference r:id="rId6" w:type="default"/>
          <w:pgSz w:w="11910" w:h="16840"/>
          <w:pgMar w:top="2098" w:right="1474" w:bottom="1984" w:left="1587" w:header="0" w:footer="1474" w:gutter="0"/>
          <w:pgNumType w:fmt="numberInDash"/>
          <w:cols w:space="720" w:num="1"/>
        </w:sect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color w:val="000000"/>
          <w:sz w:val="32"/>
          <w:szCs w:val="32"/>
          <w:lang w:val="en-US" w:eastAsia="zh-CN"/>
        </w:rPr>
        <w:t>2026年</w:t>
      </w:r>
      <w:bookmarkStart w:id="0" w:name="_GoBack"/>
      <w:bookmarkEnd w:id="0"/>
      <w:r>
        <w:rPr>
          <w:rFonts w:hint="eastAsia" w:ascii="仿宋_GB2312" w:hAnsi="仿宋_GB2312" w:eastAsia="仿宋_GB2312" w:cs="仿宋_GB2312"/>
          <w:color w:val="000000"/>
          <w:sz w:val="32"/>
          <w:szCs w:val="32"/>
          <w:lang w:val="en-US" w:eastAsia="zh-CN"/>
        </w:rPr>
        <w:t>7月16日</w:t>
      </w:r>
    </w:p>
    <w:p w14:paraId="014116FC">
      <w:pPr>
        <w:keepNext w:val="0"/>
        <w:keepLines w:val="0"/>
        <w:pageBreakBefore w:val="0"/>
        <w:widowControl w:val="0"/>
        <w:kinsoku/>
        <w:wordWrap/>
        <w:overflowPunct/>
        <w:topLinePunct w:val="0"/>
        <w:autoSpaceDE w:val="0"/>
        <w:autoSpaceDN w:val="0"/>
        <w:bidi w:val="0"/>
        <w:adjustRightInd/>
        <w:snapToGrid/>
        <w:spacing w:line="570" w:lineRule="exact"/>
        <w:jc w:val="center"/>
        <w:textAlignment w:val="auto"/>
        <w:rPr>
          <w:rFonts w:hint="eastAsia" w:ascii="方正小标宋简体" w:hAnsi="方正小标宋简体" w:eastAsia="方正小标宋简体" w:cs="黑体"/>
          <w:color w:val="000000"/>
          <w:sz w:val="44"/>
          <w:szCs w:val="44"/>
          <w:lang w:val="en-US" w:eastAsia="zh-CN"/>
        </w:rPr>
      </w:pPr>
    </w:p>
    <w:p w14:paraId="1DF71926">
      <w:pPr>
        <w:keepNext w:val="0"/>
        <w:keepLines w:val="0"/>
        <w:pageBreakBefore w:val="0"/>
        <w:widowControl w:val="0"/>
        <w:kinsoku/>
        <w:wordWrap/>
        <w:overflowPunct/>
        <w:topLinePunct w:val="0"/>
        <w:autoSpaceDE w:val="0"/>
        <w:autoSpaceDN w:val="0"/>
        <w:bidi w:val="0"/>
        <w:adjustRightInd/>
        <w:snapToGrid/>
        <w:spacing w:line="570" w:lineRule="exact"/>
        <w:jc w:val="center"/>
        <w:textAlignment w:val="auto"/>
        <w:rPr>
          <w:rFonts w:hint="eastAsia" w:ascii="方正小标宋简体" w:hAnsi="方正小标宋简体" w:eastAsia="方正小标宋简体" w:cs="方正小标宋简体"/>
          <w:b w:val="0"/>
          <w:bCs w:val="0"/>
          <w:kern w:val="0"/>
          <w:sz w:val="44"/>
          <w:szCs w:val="44"/>
          <w:lang w:val="en-US" w:eastAsia="zh-CN"/>
        </w:rPr>
      </w:pPr>
      <w:r>
        <w:rPr>
          <w:rFonts w:hint="eastAsia" w:ascii="方正小标宋简体" w:hAnsi="方正小标宋简体" w:eastAsia="方正小标宋简体" w:cs="黑体"/>
          <w:color w:val="000000"/>
          <w:sz w:val="44"/>
          <w:szCs w:val="44"/>
          <w:lang w:val="en-US" w:eastAsia="zh-CN"/>
        </w:rPr>
        <w:t>赞皇县应急管理局</w:t>
      </w:r>
      <w:r>
        <w:rPr>
          <w:rFonts w:hint="eastAsia" w:ascii="方正小标宋简体" w:hAnsi="方正小标宋简体" w:eastAsia="方正小标宋简体" w:cs="方正小标宋简体"/>
          <w:b w:val="0"/>
          <w:bCs w:val="0"/>
          <w:spacing w:val="1"/>
          <w:w w:val="97"/>
          <w:kern w:val="0"/>
          <w:sz w:val="44"/>
          <w:szCs w:val="44"/>
          <w:fitText w:val="6861" w:id="960971206"/>
          <w:lang w:val="en-US" w:eastAsia="zh-CN"/>
        </w:rPr>
        <w:t>2026</w:t>
      </w:r>
      <w:r>
        <w:rPr>
          <w:rFonts w:hint="eastAsia" w:ascii="方正小标宋简体" w:hAnsi="方正小标宋简体" w:eastAsia="方正小标宋简体" w:cs="方正小标宋简体"/>
          <w:b w:val="0"/>
          <w:bCs w:val="0"/>
          <w:spacing w:val="26"/>
          <w:w w:val="100"/>
          <w:kern w:val="0"/>
          <w:sz w:val="44"/>
          <w:szCs w:val="44"/>
          <w:fitText w:val="6861" w:id="960971206"/>
          <w:lang w:val="en-US" w:eastAsia="zh-CN"/>
        </w:rPr>
        <w:t>年“双随机、一公开”监管工</w:t>
      </w:r>
      <w:r>
        <w:rPr>
          <w:rFonts w:hint="eastAsia" w:ascii="方正小标宋简体" w:hAnsi="方正小标宋简体" w:eastAsia="方正小标宋简体" w:cs="方正小标宋简体"/>
          <w:b w:val="0"/>
          <w:bCs w:val="0"/>
          <w:spacing w:val="12"/>
          <w:w w:val="100"/>
          <w:kern w:val="0"/>
          <w:sz w:val="44"/>
          <w:szCs w:val="44"/>
          <w:fitText w:val="6861" w:id="960971206"/>
          <w:lang w:val="en-US" w:eastAsia="zh-CN"/>
        </w:rPr>
        <w:t>作</w:t>
      </w:r>
    </w:p>
    <w:p w14:paraId="09F39F50">
      <w:pPr>
        <w:keepNext w:val="0"/>
        <w:keepLines w:val="0"/>
        <w:pageBreakBefore w:val="0"/>
        <w:widowControl w:val="0"/>
        <w:kinsoku/>
        <w:wordWrap/>
        <w:overflowPunct/>
        <w:topLinePunct w:val="0"/>
        <w:autoSpaceDE w:val="0"/>
        <w:autoSpaceDN w:val="0"/>
        <w:bidi w:val="0"/>
        <w:adjustRightInd/>
        <w:snapToGrid/>
        <w:spacing w:line="570" w:lineRule="exact"/>
        <w:jc w:val="center"/>
        <w:textAlignment w:val="auto"/>
        <w:rPr>
          <w:rFonts w:hint="eastAsia" w:ascii="宋体" w:hAnsi="宋体" w:eastAsia="宋体" w:cs="宋体"/>
          <w:b w:val="0"/>
          <w:bCs w:val="0"/>
          <w:sz w:val="44"/>
          <w:szCs w:val="44"/>
          <w:lang w:val="en-US" w:eastAsia="zh-CN"/>
        </w:rPr>
      </w:pPr>
      <w:r>
        <w:rPr>
          <w:rFonts w:hint="eastAsia" w:ascii="方正小标宋简体" w:hAnsi="方正小标宋简体" w:eastAsia="方正小标宋简体" w:cs="方正小标宋简体"/>
          <w:b w:val="0"/>
          <w:bCs w:val="0"/>
          <w:spacing w:val="1"/>
          <w:w w:val="98"/>
          <w:kern w:val="0"/>
          <w:sz w:val="44"/>
          <w:szCs w:val="44"/>
          <w:fitText w:val="1727" w:id="319191977"/>
          <w:lang w:val="en-US" w:eastAsia="zh-CN"/>
        </w:rPr>
        <w:t>实施方案</w:t>
      </w:r>
    </w:p>
    <w:p w14:paraId="42FDFA37">
      <w:pPr>
        <w:keepNext w:val="0"/>
        <w:keepLines w:val="0"/>
        <w:pageBreakBefore w:val="0"/>
        <w:kinsoku/>
        <w:wordWrap/>
        <w:overflowPunct/>
        <w:topLinePunct w:val="0"/>
        <w:bidi w:val="0"/>
        <w:adjustRightInd/>
        <w:snapToGrid/>
        <w:spacing w:line="560" w:lineRule="exact"/>
        <w:textAlignment w:val="auto"/>
        <w:rPr>
          <w:rFonts w:hint="eastAsia" w:eastAsia="宋体"/>
          <w:lang w:val="en-US" w:eastAsia="zh-CN"/>
        </w:rPr>
      </w:pPr>
    </w:p>
    <w:p w14:paraId="28F89720">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kern w:val="60"/>
          <w:sz w:val="32"/>
          <w:szCs w:val="32"/>
        </w:rPr>
        <w:t>为</w:t>
      </w:r>
      <w:r>
        <w:rPr>
          <w:rFonts w:hint="eastAsia" w:ascii="仿宋_GB2312" w:hAnsi="仿宋_GB2312" w:eastAsia="仿宋_GB2312" w:cs="仿宋_GB2312"/>
          <w:color w:val="000000"/>
          <w:kern w:val="60"/>
          <w:sz w:val="32"/>
          <w:szCs w:val="32"/>
          <w:lang w:eastAsia="zh-CN"/>
        </w:rPr>
        <w:t>深入</w:t>
      </w:r>
      <w:r>
        <w:rPr>
          <w:rFonts w:hint="eastAsia" w:ascii="仿宋_GB2312" w:hAnsi="仿宋_GB2312" w:eastAsia="仿宋_GB2312" w:cs="仿宋_GB2312"/>
          <w:color w:val="000000"/>
          <w:kern w:val="60"/>
          <w:sz w:val="32"/>
          <w:szCs w:val="32"/>
        </w:rPr>
        <w:t>贯彻落实国务院、</w:t>
      </w:r>
      <w:r>
        <w:rPr>
          <w:rFonts w:hint="eastAsia" w:ascii="仿宋_GB2312" w:hAnsi="仿宋_GB2312" w:eastAsia="仿宋_GB2312" w:cs="仿宋_GB2312"/>
          <w:color w:val="000000"/>
          <w:kern w:val="60"/>
          <w:sz w:val="32"/>
          <w:szCs w:val="32"/>
          <w:lang w:eastAsia="zh-CN"/>
        </w:rPr>
        <w:t>省、市</w:t>
      </w:r>
      <w:r>
        <w:rPr>
          <w:rFonts w:hint="eastAsia" w:ascii="仿宋_GB2312" w:hAnsi="仿宋_GB2312" w:eastAsia="仿宋_GB2312" w:cs="仿宋_GB2312"/>
          <w:color w:val="000000"/>
          <w:kern w:val="60"/>
          <w:sz w:val="32"/>
          <w:szCs w:val="32"/>
          <w:lang w:val="en-US" w:eastAsia="zh-CN"/>
        </w:rPr>
        <w:t>和县委县政府</w:t>
      </w:r>
      <w:r>
        <w:rPr>
          <w:rFonts w:hint="eastAsia" w:ascii="仿宋_GB2312" w:hAnsi="仿宋_GB2312" w:eastAsia="仿宋_GB2312" w:cs="仿宋_GB2312"/>
          <w:color w:val="000000"/>
          <w:kern w:val="60"/>
          <w:sz w:val="32"/>
          <w:szCs w:val="32"/>
        </w:rPr>
        <w:t>关于优化营商环境部署要求</w:t>
      </w:r>
      <w:r>
        <w:rPr>
          <w:rFonts w:hint="eastAsia" w:ascii="仿宋_GB2312" w:hAnsi="仿宋_GB2312" w:eastAsia="仿宋_GB2312" w:cs="仿宋_GB2312"/>
          <w:sz w:val="32"/>
          <w:szCs w:val="32"/>
          <w:lang w:val="en-US" w:eastAsia="zh-CN"/>
        </w:rPr>
        <w:t>，持续提升“双随机、一公开”监管效能，进一步规范涉企行政检查，根据《国务院办公厅关于严格规范涉企行政检查的意见》（国办发〔2024〕54号）和省、市、县有关工作要求，结合本县实际，制定本方案。</w:t>
      </w:r>
    </w:p>
    <w:p w14:paraId="6E9725CB">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一、工作目标</w:t>
      </w:r>
    </w:p>
    <w:p w14:paraId="55BD0B0F">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eastAsia" w:ascii="仿宋_GB2312" w:hAnsi="仿宋" w:eastAsia="仿宋_GB2312" w:cs="仿宋"/>
          <w:snapToGrid w:val="0"/>
          <w:color w:val="000000"/>
          <w:spacing w:val="0"/>
          <w:kern w:val="10"/>
          <w:sz w:val="32"/>
          <w:szCs w:val="32"/>
          <w:lang w:val="en-US" w:eastAsia="zh-CN" w:bidi="ar-SA"/>
        </w:rPr>
      </w:pPr>
      <w:r>
        <w:rPr>
          <w:rFonts w:hint="eastAsia" w:ascii="仿宋_GB2312" w:hAnsi="仿宋" w:eastAsia="仿宋_GB2312" w:cs="仿宋"/>
          <w:snapToGrid w:val="0"/>
          <w:color w:val="000000"/>
          <w:spacing w:val="0"/>
          <w:kern w:val="10"/>
          <w:sz w:val="32"/>
          <w:szCs w:val="32"/>
          <w:lang w:val="en-US" w:eastAsia="zh-CN" w:bidi="ar-SA"/>
        </w:rPr>
        <w:t>完善“双随机、一公开”监管工作机制，强化跨部门联合抽查，拓展“一业一查”监管模式，防止重复检查、多头检查；深入推进信用风险差异化抽查，聚焦问题线索、风险隐患和重点领域，开展靶向抽查，提升监管效能；探索开展非现场检查，切实压减涉企检查频次，促进营商环境持续优化。</w:t>
      </w:r>
    </w:p>
    <w:p w14:paraId="49920F3D">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二、主要任务</w:t>
      </w:r>
    </w:p>
    <w:p w14:paraId="5C0CC78D">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（一）夯实工作基础</w:t>
      </w:r>
    </w:p>
    <w:p w14:paraId="64A020EA">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eastAsia" w:ascii="仿宋" w:hAnsi="仿宋" w:eastAsia="仿宋" w:cs="仿宋"/>
          <w:b/>
          <w:bCs/>
          <w:sz w:val="32"/>
          <w:szCs w:val="32"/>
          <w:lang w:val="en-US" w:eastAsia="zh-CN"/>
        </w:rPr>
      </w:pPr>
      <w:r>
        <w:rPr>
          <w:rFonts w:hint="eastAsia" w:ascii="仿宋_GB2312" w:hAnsi="仿宋_GB2312" w:eastAsia="仿宋_GB2312" w:cs="仿宋_GB2312"/>
          <w:b/>
          <w:bCs/>
          <w:sz w:val="32"/>
          <w:szCs w:val="32"/>
          <w:lang w:val="en-US" w:eastAsia="zh-CN"/>
        </w:rPr>
        <w:t>1.加强监管平台培训</w:t>
      </w:r>
    </w:p>
    <w:p w14:paraId="618160AF">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加强河北省双随机执法监管平台（以下简称监管平台）日常操作培训，实现“双随机、一公开”行政检查全过程规范化操作。对检查对象进行分类标注管理，确保精准抽取和精准匹配。</w:t>
      </w:r>
    </w:p>
    <w:p w14:paraId="70B38B1E">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2.动态调整“一单、两库、一指引”</w:t>
      </w:r>
    </w:p>
    <w:p w14:paraId="0C1E2ECA">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持续推进“一单、两库、一指引”规范化、精细化，动态调整并公示本级系统内随机抽查事项清单，按照监管层级及时在监管平台中完成抽查事项认领。结合监管实际，及时充实、完善检查对象名录库，在监管平台中做好新增主体的认领、非经营主体类监管对象导入，并按照检查对象行业类别和监管领域、执法检查人员业务专长和执法资质，对“两库”进行分类标注管理，实现对检查对象精准索引和精准抽取、执法人员精准匹配，为开展抽查检查打下良好的基础。</w:t>
      </w:r>
    </w:p>
    <w:p w14:paraId="3D716248">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（二）规范工作流程</w:t>
      </w:r>
    </w:p>
    <w:p w14:paraId="6198D7EB">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b/>
          <w:bCs/>
          <w:sz w:val="32"/>
          <w:szCs w:val="32"/>
          <w:lang w:val="en-US" w:eastAsia="zh-CN"/>
        </w:rPr>
        <w:t>制定年度抽查计划</w:t>
      </w:r>
    </w:p>
    <w:p w14:paraId="702995E7">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根据上级要求和本地监管实际，统筹制定2026年度双随机抽查工作计划，并及时向社会公示。严格规范年度抽查计划的线上、线下动态调整工作程序，对确需增加或取消的抽查计划，及时调整并公示。</w:t>
      </w:r>
    </w:p>
    <w:p w14:paraId="3905B457">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确保抽查企业占比不低于本地区本系统监管行业企业总数的3%，个体工商户抽查比例结合实际确定。</w:t>
      </w:r>
    </w:p>
    <w:p w14:paraId="0B17FC4F">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b/>
          <w:bCs/>
          <w:sz w:val="32"/>
          <w:szCs w:val="32"/>
          <w:lang w:val="en-US" w:eastAsia="zh-CN"/>
        </w:rPr>
        <w:t>实施“扫码入企”检查</w:t>
      </w:r>
    </w:p>
    <w:p w14:paraId="4A760E3A">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2026年按照省司法厅统一部署，将在“冀上双随机”掌上端上线入企检查二维码，实施“扫码入企”检查，通过“事前告知、事中记录、事后回看”实现执法检查全过程监督，确保涉企检查更加规范、透明。</w:t>
      </w:r>
    </w:p>
    <w:p w14:paraId="5AB9152B">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eastAsia" w:ascii="楷体_GB2312" w:hAnsi="楷体_GB2312" w:eastAsia="楷体_GB2312" w:cs="楷体_GB2312"/>
          <w:sz w:val="32"/>
          <w:szCs w:val="32"/>
          <w:lang w:val="en-US" w:eastAsia="zh-CN"/>
        </w:rPr>
      </w:pPr>
      <w:r>
        <w:rPr>
          <w:rFonts w:hint="eastAsia" w:ascii="仿宋_GB2312" w:hAnsi="仿宋_GB2312" w:eastAsia="仿宋_GB2312" w:cs="仿宋_GB2312"/>
          <w:b/>
          <w:bCs/>
          <w:sz w:val="32"/>
          <w:szCs w:val="32"/>
          <w:lang w:val="en-US" w:eastAsia="zh-CN"/>
        </w:rPr>
        <w:t>3.</w:t>
      </w:r>
      <w:r>
        <w:rPr>
          <w:rFonts w:hint="eastAsia" w:ascii="楷体_GB2312" w:hAnsi="楷体_GB2312" w:eastAsia="楷体_GB2312" w:cs="楷体_GB2312"/>
          <w:b/>
          <w:bCs/>
          <w:sz w:val="32"/>
          <w:szCs w:val="32"/>
          <w:lang w:val="en-US" w:eastAsia="zh-CN"/>
        </w:rPr>
        <w:t>规范结果处置</w:t>
      </w:r>
    </w:p>
    <w:p w14:paraId="5C8151F4">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抽查结束后，及时公示检查结果，并依法做好后续处置工作，实现抽查闭环管理。对发现的问题线索，依法依规进行处理，确保监管实效。</w:t>
      </w:r>
    </w:p>
    <w:p w14:paraId="487D0F8A">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（三）深化联合精准监管</w:t>
      </w:r>
    </w:p>
    <w:p w14:paraId="5A6A9DD2">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1.推进联合抽查</w:t>
      </w:r>
    </w:p>
    <w:p w14:paraId="6D5A75F5">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坚持“应合尽合、应联尽联”原则，深化“一业一查”部门联合监管模式，避免重复检查、多头检查。2026年跨部门联合检查次数占总抽查次数的比例达到100%，切实压减检查频次，提升联合监管效能。</w:t>
      </w:r>
    </w:p>
    <w:p w14:paraId="42F16F0F">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b/>
          <w:bCs/>
          <w:sz w:val="32"/>
          <w:szCs w:val="32"/>
          <w:lang w:val="en-US" w:eastAsia="zh-CN"/>
        </w:rPr>
        <w:t>实施差异化抽查</w:t>
      </w:r>
    </w:p>
    <w:p w14:paraId="6D4F09CD">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企业信用风险分类结果，合理确定抽查比例和频次，实施差异化抽查。对信用风险低的企业减少抽查频次，对信用风险高的企业加大抽查力度，进一步提升监管的精准性和有效性。除法律法规规章另有规定外，在本年度内对信用风险低的同一经营主体，原则上不得重复抽查。2026年运用企业信用风险分类开展随机抽查次数占总抽查次数的比例达到100%。</w:t>
      </w:r>
    </w:p>
    <w:p w14:paraId="1AED8AF8">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（四）探索非现场检查</w:t>
      </w:r>
    </w:p>
    <w:p w14:paraId="26CBAB97">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积极探索建立非现场监管工作制度和业务流程，以抽查事项清单为引领，以制定年度抽查计划为抓手，科学合理确定非现场检查任务。对可通过书面检查、网络监测、信息核查、远程互动等非现场无感式监管的，不再实施现场检查，切实压减现场检查频次，减少对经营主体正常经营的干扰。</w:t>
      </w:r>
    </w:p>
    <w:p w14:paraId="2D208D76">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（五）聚焦重点任务</w:t>
      </w:r>
    </w:p>
    <w:p w14:paraId="0A62B3CE">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结合舆情监测、风险预警等发现的问题线索，组织开展靶向抽查，加大抽查问题处置和惩戒力度，促进市场环境健康有序发展。</w:t>
      </w:r>
    </w:p>
    <w:p w14:paraId="29F1D232">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（六）推行服务型监管</w:t>
      </w:r>
    </w:p>
    <w:p w14:paraId="1F9ED360">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b/>
          <w:bCs/>
          <w:sz w:val="32"/>
          <w:szCs w:val="32"/>
          <w:lang w:val="en-US" w:eastAsia="zh-CN"/>
        </w:rPr>
        <w:t>加强合规指导</w:t>
      </w:r>
    </w:p>
    <w:p w14:paraId="6E574B5C">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在双随机现场检查中，加强合规指导，帮助经营主体及时发现经营过程中可能发生的违法失信风险，做到早发现、早纠正。</w:t>
      </w:r>
    </w:p>
    <w:p w14:paraId="6A6A4519">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b/>
          <w:bCs/>
          <w:sz w:val="32"/>
          <w:szCs w:val="32"/>
          <w:lang w:val="en-US" w:eastAsia="zh-CN"/>
        </w:rPr>
        <w:t>宣传法律法规</w:t>
      </w:r>
    </w:p>
    <w:p w14:paraId="7985C604">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积极向经营主体宣传相关法律法规，提供政策解读，提高经营主体自觉守法、诚信经营意识，实现与经营主体的良性互动，助力经营主体高质量发展。</w:t>
      </w:r>
    </w:p>
    <w:p w14:paraId="481F364E">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三、工作要求</w:t>
      </w:r>
    </w:p>
    <w:p w14:paraId="0B1C283E">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（一）加强组织领导</w:t>
      </w:r>
    </w:p>
    <w:p w14:paraId="3A7DC067">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充分认识全面深化“双随机、一公开”监管的重要意义，加强组织领导和统筹协调，持续跟踪问效，确保各项任务落实落地。相关业务科室要加强对本条线双随机抽查工作指导，督促按时完成年度抽查工作任务，提升本条线抽查工作成效。坚持问题导向和目标导向，查找问题不足，督促整改落实。</w:t>
      </w:r>
    </w:p>
    <w:p w14:paraId="42D9D553">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（二）严格抽查纪律</w:t>
      </w:r>
    </w:p>
    <w:p w14:paraId="7E40A5F7">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严格落实国务院和省、市、县关于规范涉企行政检查的要求，推动行风建设和业务工作深度融合，进一步压实主体责任，规范抽查检查行为。入企检查时要做到“五个严禁”“八个不得”，坚决杜绝任性检查、运动式检查和以各种名义变相检查等行为，自觉维护良好形象。</w:t>
      </w:r>
    </w:p>
    <w:p w14:paraId="75DEF63B">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（三）加强信息反馈</w:t>
      </w:r>
    </w:p>
    <w:p w14:paraId="731EC9B9">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认真落实信息报送制度，按照各项工作报送时间节点要求，高质量报送相关数据、工作信息。对随机抽查、监管平台使用中遇到的问题、意见建议以及好的经验做法，及时反馈县局。</w:t>
      </w:r>
    </w:p>
    <w:p w14:paraId="0BA9E8D1">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本方案自发布之日起实施，各相关股室要结合实际，认真贯彻执行，确保“双随机、一公开”监管工作取得实效。</w:t>
      </w:r>
    </w:p>
    <w:p w14:paraId="6759DA06">
      <w:pPr>
        <w:pStyle w:val="2"/>
        <w:jc w:val="right"/>
        <w:rPr>
          <w:rFonts w:hint="eastAsia" w:ascii="仿宋_GB2312" w:hAnsi="仿宋_GB2312" w:eastAsia="仿宋_GB2312" w:cs="仿宋_GB2312"/>
          <w:sz w:val="32"/>
          <w:szCs w:val="32"/>
          <w:lang w:val="en-US" w:eastAsia="zh-CN"/>
        </w:rPr>
      </w:pPr>
    </w:p>
    <w:p w14:paraId="20B066F8">
      <w:pPr>
        <w:keepNext w:val="0"/>
        <w:keepLines w:val="0"/>
        <w:pageBreakBefore w:val="0"/>
        <w:widowControl w:val="0"/>
        <w:kinsoku/>
        <w:wordWrap w:val="0"/>
        <w:overflowPunct/>
        <w:topLinePunct w:val="0"/>
        <w:autoSpaceDE/>
        <w:autoSpaceDN/>
        <w:bidi w:val="0"/>
        <w:adjustRightInd/>
        <w:snapToGrid/>
        <w:spacing w:line="570" w:lineRule="exact"/>
        <w:ind w:firstLine="640" w:firstLineChars="200"/>
        <w:jc w:val="righ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赞皇县应急管理局      </w:t>
      </w:r>
    </w:p>
    <w:p w14:paraId="65953656">
      <w:pPr>
        <w:keepNext w:val="0"/>
        <w:keepLines w:val="0"/>
        <w:pageBreakBefore w:val="0"/>
        <w:widowControl w:val="0"/>
        <w:kinsoku/>
        <w:wordWrap w:val="0"/>
        <w:overflowPunct/>
        <w:topLinePunct w:val="0"/>
        <w:autoSpaceDE/>
        <w:autoSpaceDN/>
        <w:bidi w:val="0"/>
        <w:adjustRightInd/>
        <w:snapToGrid/>
        <w:spacing w:line="570" w:lineRule="exact"/>
        <w:ind w:firstLine="640" w:firstLineChars="200"/>
        <w:jc w:val="righ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2026年7月16日  </w:t>
      </w:r>
    </w:p>
    <w:p w14:paraId="03846647">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lang w:val="en-US" w:eastAsia="zh-CN"/>
        </w:rPr>
      </w:pPr>
    </w:p>
    <w:p w14:paraId="7EB002A9"/>
    <w:sectPr>
      <w:pgSz w:w="11906" w:h="16838"/>
      <w:pgMar w:top="2098" w:right="1474" w:bottom="1984" w:left="1587" w:header="851" w:footer="1474" w:gutter="0"/>
      <w:pgNumType w:fmt="numberInDash"/>
      <w:cols w:space="72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39F87D">
    <w:pPr>
      <w:pStyle w:val="6"/>
      <w:spacing w:line="14" w:lineRule="auto"/>
      <w:rPr>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0B12B74">
                          <w:pPr>
                            <w:pStyle w:val="9"/>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- 1 -</w:t>
                          </w:r>
                          <w:r>
                            <w:rPr>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60B12B74">
                    <w:pPr>
                      <w:pStyle w:val="9"/>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- 1 -</w:t>
                    </w:r>
                    <w:r>
                      <w:rPr>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83253A">
    <w:pPr>
      <w:pStyle w:val="10"/>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1358C1"/>
    <w:rsid w:val="09DC47EA"/>
    <w:rsid w:val="0BF7590B"/>
    <w:rsid w:val="0DDA7292"/>
    <w:rsid w:val="115B06EA"/>
    <w:rsid w:val="174F484D"/>
    <w:rsid w:val="18C748B7"/>
    <w:rsid w:val="24D571B8"/>
    <w:rsid w:val="295E3016"/>
    <w:rsid w:val="2B9351F9"/>
    <w:rsid w:val="331210F9"/>
    <w:rsid w:val="348A1163"/>
    <w:rsid w:val="34AF1B39"/>
    <w:rsid w:val="35A13F7A"/>
    <w:rsid w:val="38883C0B"/>
    <w:rsid w:val="4FF34C5D"/>
    <w:rsid w:val="51303F7A"/>
    <w:rsid w:val="5402441A"/>
    <w:rsid w:val="5AE623A0"/>
    <w:rsid w:val="628F304C"/>
    <w:rsid w:val="66377F53"/>
    <w:rsid w:val="6A102F95"/>
    <w:rsid w:val="73C31078"/>
    <w:rsid w:val="75A51BF6"/>
    <w:rsid w:val="7CF95B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zh-CN" w:bidi="ar-SA"/>
    </w:rPr>
  </w:style>
  <w:style w:type="paragraph" w:styleId="4">
    <w:name w:val="heading 4"/>
    <w:basedOn w:val="1"/>
    <w:next w:val="1"/>
    <w:qFormat/>
    <w:uiPriority w:val="9"/>
    <w:pPr>
      <w:keepNext/>
      <w:keepLines/>
      <w:spacing w:before="280" w:after="290" w:line="376" w:lineRule="auto"/>
      <w:outlineLvl w:val="3"/>
    </w:pPr>
    <w:rPr>
      <w:rFonts w:ascii="Cambria" w:hAnsi="Cambria" w:cs="Times New Roman"/>
      <w:b/>
      <w:bCs/>
      <w:sz w:val="28"/>
      <w:szCs w:val="28"/>
    </w:rPr>
  </w:style>
  <w:style w:type="character" w:default="1" w:styleId="12">
    <w:name w:val="Default Paragraph Font"/>
    <w:semiHidden/>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Normal Indent"/>
    <w:basedOn w:val="1"/>
    <w:next w:val="3"/>
    <w:unhideWhenUsed/>
    <w:qFormat/>
    <w:uiPriority w:val="99"/>
    <w:pPr>
      <w:ind w:firstLine="420"/>
    </w:pPr>
  </w:style>
  <w:style w:type="paragraph" w:styleId="3">
    <w:name w:val="Body Text First Indent 2"/>
    <w:basedOn w:val="4"/>
    <w:next w:val="5"/>
    <w:qFormat/>
    <w:uiPriority w:val="0"/>
    <w:pPr>
      <w:ind w:firstLine="420" w:firstLineChars="200"/>
    </w:pPr>
    <w:rPr>
      <w:rFonts w:eastAsia="宋体"/>
      <w:w w:val="88"/>
      <w:szCs w:val="21"/>
    </w:rPr>
  </w:style>
  <w:style w:type="paragraph" w:styleId="5">
    <w:name w:val="Body Text First Indent"/>
    <w:basedOn w:val="6"/>
    <w:next w:val="1"/>
    <w:qFormat/>
    <w:uiPriority w:val="0"/>
    <w:pPr>
      <w:spacing w:line="500" w:lineRule="exact"/>
      <w:ind w:firstLine="420"/>
    </w:pPr>
    <w:rPr>
      <w:rFonts w:eastAsia="宋体"/>
      <w:sz w:val="28"/>
    </w:rPr>
  </w:style>
  <w:style w:type="paragraph" w:styleId="6">
    <w:name w:val="Body Text"/>
    <w:basedOn w:val="1"/>
    <w:next w:val="7"/>
    <w:qFormat/>
    <w:uiPriority w:val="1"/>
    <w:rPr>
      <w:rFonts w:ascii="宋体" w:hAnsi="宋体" w:eastAsia="宋体" w:cs="宋体"/>
      <w:sz w:val="32"/>
      <w:szCs w:val="32"/>
      <w:lang w:val="en-US" w:eastAsia="zh-CN" w:bidi="ar-SA"/>
    </w:rPr>
  </w:style>
  <w:style w:type="paragraph" w:styleId="7">
    <w:name w:val="Title"/>
    <w:basedOn w:val="1"/>
    <w:next w:val="1"/>
    <w:qFormat/>
    <w:uiPriority w:val="1"/>
    <w:pPr>
      <w:spacing w:before="3"/>
      <w:ind w:left="65" w:right="164"/>
      <w:jc w:val="center"/>
    </w:pPr>
    <w:rPr>
      <w:rFonts w:ascii="宋体" w:hAnsi="宋体" w:eastAsia="宋体" w:cs="宋体"/>
      <w:sz w:val="100"/>
      <w:szCs w:val="100"/>
      <w:lang w:val="en-US" w:eastAsia="zh-CN" w:bidi="ar-SA"/>
    </w:rPr>
  </w:style>
  <w:style w:type="paragraph" w:styleId="8">
    <w:name w:val="Plain Text"/>
    <w:basedOn w:val="1"/>
    <w:qFormat/>
    <w:uiPriority w:val="0"/>
    <w:rPr>
      <w:rFonts w:ascii="宋体" w:hAnsi="Courier New" w:cs="Courier New"/>
      <w:szCs w:val="21"/>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2026-07-15T07:42:54Z</dcterms:created>
  <dc:creator>Administrator</dc:creator>
  <cp:lastModifiedBy>天才少年</cp:lastModifiedBy>
  <dcterms:modified xsi:type="dcterms:W3CDTF">2026-07-15T08:19:33Z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eyJoZGlkIjoiZjI2YzcyOGY1MTJlMjdkYjY0NmMwMWQ2ZGNjMzc3NmUiLCJ1c2VySWQiOiI1Mzc3NTY5NjQifQ==</vt:lpwstr>
  </property>
  <property fmtid="{D5CDD505-2E9C-101B-9397-08002B2CF9AE}" pid="4" name="ICV">
    <vt:lpwstr>0B10C451C2824753914A8DA3B21F8A06_12</vt:lpwstr>
  </property>
</Properties>
</file>