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77AA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赞皇县发展和改革局</w:t>
      </w:r>
    </w:p>
    <w:p w14:paraId="51B6F8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关于制定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赞皇县中医医院南院区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机动车停放服务收费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标准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的方案</w:t>
      </w:r>
    </w:p>
    <w:p w14:paraId="6CCF1F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CESI楷体-GB2312" w:hAnsi="CESI楷体-GB2312" w:eastAsia="CESI楷体-GB2312" w:cs="CESI楷体-GB2312"/>
          <w:sz w:val="32"/>
          <w:szCs w:val="32"/>
          <w:lang w:eastAsia="zh-CN"/>
        </w:rPr>
      </w:pPr>
      <w:r>
        <w:rPr>
          <w:rFonts w:hint="eastAsia" w:ascii="CESI楷体-GB2312" w:hAnsi="CESI楷体-GB2312" w:eastAsia="CESI楷体-GB2312" w:cs="CESI楷体-GB2312"/>
          <w:sz w:val="32"/>
          <w:szCs w:val="32"/>
          <w:lang w:eastAsia="zh-CN"/>
        </w:rPr>
        <w:t>（征求意见稿）</w:t>
      </w:r>
    </w:p>
    <w:p w14:paraId="689F90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CESI楷体-GB2312" w:hAnsi="CESI楷体-GB2312" w:eastAsia="CESI楷体-GB2312" w:cs="CESI楷体-GB2312"/>
          <w:sz w:val="32"/>
          <w:szCs w:val="32"/>
          <w:lang w:eastAsia="zh-CN"/>
        </w:rPr>
      </w:pPr>
    </w:p>
    <w:p w14:paraId="1EACFC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  《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赞皇县中医医院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关于制定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南院区地下停车场收费标准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请示》收悉，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根据《河北省定价目录》、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《河北省政府定价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的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经营服务性收费目录清单（202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6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版）》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规定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，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中医医院南院区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机动车停放服务收费执行政府定价，由赞皇县人民政府制定。经报县政府同意，依据《中华人民共和国价格法》、《政府制定价格行为规则》和《河北省发展和改革委员会、住房和城乡建设厅、交通运输厅关于进一步完善机动车停放服务收费政策的实施意见》（冀发改价格〔2016〕1424号）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等相关法律法规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，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履行了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成本监审、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价格调查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等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定价程序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，拟定了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赞皇县中医医院南院区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机动车停放服务收费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标准定价方案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，方案如下：</w:t>
      </w:r>
    </w:p>
    <w:p w14:paraId="356E1D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国标黑体" w:hAnsi="国标黑体" w:eastAsia="国标黑体" w:cs="国标黑体"/>
          <w:sz w:val="32"/>
          <w:szCs w:val="32"/>
        </w:rPr>
      </w:pPr>
      <w:r>
        <w:rPr>
          <w:rFonts w:hint="eastAsia" w:ascii="国标黑体" w:hAnsi="国标黑体" w:eastAsia="国标黑体" w:cs="国标黑体"/>
          <w:sz w:val="32"/>
          <w:szCs w:val="32"/>
        </w:rPr>
        <w:t>一、</w:t>
      </w:r>
      <w:r>
        <w:rPr>
          <w:rFonts w:hint="eastAsia" w:ascii="国标黑体" w:hAnsi="国标黑体" w:eastAsia="国标黑体" w:cs="国标黑体"/>
          <w:sz w:val="32"/>
          <w:szCs w:val="32"/>
          <w:lang w:eastAsia="zh-CN"/>
        </w:rPr>
        <w:t>赞皇县中医医院南院区</w:t>
      </w:r>
      <w:r>
        <w:rPr>
          <w:rFonts w:hint="eastAsia" w:ascii="国标黑体" w:hAnsi="国标黑体" w:eastAsia="国标黑体" w:cs="国标黑体"/>
          <w:sz w:val="32"/>
          <w:szCs w:val="32"/>
        </w:rPr>
        <w:t>停车场基本情况</w:t>
      </w:r>
    </w:p>
    <w:p w14:paraId="4AC6F3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56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highlight w:val="none"/>
          <w:lang w:eastAsia="zh-CN"/>
        </w:rPr>
        <w:t>赞皇县中医医院南院区总占地约22亩，新建总建筑面积42869.74平方米，其中：地上建筑面积25699.74平方米，设置床位220张，功能为门诊医技楼、急诊、普通病房、感染楼、附属用房等；地下建筑面积17170平方米，功能为放化疗中心、地下车库、设备用房、食堂及人防。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随着县域经济发展和居民生活水平提高，机动车保有量持续增长，停车难、停车乱问题日益突出，严重影响就医秩序、急救通道畅通及周边交通环境。为优化停车资源配置，提高周转效率，保障急救生命通道畅通，规范停车秩序，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highlight w:val="none"/>
          <w:lang w:eastAsia="zh-CN"/>
        </w:rPr>
        <w:t>南院区地下停车场规划车位206个，现已具备运营条件。</w:t>
      </w:r>
    </w:p>
    <w:p w14:paraId="6267B8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国标黑体" w:hAnsi="国标黑体" w:eastAsia="国标黑体" w:cs="国标黑体"/>
          <w:sz w:val="32"/>
          <w:szCs w:val="32"/>
        </w:rPr>
      </w:pPr>
      <w:r>
        <w:rPr>
          <w:rFonts w:hint="eastAsia" w:ascii="国标黑体" w:hAnsi="国标黑体" w:eastAsia="国标黑体" w:cs="国标黑体"/>
          <w:sz w:val="32"/>
          <w:szCs w:val="32"/>
        </w:rPr>
        <w:t>二、成本监审情况</w:t>
      </w:r>
    </w:p>
    <w:p w14:paraId="3BDFCB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依据《政府制定价格成本监审办法》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、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《河北省发展和改革委员会、住房和城乡建设厅、交通运输厅关于进一步完善机动车停放服务收费政策的实施意见》（冀发改价格〔2016〕1424号）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有关规定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，对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赞皇县中医医院南院区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机动车停放服务收费成本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进行了调查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，停车场收费单位成本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0.52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元/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小时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。</w:t>
      </w:r>
    </w:p>
    <w:p w14:paraId="25DC204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国标黑体" w:hAnsi="国标黑体" w:eastAsia="国标黑体" w:cs="国标黑体"/>
          <w:sz w:val="32"/>
          <w:szCs w:val="32"/>
          <w:lang w:eastAsia="zh-CN"/>
        </w:rPr>
      </w:pPr>
      <w:r>
        <w:rPr>
          <w:rFonts w:hint="eastAsia" w:ascii="国标黑体" w:hAnsi="国标黑体" w:eastAsia="国标黑体" w:cs="国标黑体"/>
          <w:sz w:val="32"/>
          <w:szCs w:val="32"/>
        </w:rPr>
        <w:t>三、拟制定的</w:t>
      </w:r>
      <w:r>
        <w:rPr>
          <w:rFonts w:hint="eastAsia" w:ascii="国标黑体" w:hAnsi="国标黑体" w:eastAsia="国标黑体" w:cs="国标黑体"/>
          <w:sz w:val="32"/>
          <w:szCs w:val="32"/>
          <w:lang w:eastAsia="zh-CN"/>
        </w:rPr>
        <w:t>收费标准</w:t>
      </w:r>
    </w:p>
    <w:p w14:paraId="54F0AC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CESI楷体-GB2312" w:hAnsi="CESI楷体-GB2312" w:eastAsia="CESI楷体-GB2312" w:cs="CESI楷体-GB2312"/>
          <w:sz w:val="32"/>
          <w:szCs w:val="32"/>
        </w:rPr>
      </w:pPr>
      <w:r>
        <w:rPr>
          <w:rFonts w:hint="eastAsia" w:ascii="CESI楷体-GB2312" w:hAnsi="CESI楷体-GB2312" w:eastAsia="CESI楷体-GB2312" w:cs="CESI楷体-GB2312"/>
          <w:sz w:val="32"/>
          <w:szCs w:val="32"/>
        </w:rPr>
        <w:t>（一）停车时段划分</w:t>
      </w:r>
    </w:p>
    <w:p w14:paraId="72E659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昼间：7时30分至21时30分；夜间：21时30分至次日7时30分。</w:t>
      </w:r>
    </w:p>
    <w:p w14:paraId="54F94E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CESI楷体-GB2312" w:hAnsi="CESI楷体-GB2312" w:eastAsia="CESI楷体-GB2312" w:cs="CESI楷体-GB2312"/>
          <w:sz w:val="32"/>
          <w:szCs w:val="32"/>
        </w:rPr>
      </w:pPr>
      <w:r>
        <w:rPr>
          <w:rFonts w:hint="eastAsia" w:ascii="CESI楷体-GB2312" w:hAnsi="CESI楷体-GB2312" w:eastAsia="CESI楷体-GB2312" w:cs="CESI楷体-GB2312"/>
          <w:sz w:val="32"/>
          <w:szCs w:val="32"/>
        </w:rPr>
        <w:t>（二）车型划分</w:t>
      </w:r>
    </w:p>
    <w:p w14:paraId="5B33AC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3" w:firstLineChars="200"/>
        <w:jc w:val="center"/>
        <w:textAlignment w:val="auto"/>
        <w:rPr>
          <w:rFonts w:hint="eastAsia" w:ascii="方正仿宋_GBK" w:hAnsi="方正仿宋_GBK" w:eastAsia="方正仿宋_GBK" w:cs="方正仿宋_GBK"/>
          <w:b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/>
          <w:sz w:val="32"/>
          <w:szCs w:val="32"/>
        </w:rPr>
        <w:t>停车场车型分类</w:t>
      </w:r>
    </w:p>
    <w:tbl>
      <w:tblPr>
        <w:tblStyle w:val="5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841"/>
        <w:gridCol w:w="2841"/>
      </w:tblGrid>
      <w:tr w14:paraId="66A1DCA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" w:hRule="atLeast"/>
        </w:trPr>
        <w:tc>
          <w:tcPr>
            <w:tcW w:w="2840" w:type="dxa"/>
            <w:vMerge w:val="restart"/>
          </w:tcPr>
          <w:p w14:paraId="035BC5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类别</w:t>
            </w:r>
          </w:p>
        </w:tc>
        <w:tc>
          <w:tcPr>
            <w:tcW w:w="5682" w:type="dxa"/>
            <w:gridSpan w:val="2"/>
          </w:tcPr>
          <w:p w14:paraId="34E3CD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车型及规格</w:t>
            </w:r>
          </w:p>
        </w:tc>
      </w:tr>
      <w:tr w14:paraId="62EE294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Merge w:val="continue"/>
          </w:tcPr>
          <w:p w14:paraId="3A408D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2841" w:type="dxa"/>
          </w:tcPr>
          <w:p w14:paraId="49CDB5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客车</w:t>
            </w:r>
          </w:p>
        </w:tc>
        <w:tc>
          <w:tcPr>
            <w:tcW w:w="2841" w:type="dxa"/>
          </w:tcPr>
          <w:p w14:paraId="7E594C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货车</w:t>
            </w:r>
          </w:p>
        </w:tc>
      </w:tr>
      <w:tr w14:paraId="57CEABB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 w14:paraId="42B931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小型车</w:t>
            </w:r>
          </w:p>
        </w:tc>
        <w:tc>
          <w:tcPr>
            <w:tcW w:w="2841" w:type="dxa"/>
          </w:tcPr>
          <w:p w14:paraId="2587C6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≤7座</w:t>
            </w:r>
          </w:p>
        </w:tc>
        <w:tc>
          <w:tcPr>
            <w:tcW w:w="2841" w:type="dxa"/>
          </w:tcPr>
          <w:p w14:paraId="31E3B4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≤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2t</w:t>
            </w:r>
          </w:p>
        </w:tc>
      </w:tr>
      <w:tr w14:paraId="7B3A6B3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 w14:paraId="679E78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中型车</w:t>
            </w:r>
          </w:p>
        </w:tc>
        <w:tc>
          <w:tcPr>
            <w:tcW w:w="2841" w:type="dxa"/>
          </w:tcPr>
          <w:p w14:paraId="17F7D5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8座～19座</w:t>
            </w:r>
          </w:p>
        </w:tc>
        <w:tc>
          <w:tcPr>
            <w:tcW w:w="2841" w:type="dxa"/>
          </w:tcPr>
          <w:p w14:paraId="6DC9E3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2t～5t(含5t)</w:t>
            </w:r>
          </w:p>
        </w:tc>
      </w:tr>
      <w:tr w14:paraId="3395A27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 w14:paraId="15F142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大型车</w:t>
            </w:r>
          </w:p>
        </w:tc>
        <w:tc>
          <w:tcPr>
            <w:tcW w:w="2841" w:type="dxa"/>
          </w:tcPr>
          <w:p w14:paraId="449B1E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≥20座</w:t>
            </w:r>
          </w:p>
        </w:tc>
        <w:tc>
          <w:tcPr>
            <w:tcW w:w="2841" w:type="dxa"/>
          </w:tcPr>
          <w:p w14:paraId="042990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＞5t</w:t>
            </w:r>
          </w:p>
        </w:tc>
      </w:tr>
    </w:tbl>
    <w:p w14:paraId="057325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CESI楷体-GB2312" w:hAnsi="CESI楷体-GB2312" w:eastAsia="CESI楷体-GB2312" w:cs="CESI楷体-GB2312"/>
          <w:sz w:val="32"/>
          <w:szCs w:val="32"/>
        </w:rPr>
      </w:pPr>
      <w:r>
        <w:rPr>
          <w:rFonts w:hint="eastAsia" w:ascii="CESI楷体-GB2312" w:hAnsi="CESI楷体-GB2312" w:eastAsia="CESI楷体-GB2312" w:cs="CESI楷体-GB2312"/>
          <w:sz w:val="32"/>
          <w:szCs w:val="32"/>
        </w:rPr>
        <w:t>(三)拟定收费标准</w:t>
      </w:r>
    </w:p>
    <w:p w14:paraId="46AD02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1.小型机动车辆昼间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两小时内收费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2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元，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以后每小时加收一元，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8元封顶；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夜间每辆次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5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元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。</w:t>
      </w:r>
    </w:p>
    <w:p w14:paraId="12D86A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2.中型机动车在小型机动车收费标准基础上加收50%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。</w:t>
      </w:r>
    </w:p>
    <w:p w14:paraId="548902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3.大型机动车在小型机动车收费标准基础上加收100%。</w:t>
      </w:r>
    </w:p>
    <w:p w14:paraId="4F7C7A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CESI楷体-GB2312" w:hAnsi="CESI楷体-GB2312" w:eastAsia="CESI楷体-GB2312" w:cs="CESI楷体-GB2312"/>
          <w:sz w:val="32"/>
          <w:szCs w:val="32"/>
        </w:rPr>
      </w:pPr>
      <w:r>
        <w:rPr>
          <w:rFonts w:hint="eastAsia" w:ascii="CESI楷体-GB2312" w:hAnsi="CESI楷体-GB2312" w:eastAsia="CESI楷体-GB2312" w:cs="CESI楷体-GB2312"/>
          <w:sz w:val="32"/>
          <w:szCs w:val="32"/>
        </w:rPr>
        <w:t>（四）计费规则</w:t>
      </w:r>
    </w:p>
    <w:p w14:paraId="264159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按小时计费的，不足一小时按一小时计收。</w:t>
      </w:r>
    </w:p>
    <w:p w14:paraId="2B6938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夜间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计次收费的，跨昼夜时段停放机动车辆，夜间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停车时段不足1小时的，该时段计入昼间停车时段，按昼间收费标准计收。</w:t>
      </w:r>
    </w:p>
    <w:p w14:paraId="159845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CESI楷体-GB2312" w:hAnsi="CESI楷体-GB2312" w:eastAsia="CESI楷体-GB2312" w:cs="CESI楷体-GB2312"/>
          <w:sz w:val="32"/>
          <w:szCs w:val="32"/>
        </w:rPr>
      </w:pPr>
      <w:r>
        <w:rPr>
          <w:rFonts w:hint="eastAsia" w:ascii="CESI楷体-GB2312" w:hAnsi="CESI楷体-GB2312" w:eastAsia="CESI楷体-GB2312" w:cs="CESI楷体-GB2312"/>
          <w:sz w:val="32"/>
          <w:szCs w:val="32"/>
        </w:rPr>
        <w:t>（五）减免措施</w:t>
      </w:r>
    </w:p>
    <w:p w14:paraId="2573DD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1.对执行任务的军车、警车、消防车、救护车、救灾车、工程抢险车等免收停车服务费。</w:t>
      </w:r>
    </w:p>
    <w:p w14:paraId="3B3C5E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2.停放时间不足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60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分钟的免收停车服务费。</w:t>
      </w:r>
    </w:p>
    <w:p w14:paraId="6F6DFC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3.法律、法规规定的其他应当免收车辆停放服务费的车辆。</w:t>
      </w:r>
    </w:p>
    <w:p w14:paraId="484F88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国标黑体" w:hAnsi="国标黑体" w:eastAsia="国标黑体" w:cs="国标黑体"/>
          <w:sz w:val="32"/>
          <w:szCs w:val="32"/>
        </w:rPr>
      </w:pPr>
      <w:r>
        <w:rPr>
          <w:rFonts w:hint="eastAsia" w:ascii="国标黑体" w:hAnsi="国标黑体" w:eastAsia="国标黑体" w:cs="国标黑体"/>
          <w:sz w:val="32"/>
          <w:szCs w:val="32"/>
        </w:rPr>
        <w:t>四、周边部分县</w:t>
      </w:r>
      <w:r>
        <w:rPr>
          <w:rFonts w:hint="eastAsia" w:ascii="国标黑体" w:hAnsi="国标黑体" w:eastAsia="国标黑体" w:cs="国标黑体"/>
          <w:sz w:val="32"/>
          <w:szCs w:val="32"/>
          <w:lang w:eastAsia="zh-CN"/>
        </w:rPr>
        <w:t>（</w:t>
      </w:r>
      <w:r>
        <w:rPr>
          <w:rFonts w:hint="eastAsia" w:ascii="国标黑体" w:hAnsi="国标黑体" w:eastAsia="国标黑体" w:cs="国标黑体"/>
          <w:sz w:val="32"/>
          <w:szCs w:val="32"/>
        </w:rPr>
        <w:t>市</w:t>
      </w:r>
      <w:r>
        <w:rPr>
          <w:rFonts w:hint="eastAsia" w:ascii="国标黑体" w:hAnsi="国标黑体" w:eastAsia="国标黑体" w:cs="国标黑体"/>
          <w:sz w:val="32"/>
          <w:szCs w:val="32"/>
          <w:lang w:eastAsia="zh-CN"/>
        </w:rPr>
        <w:t>）停车场收费标准</w:t>
      </w:r>
    </w:p>
    <w:p w14:paraId="4AEC57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CESI楷体-GB2312" w:hAnsi="CESI楷体-GB2312" w:eastAsia="CESI楷体-GB2312" w:cs="CESI楷体-GB2312"/>
          <w:sz w:val="32"/>
          <w:szCs w:val="32"/>
          <w:lang w:eastAsia="zh-CN"/>
        </w:rPr>
      </w:pPr>
      <w:r>
        <w:rPr>
          <w:rFonts w:hint="eastAsia" w:ascii="CESI楷体-GB2312" w:hAnsi="CESI楷体-GB2312" w:eastAsia="CESI楷体-GB2312" w:cs="CESI楷体-GB2312"/>
          <w:sz w:val="32"/>
          <w:szCs w:val="32"/>
        </w:rPr>
        <w:t>石家庄部分县</w:t>
      </w:r>
      <w:r>
        <w:rPr>
          <w:rFonts w:hint="eastAsia" w:ascii="CESI楷体-GB2312" w:hAnsi="CESI楷体-GB2312" w:eastAsia="CESI楷体-GB2312" w:cs="CESI楷体-GB2312"/>
          <w:sz w:val="32"/>
          <w:szCs w:val="32"/>
          <w:lang w:eastAsia="zh-CN"/>
        </w:rPr>
        <w:t>（</w:t>
      </w:r>
      <w:r>
        <w:rPr>
          <w:rFonts w:hint="eastAsia" w:ascii="CESI楷体-GB2312" w:hAnsi="CESI楷体-GB2312" w:eastAsia="CESI楷体-GB2312" w:cs="CESI楷体-GB2312"/>
          <w:sz w:val="32"/>
          <w:szCs w:val="32"/>
        </w:rPr>
        <w:t>市</w:t>
      </w:r>
      <w:r>
        <w:rPr>
          <w:rFonts w:hint="eastAsia" w:ascii="CESI楷体-GB2312" w:hAnsi="CESI楷体-GB2312" w:eastAsia="CESI楷体-GB2312" w:cs="CESI楷体-GB2312"/>
          <w:sz w:val="32"/>
          <w:szCs w:val="32"/>
          <w:lang w:eastAsia="zh-CN"/>
        </w:rPr>
        <w:t>）停车场</w:t>
      </w:r>
      <w:r>
        <w:rPr>
          <w:rFonts w:hint="eastAsia" w:ascii="CESI楷体-GB2312" w:hAnsi="CESI楷体-GB2312" w:eastAsia="CESI楷体-GB2312" w:cs="CESI楷体-GB2312"/>
          <w:sz w:val="32"/>
          <w:szCs w:val="32"/>
        </w:rPr>
        <w:t>收费</w:t>
      </w:r>
      <w:r>
        <w:rPr>
          <w:rFonts w:hint="eastAsia" w:ascii="CESI楷体-GB2312" w:hAnsi="CESI楷体-GB2312" w:eastAsia="CESI楷体-GB2312" w:cs="CESI楷体-GB2312"/>
          <w:sz w:val="32"/>
          <w:szCs w:val="32"/>
          <w:lang w:eastAsia="zh-CN"/>
        </w:rPr>
        <w:t>标准</w:t>
      </w:r>
    </w:p>
    <w:tbl>
      <w:tblPr>
        <w:tblStyle w:val="5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5"/>
        <w:gridCol w:w="1540"/>
        <w:gridCol w:w="4500"/>
        <w:gridCol w:w="1547"/>
      </w:tblGrid>
      <w:tr w14:paraId="41ECC9A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2" w:hRule="atLeast"/>
        </w:trPr>
        <w:tc>
          <w:tcPr>
            <w:tcW w:w="935" w:type="dxa"/>
          </w:tcPr>
          <w:p w14:paraId="33CA0E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序号</w:t>
            </w:r>
          </w:p>
        </w:tc>
        <w:tc>
          <w:tcPr>
            <w:tcW w:w="1540" w:type="dxa"/>
          </w:tcPr>
          <w:p w14:paraId="488B31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县市名称</w:t>
            </w:r>
          </w:p>
        </w:tc>
        <w:tc>
          <w:tcPr>
            <w:tcW w:w="4500" w:type="dxa"/>
          </w:tcPr>
          <w:p w14:paraId="55729B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eastAsia="zh-CN"/>
              </w:rPr>
              <w:t>收费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标准</w:t>
            </w:r>
          </w:p>
        </w:tc>
        <w:tc>
          <w:tcPr>
            <w:tcW w:w="1547" w:type="dxa"/>
          </w:tcPr>
          <w:p w14:paraId="778C93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备注</w:t>
            </w:r>
          </w:p>
        </w:tc>
      </w:tr>
      <w:tr w14:paraId="0662567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6" w:hRule="atLeast"/>
        </w:trPr>
        <w:tc>
          <w:tcPr>
            <w:tcW w:w="935" w:type="dxa"/>
          </w:tcPr>
          <w:p w14:paraId="13B2E1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1</w:t>
            </w:r>
          </w:p>
        </w:tc>
        <w:tc>
          <w:tcPr>
            <w:tcW w:w="1540" w:type="dxa"/>
          </w:tcPr>
          <w:p w14:paraId="5FACAC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石家庄市</w:t>
            </w:r>
          </w:p>
        </w:tc>
        <w:tc>
          <w:tcPr>
            <w:tcW w:w="4500" w:type="dxa"/>
          </w:tcPr>
          <w:p w14:paraId="49E2AC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left"/>
              <w:textAlignment w:val="auto"/>
              <w:rPr>
                <w:rFonts w:hint="default" w:ascii="方正仿宋_GBK" w:hAnsi="方正仿宋_GBK" w:eastAsia="方正仿宋_GBK" w:cs="方正仿宋_GBK"/>
                <w:sz w:val="32"/>
                <w:szCs w:val="32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eastAsia="zh-CN"/>
              </w:rPr>
              <w:t>两小时内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2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eastAsia="zh-CN"/>
              </w:rPr>
              <w:t>元，以后每小时加收一元。</w:t>
            </w:r>
          </w:p>
        </w:tc>
        <w:tc>
          <w:tcPr>
            <w:tcW w:w="1547" w:type="dxa"/>
          </w:tcPr>
          <w:p w14:paraId="4CB3D1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小型车辆</w:t>
            </w:r>
          </w:p>
        </w:tc>
      </w:tr>
      <w:tr w14:paraId="4705311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35" w:type="dxa"/>
          </w:tcPr>
          <w:p w14:paraId="12D5BA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2</w:t>
            </w:r>
          </w:p>
        </w:tc>
        <w:tc>
          <w:tcPr>
            <w:tcW w:w="1540" w:type="dxa"/>
          </w:tcPr>
          <w:p w14:paraId="5C0CC0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eastAsia="zh-CN"/>
              </w:rPr>
              <w:t>元氏县</w:t>
            </w:r>
          </w:p>
        </w:tc>
        <w:tc>
          <w:tcPr>
            <w:tcW w:w="4500" w:type="dxa"/>
          </w:tcPr>
          <w:p w14:paraId="07F108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昼间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eastAsia="zh-CN"/>
              </w:rPr>
              <w:t>两小时内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2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eastAsia="zh-CN"/>
              </w:rPr>
              <w:t>元，每小时加收一元，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10元封顶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eastAsia="zh-CN"/>
              </w:rPr>
              <w:t>；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夜间每辆次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5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元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eastAsia="zh-CN"/>
              </w:rPr>
              <w:t>。</w:t>
            </w:r>
          </w:p>
        </w:tc>
        <w:tc>
          <w:tcPr>
            <w:tcW w:w="1547" w:type="dxa"/>
          </w:tcPr>
          <w:p w14:paraId="58D0A8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小型车辆</w:t>
            </w:r>
          </w:p>
        </w:tc>
      </w:tr>
      <w:tr w14:paraId="70B214D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35" w:type="dxa"/>
          </w:tcPr>
          <w:p w14:paraId="3B6919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3</w:t>
            </w:r>
          </w:p>
        </w:tc>
        <w:tc>
          <w:tcPr>
            <w:tcW w:w="1540" w:type="dxa"/>
          </w:tcPr>
          <w:p w14:paraId="46F216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eastAsia="zh-CN"/>
              </w:rPr>
              <w:t>高邑县</w:t>
            </w:r>
          </w:p>
        </w:tc>
        <w:tc>
          <w:tcPr>
            <w:tcW w:w="4500" w:type="dxa"/>
          </w:tcPr>
          <w:p w14:paraId="522139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昼间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eastAsia="zh-CN"/>
              </w:rPr>
              <w:t>两小时内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2元，两小时以上4元；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夜间每辆次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5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元</w:t>
            </w:r>
          </w:p>
        </w:tc>
        <w:tc>
          <w:tcPr>
            <w:tcW w:w="1547" w:type="dxa"/>
          </w:tcPr>
          <w:p w14:paraId="7793CF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小型车辆</w:t>
            </w:r>
          </w:p>
        </w:tc>
      </w:tr>
      <w:tr w14:paraId="4224D27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35" w:type="dxa"/>
          </w:tcPr>
          <w:p w14:paraId="4F51F4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4</w:t>
            </w:r>
          </w:p>
        </w:tc>
        <w:tc>
          <w:tcPr>
            <w:tcW w:w="1540" w:type="dxa"/>
          </w:tcPr>
          <w:p w14:paraId="0D0575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eastAsia="zh-CN"/>
              </w:rPr>
              <w:t>灵寿县</w:t>
            </w:r>
          </w:p>
        </w:tc>
        <w:tc>
          <w:tcPr>
            <w:tcW w:w="4500" w:type="dxa"/>
          </w:tcPr>
          <w:p w14:paraId="098BEC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昼间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eastAsia="zh-CN"/>
              </w:rPr>
              <w:t>两小时内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3元，以后每小时加收一元，5元封顶；夜间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每辆次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5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元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eastAsia="zh-CN"/>
              </w:rPr>
              <w:t>。</w:t>
            </w:r>
          </w:p>
        </w:tc>
        <w:tc>
          <w:tcPr>
            <w:tcW w:w="1547" w:type="dxa"/>
          </w:tcPr>
          <w:p w14:paraId="534E25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小型车辆</w:t>
            </w:r>
          </w:p>
        </w:tc>
      </w:tr>
    </w:tbl>
    <w:p w14:paraId="4B8532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国标黑体" w:hAnsi="国标黑体" w:eastAsia="国标黑体" w:cs="国标黑体"/>
          <w:sz w:val="32"/>
          <w:szCs w:val="32"/>
        </w:rPr>
      </w:pPr>
      <w:r>
        <w:rPr>
          <w:rFonts w:hint="eastAsia" w:ascii="国标黑体" w:hAnsi="国标黑体" w:eastAsia="国标黑体" w:cs="国标黑体"/>
          <w:sz w:val="32"/>
          <w:szCs w:val="32"/>
        </w:rPr>
        <w:t>五、制定价格对消费者影响</w:t>
      </w:r>
    </w:p>
    <w:p w14:paraId="6233F9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制定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赞皇县中医医院南院区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机动车停放服务收费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标准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属于政府定价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行为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，其价格的制定必须控制在合理水平上，既要有利于停车场良性运行，又要考虑消费者承受能力。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石家庄市统计局公布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0"/>
          <w:sz w:val="32"/>
          <w:szCs w:val="32"/>
          <w:shd w:val="clear" w:fill="FFFFFF"/>
        </w:rPr>
        <w:t>2024年，全市（含辛集市）城镇非私营单位就业人员年平均工资为105206元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、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0"/>
          <w:sz w:val="32"/>
          <w:szCs w:val="32"/>
          <w:shd w:val="clear" w:fill="FFFFFF"/>
        </w:rPr>
        <w:t>全市城镇私营单位就业人员年平均工资为54602元，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拟定停车收费标准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标准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占人均工资比例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较小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，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同时，制定了收费减免政策，并对特殊车辆免收停车服务费，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对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消费者家庭整体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影响较小。</w:t>
      </w:r>
    </w:p>
    <w:p w14:paraId="1E873C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国标黑体" w:hAnsi="国标黑体" w:eastAsia="国标黑体" w:cs="国标黑体"/>
          <w:sz w:val="32"/>
          <w:szCs w:val="32"/>
        </w:rPr>
      </w:pPr>
      <w:r>
        <w:rPr>
          <w:rFonts w:hint="eastAsia" w:ascii="国标黑体" w:hAnsi="国标黑体" w:eastAsia="国标黑体" w:cs="国标黑体"/>
          <w:sz w:val="32"/>
          <w:szCs w:val="32"/>
        </w:rPr>
        <w:t>六、执行时间、期限和范围</w:t>
      </w:r>
    </w:p>
    <w:p w14:paraId="01EE2A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拟于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202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6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年5月1日起执行，有效期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五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年。赞皇县域内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医疗机构配套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建设的停车设施收费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标准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参照执行。</w:t>
      </w:r>
    </w:p>
    <w:p w14:paraId="1057A9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</w:p>
    <w:p w14:paraId="4F6721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</w:p>
    <w:p w14:paraId="06E561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5280" w:firstLineChars="165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赞皇县发展和改革局</w:t>
      </w:r>
    </w:p>
    <w:p w14:paraId="24A138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                                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202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6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年4月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9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日 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auto"/>
    <w:pitch w:val="default"/>
    <w:sig w:usb0="00000000" w:usb1="0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国标黑体">
    <w:panose1 w:val="02000500000000000000"/>
    <w:charset w:val="86"/>
    <w:family w:val="auto"/>
    <w:pitch w:val="default"/>
    <w:sig w:usb0="00000001" w:usb1="08000000" w:usb2="00000000" w:usb3="00000000" w:csb0="00040000" w:csb1="00000000"/>
  </w:font>
  <w:font w:name="CESI楷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7A4D4D"/>
    <w:rsid w:val="0008104A"/>
    <w:rsid w:val="000B13F7"/>
    <w:rsid w:val="000C548E"/>
    <w:rsid w:val="000F49E8"/>
    <w:rsid w:val="00114B87"/>
    <w:rsid w:val="00126647"/>
    <w:rsid w:val="001D5FB9"/>
    <w:rsid w:val="001D72FD"/>
    <w:rsid w:val="00205C4F"/>
    <w:rsid w:val="00266395"/>
    <w:rsid w:val="0028722F"/>
    <w:rsid w:val="00290450"/>
    <w:rsid w:val="002B7AFB"/>
    <w:rsid w:val="002D1F32"/>
    <w:rsid w:val="002E2D9E"/>
    <w:rsid w:val="003478BB"/>
    <w:rsid w:val="00360DD6"/>
    <w:rsid w:val="004130B9"/>
    <w:rsid w:val="0041481D"/>
    <w:rsid w:val="00432D9D"/>
    <w:rsid w:val="004604BB"/>
    <w:rsid w:val="004779EE"/>
    <w:rsid w:val="004C3CED"/>
    <w:rsid w:val="004E2FDC"/>
    <w:rsid w:val="00542AA3"/>
    <w:rsid w:val="005430FB"/>
    <w:rsid w:val="00551838"/>
    <w:rsid w:val="00571233"/>
    <w:rsid w:val="0057721B"/>
    <w:rsid w:val="005D3E73"/>
    <w:rsid w:val="005F3B2A"/>
    <w:rsid w:val="00621E98"/>
    <w:rsid w:val="00632440"/>
    <w:rsid w:val="007055EC"/>
    <w:rsid w:val="00722399"/>
    <w:rsid w:val="00772057"/>
    <w:rsid w:val="007A0AF1"/>
    <w:rsid w:val="007A4D4D"/>
    <w:rsid w:val="007B3AD3"/>
    <w:rsid w:val="00833C47"/>
    <w:rsid w:val="008565D1"/>
    <w:rsid w:val="00882B8C"/>
    <w:rsid w:val="009064DE"/>
    <w:rsid w:val="00921617"/>
    <w:rsid w:val="009B3CDF"/>
    <w:rsid w:val="00A42D1D"/>
    <w:rsid w:val="00A63BCD"/>
    <w:rsid w:val="00AE0B39"/>
    <w:rsid w:val="00B444E6"/>
    <w:rsid w:val="00BC71A8"/>
    <w:rsid w:val="00D07FBB"/>
    <w:rsid w:val="00D15979"/>
    <w:rsid w:val="00D17B24"/>
    <w:rsid w:val="00D43530"/>
    <w:rsid w:val="00E14F9C"/>
    <w:rsid w:val="00E67C10"/>
    <w:rsid w:val="00F061E6"/>
    <w:rsid w:val="00F12B17"/>
    <w:rsid w:val="00F678AE"/>
    <w:rsid w:val="00F97446"/>
    <w:rsid w:val="00FB0777"/>
    <w:rsid w:val="00FE6567"/>
    <w:rsid w:val="17ED5D10"/>
    <w:rsid w:val="186C29D0"/>
    <w:rsid w:val="1CFF03AC"/>
    <w:rsid w:val="1F0A4921"/>
    <w:rsid w:val="393F6A22"/>
    <w:rsid w:val="3BCD1E8E"/>
    <w:rsid w:val="3DAE0344"/>
    <w:rsid w:val="3DF72CE5"/>
    <w:rsid w:val="3F78E5E8"/>
    <w:rsid w:val="3FED20D0"/>
    <w:rsid w:val="3FFFCC4F"/>
    <w:rsid w:val="47F492BA"/>
    <w:rsid w:val="4D7FEE9C"/>
    <w:rsid w:val="4FB67F35"/>
    <w:rsid w:val="4FCEE1A0"/>
    <w:rsid w:val="4FEFCB63"/>
    <w:rsid w:val="573702C4"/>
    <w:rsid w:val="579FC8D8"/>
    <w:rsid w:val="59FF54EA"/>
    <w:rsid w:val="5B7FC912"/>
    <w:rsid w:val="5BB6BAD4"/>
    <w:rsid w:val="5CDEC4F9"/>
    <w:rsid w:val="5DAF2DF8"/>
    <w:rsid w:val="5DBF7CAA"/>
    <w:rsid w:val="5EFEDDF4"/>
    <w:rsid w:val="5FB8CA9D"/>
    <w:rsid w:val="5FD3FE68"/>
    <w:rsid w:val="5FEFEB4F"/>
    <w:rsid w:val="5FF73796"/>
    <w:rsid w:val="60D5DC63"/>
    <w:rsid w:val="616DDBF8"/>
    <w:rsid w:val="61FE93DB"/>
    <w:rsid w:val="63BA6EEC"/>
    <w:rsid w:val="65FD117B"/>
    <w:rsid w:val="66A7E9F2"/>
    <w:rsid w:val="676DDD8F"/>
    <w:rsid w:val="693DAF1D"/>
    <w:rsid w:val="69F50156"/>
    <w:rsid w:val="6BED00F3"/>
    <w:rsid w:val="6DFF3D1F"/>
    <w:rsid w:val="6EFE61DF"/>
    <w:rsid w:val="6FDE392E"/>
    <w:rsid w:val="6FF37781"/>
    <w:rsid w:val="765A1CB0"/>
    <w:rsid w:val="77070D39"/>
    <w:rsid w:val="797AC24C"/>
    <w:rsid w:val="7A4FD666"/>
    <w:rsid w:val="7AE38CAD"/>
    <w:rsid w:val="7AF9A420"/>
    <w:rsid w:val="7B6F575D"/>
    <w:rsid w:val="7BBF022A"/>
    <w:rsid w:val="7BDF5700"/>
    <w:rsid w:val="7BFA182B"/>
    <w:rsid w:val="7CCC7D38"/>
    <w:rsid w:val="7DAFEE14"/>
    <w:rsid w:val="7DEF2191"/>
    <w:rsid w:val="7DF9D3CD"/>
    <w:rsid w:val="7EF5BA33"/>
    <w:rsid w:val="7F39D7FA"/>
    <w:rsid w:val="7FD41D76"/>
    <w:rsid w:val="7FDBD1E2"/>
    <w:rsid w:val="7FDCC82D"/>
    <w:rsid w:val="7FFCF2EC"/>
    <w:rsid w:val="9FFC037E"/>
    <w:rsid w:val="A36F766A"/>
    <w:rsid w:val="B77F52DF"/>
    <w:rsid w:val="BBFFD963"/>
    <w:rsid w:val="BF7FBD6A"/>
    <w:rsid w:val="BF8F685B"/>
    <w:rsid w:val="BFBF9E3C"/>
    <w:rsid w:val="BFF56BB8"/>
    <w:rsid w:val="C485BFCB"/>
    <w:rsid w:val="C5FA2193"/>
    <w:rsid w:val="CFFDDDED"/>
    <w:rsid w:val="D7FEEA62"/>
    <w:rsid w:val="D9D71ADE"/>
    <w:rsid w:val="DBED68DC"/>
    <w:rsid w:val="DD9F05B3"/>
    <w:rsid w:val="E7FEB2B1"/>
    <w:rsid w:val="E9BE7069"/>
    <w:rsid w:val="E9CE80DE"/>
    <w:rsid w:val="EB7652E4"/>
    <w:rsid w:val="EBE296AA"/>
    <w:rsid w:val="ECFDC584"/>
    <w:rsid w:val="EDF912CD"/>
    <w:rsid w:val="EE7559C1"/>
    <w:rsid w:val="EF8D20BC"/>
    <w:rsid w:val="EFF9C214"/>
    <w:rsid w:val="EFFF798D"/>
    <w:rsid w:val="F1BBED68"/>
    <w:rsid w:val="F1D8F014"/>
    <w:rsid w:val="F20FBA2E"/>
    <w:rsid w:val="F3CBA8C6"/>
    <w:rsid w:val="F53F7914"/>
    <w:rsid w:val="F5FF6FD9"/>
    <w:rsid w:val="F6DFC59C"/>
    <w:rsid w:val="F6EB8A4A"/>
    <w:rsid w:val="F7F5F1A8"/>
    <w:rsid w:val="F8E982FC"/>
    <w:rsid w:val="F9BF0D34"/>
    <w:rsid w:val="FB345B7A"/>
    <w:rsid w:val="FB7A3970"/>
    <w:rsid w:val="FCCFA54F"/>
    <w:rsid w:val="FD7F8792"/>
    <w:rsid w:val="FDEF04CC"/>
    <w:rsid w:val="FDEF4061"/>
    <w:rsid w:val="FDF35E67"/>
    <w:rsid w:val="FEFF290A"/>
    <w:rsid w:val="FF9766AA"/>
    <w:rsid w:val="FFB6E5E8"/>
    <w:rsid w:val="FFBFEB5B"/>
    <w:rsid w:val="FFDE85A9"/>
    <w:rsid w:val="FFFC6727"/>
    <w:rsid w:val="FFFE37B7"/>
    <w:rsid w:val="FFFF65F5"/>
    <w:rsid w:val="FFFFF773"/>
    <w:rsid w:val="FFFFFE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StyleName="APA" SelectedStyle="\APA.XSL"/>
</file>

<file path=customXml/itemProps1.xml><?xml version="1.0" encoding="utf-8"?>
<ds:datastoreItem xmlns:ds="http://schemas.openxmlformats.org/officeDocument/2006/customXml" ds:itemID="{28108A25-6F3C-4578-AA99-B86F8A4933B3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4</Pages>
  <Words>234</Words>
  <Characters>1334</Characters>
  <Lines>11</Lines>
  <Paragraphs>3</Paragraphs>
  <TotalTime>4</TotalTime>
  <ScaleCrop>false</ScaleCrop>
  <LinksUpToDate>false</LinksUpToDate>
  <CharactersWithSpaces>1565</CharactersWithSpaces>
  <Application>WPS Office_12.8.2.21176_F1E327BC-269C-435d-A152-05C5408002CA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2023-04-05T09:45:00Z</dcterms:created>
  <dc:creator>微软用户</dc:creator>
  <cp:lastModifiedBy>uos</cp:lastModifiedBy>
  <cp:lastPrinted>2026-04-08T17:17:00Z</cp:lastPrinted>
  <dcterms:modified xsi:type="dcterms:W3CDTF">2026-04-09T16:38:39Z</dcterms:modified>
  <cp:revision>120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2052-12.8.2.21176</vt:lpwstr>
  </property>
  <property fmtid="{D5CDD505-2E9C-101B-9397-08002B2CF9AE}" pid="3" name="ICV">
    <vt:lpwstr>0317B8821BA5E37E2B42C369EDF294C8_42</vt:lpwstr>
  </property>
</Properties>
</file>