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ordWrap/>
        <w:overflowPunct/>
        <w:topLinePunct w:val="0"/>
        <w:bidi w:val="0"/>
        <w:spacing w:line="55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赞皇县充电基础设施管理办法</w:t>
      </w:r>
    </w:p>
    <w:p>
      <w:pPr>
        <w:keepNext w:val="0"/>
        <w:keepLines w:val="0"/>
        <w:pageBreakBefore w:val="0"/>
        <w:wordWrap/>
        <w:overflowPunct/>
        <w:topLinePunct w:val="0"/>
        <w:bidi w:val="0"/>
        <w:spacing w:line="550" w:lineRule="exact"/>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（征求意见稿</w:t>
      </w:r>
      <w:bookmarkStart w:id="11" w:name="_GoBack"/>
      <w:bookmarkEnd w:id="11"/>
      <w:r>
        <w:rPr>
          <w:rFonts w:hint="eastAsia" w:ascii="方正小标宋简体" w:hAnsi="方正小标宋简体" w:eastAsia="方正小标宋简体" w:cs="方正小标宋简体"/>
          <w:sz w:val="44"/>
          <w:szCs w:val="44"/>
          <w:lang w:eastAsia="zh-CN"/>
        </w:rPr>
        <w:t>）</w:t>
      </w:r>
    </w:p>
    <w:p>
      <w:pPr>
        <w:keepNext w:val="0"/>
        <w:keepLines w:val="0"/>
        <w:pageBreakBefore w:val="0"/>
        <w:wordWrap/>
        <w:overflowPunct/>
        <w:topLinePunct w:val="0"/>
        <w:bidi w:val="0"/>
        <w:spacing w:line="550" w:lineRule="exact"/>
        <w:ind w:firstLine="640" w:firstLineChars="200"/>
        <w:rPr>
          <w:rFonts w:ascii="仿宋_GB2312" w:hAnsi="仿宋_GB2312" w:eastAsia="仿宋_GB2312" w:cs="仿宋_GB2312"/>
          <w:sz w:val="32"/>
          <w:szCs w:val="32"/>
        </w:rPr>
      </w:pPr>
    </w:p>
    <w:p>
      <w:pPr>
        <w:keepNext w:val="0"/>
        <w:keepLines w:val="0"/>
        <w:pageBreakBefore w:val="0"/>
        <w:wordWrap/>
        <w:overflowPunct/>
        <w:topLinePunct w:val="0"/>
        <w:bidi w:val="0"/>
        <w:spacing w:line="55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color w:val="auto"/>
          <w:sz w:val="32"/>
          <w:szCs w:val="32"/>
          <w:highlight w:val="none"/>
        </w:rPr>
        <w:t>为切实加强新能源汽车充电基础设施</w:t>
      </w:r>
      <w:r>
        <w:rPr>
          <w:rFonts w:hint="eastAsia" w:ascii="仿宋_GB2312" w:hAnsi="仿宋_GB2312" w:eastAsia="仿宋_GB2312" w:cs="仿宋_GB2312"/>
          <w:color w:val="auto"/>
          <w:sz w:val="32"/>
          <w:szCs w:val="32"/>
          <w:highlight w:val="none"/>
          <w:lang w:eastAsia="zh-CN"/>
        </w:rPr>
        <w:t>行业</w:t>
      </w:r>
      <w:r>
        <w:rPr>
          <w:rFonts w:hint="eastAsia" w:ascii="仿宋_GB2312" w:hAnsi="仿宋_GB2312" w:eastAsia="仿宋_GB2312" w:cs="仿宋_GB2312"/>
          <w:color w:val="auto"/>
          <w:sz w:val="32"/>
          <w:szCs w:val="32"/>
          <w:highlight w:val="none"/>
        </w:rPr>
        <w:t>管理，</w:t>
      </w:r>
      <w:r>
        <w:rPr>
          <w:rFonts w:hint="eastAsia" w:ascii="仿宋_GB2312" w:hAnsi="仿宋_GB2312" w:eastAsia="仿宋_GB2312" w:cs="仿宋_GB2312"/>
          <w:color w:val="auto"/>
          <w:sz w:val="32"/>
          <w:szCs w:val="32"/>
          <w:highlight w:val="none"/>
          <w:lang w:eastAsia="zh-CN"/>
        </w:rPr>
        <w:t>规范国有资产产权管理</w:t>
      </w:r>
      <w:r>
        <w:rPr>
          <w:rFonts w:hint="eastAsia" w:ascii="仿宋_GB2312" w:hAnsi="仿宋_GB2312" w:eastAsia="仿宋_GB2312" w:cs="仿宋_GB2312"/>
          <w:color w:val="auto"/>
          <w:sz w:val="32"/>
          <w:szCs w:val="32"/>
          <w:highlight w:val="none"/>
          <w:lang w:val="en-US" w:eastAsia="zh-CN"/>
        </w:rPr>
        <w:t>及日常</w:t>
      </w:r>
      <w:r>
        <w:rPr>
          <w:rFonts w:hint="eastAsia" w:ascii="仿宋_GB2312" w:hAnsi="仿宋_GB2312" w:eastAsia="仿宋_GB2312" w:cs="仿宋_GB2312"/>
          <w:color w:val="auto"/>
          <w:sz w:val="32"/>
          <w:szCs w:val="32"/>
          <w:highlight w:val="none"/>
          <w:lang w:eastAsia="zh-CN"/>
        </w:rPr>
        <w:t>运营</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确保充电基础设施安全运行，</w:t>
      </w:r>
      <w:r>
        <w:rPr>
          <w:rFonts w:hint="eastAsia" w:ascii="仿宋_GB2312" w:hAnsi="仿宋_GB2312" w:eastAsia="仿宋_GB2312" w:cs="仿宋_GB2312"/>
          <w:sz w:val="32"/>
          <w:szCs w:val="32"/>
          <w:highlight w:val="none"/>
        </w:rPr>
        <w:t>根据</w:t>
      </w:r>
      <w:r>
        <w:rPr>
          <w:rFonts w:hint="eastAsia" w:ascii="仿宋_GB2312" w:hAnsi="仿宋_GB2312" w:eastAsia="仿宋_GB2312" w:cs="仿宋_GB2312"/>
          <w:sz w:val="32"/>
          <w:szCs w:val="32"/>
          <w:highlight w:val="none"/>
          <w:lang w:eastAsia="zh-CN"/>
        </w:rPr>
        <w:t>石家庄市发展和改革委员会等十一部门《关于印发</w:t>
      </w:r>
      <w:r>
        <w:rPr>
          <w:rFonts w:hint="eastAsia" w:ascii="仿宋_GB2312" w:hAnsi="仿宋_GB2312" w:eastAsia="仿宋_GB2312" w:cs="仿宋_GB2312"/>
          <w:sz w:val="32"/>
          <w:szCs w:val="32"/>
          <w:highlight w:val="none"/>
          <w:lang w:val="en-US" w:eastAsia="zh-CN"/>
        </w:rPr>
        <w:t>&lt;</w:t>
      </w:r>
      <w:r>
        <w:rPr>
          <w:rFonts w:hint="eastAsia" w:ascii="仿宋_GB2312" w:hAnsi="仿宋_GB2312" w:eastAsia="仿宋_GB2312" w:cs="仿宋_GB2312"/>
          <w:sz w:val="32"/>
          <w:szCs w:val="32"/>
          <w:highlight w:val="none"/>
          <w:lang w:eastAsia="zh-CN"/>
        </w:rPr>
        <w:t>关于进一步提升充电基础设施服务保障能力的实施意见</w:t>
      </w:r>
      <w:r>
        <w:rPr>
          <w:rFonts w:hint="eastAsia" w:ascii="仿宋_GB2312" w:hAnsi="仿宋_GB2312" w:eastAsia="仿宋_GB2312" w:cs="仿宋_GB2312"/>
          <w:sz w:val="32"/>
          <w:szCs w:val="32"/>
          <w:highlight w:val="none"/>
          <w:lang w:val="en-US" w:eastAsia="zh-CN"/>
        </w:rPr>
        <w:t>&gt;的通知</w:t>
      </w:r>
      <w:r>
        <w:rPr>
          <w:rFonts w:hint="eastAsia" w:ascii="仿宋_GB2312" w:hAnsi="仿宋_GB2312" w:eastAsia="仿宋_GB2312" w:cs="仿宋_GB2312"/>
          <w:sz w:val="32"/>
          <w:szCs w:val="32"/>
          <w:highlight w:val="none"/>
          <w:lang w:eastAsia="zh-CN"/>
        </w:rPr>
        <w:t>》《石家庄市新能源汽车充电基础设施安全生产责任清单》</w:t>
      </w:r>
      <w:r>
        <w:rPr>
          <w:rFonts w:hint="eastAsia" w:ascii="仿宋_GB2312" w:hAnsi="仿宋_GB2312" w:eastAsia="仿宋_GB2312" w:cs="仿宋_GB2312"/>
          <w:sz w:val="32"/>
          <w:szCs w:val="32"/>
          <w:highlight w:val="none"/>
        </w:rPr>
        <w:t>《赞皇县行政事业</w:t>
      </w:r>
      <w:r>
        <w:rPr>
          <w:rFonts w:hint="eastAsia" w:ascii="仿宋_GB2312" w:hAnsi="仿宋_GB2312" w:eastAsia="仿宋_GB2312" w:cs="仿宋_GB2312"/>
          <w:sz w:val="32"/>
          <w:szCs w:val="32"/>
          <w:highlight w:val="none"/>
          <w:lang w:val="en-US" w:eastAsia="zh-CN"/>
        </w:rPr>
        <w:t>性</w:t>
      </w:r>
      <w:r>
        <w:rPr>
          <w:rFonts w:hint="eastAsia" w:ascii="仿宋_GB2312" w:hAnsi="仿宋_GB2312" w:eastAsia="仿宋_GB2312" w:cs="仿宋_GB2312"/>
          <w:sz w:val="32"/>
          <w:szCs w:val="32"/>
          <w:highlight w:val="none"/>
        </w:rPr>
        <w:t>国有资产管理办法》</w:t>
      </w:r>
      <w:r>
        <w:rPr>
          <w:rFonts w:hint="eastAsia" w:ascii="仿宋_GB2312" w:hAnsi="仿宋_GB2312" w:eastAsia="仿宋_GB2312" w:cs="仿宋_GB2312"/>
          <w:sz w:val="32"/>
          <w:szCs w:val="32"/>
          <w:highlight w:val="none"/>
          <w:lang w:eastAsia="zh-CN"/>
        </w:rPr>
        <w:t>《地方政府专项债券投资项目形成资产管理暂行办法》</w:t>
      </w:r>
      <w:r>
        <w:rPr>
          <w:rFonts w:hint="eastAsia" w:ascii="仿宋_GB2312" w:hAnsi="仿宋_GB2312" w:eastAsia="仿宋_GB2312" w:cs="仿宋_GB2312"/>
          <w:sz w:val="32"/>
          <w:szCs w:val="32"/>
          <w:highlight w:val="none"/>
        </w:rPr>
        <w:t>等有关文件精神，制定本管理办法。</w:t>
      </w:r>
    </w:p>
    <w:p>
      <w:pPr>
        <w:keepNext w:val="0"/>
        <w:keepLines w:val="0"/>
        <w:pageBreakBefore w:val="0"/>
        <w:wordWrap/>
        <w:overflowPunct/>
        <w:topLinePunct w:val="0"/>
        <w:bidi w:val="0"/>
        <w:spacing w:line="550" w:lineRule="exact"/>
        <w:ind w:firstLine="640" w:firstLineChars="200"/>
        <w:rPr>
          <w:rFonts w:ascii="仿宋_GB2312" w:hAnsi="仿宋_GB2312" w:eastAsia="仿宋_GB2312" w:cs="仿宋_GB2312"/>
          <w:sz w:val="32"/>
          <w:szCs w:val="32"/>
          <w:highlight w:val="none"/>
        </w:rPr>
      </w:pPr>
      <w:r>
        <w:rPr>
          <w:rFonts w:hint="eastAsia" w:ascii="国标黑体" w:hAnsi="国标黑体" w:eastAsia="国标黑体" w:cs="国标黑体"/>
          <w:sz w:val="32"/>
          <w:szCs w:val="32"/>
          <w:highlight w:val="none"/>
        </w:rPr>
        <w:t>一、政府投资</w:t>
      </w:r>
      <w:bookmarkStart w:id="0" w:name="OLE_LINK13"/>
      <w:r>
        <w:rPr>
          <w:rFonts w:hint="eastAsia" w:ascii="国标黑体" w:hAnsi="国标黑体" w:eastAsia="国标黑体" w:cs="国标黑体"/>
          <w:sz w:val="32"/>
          <w:szCs w:val="32"/>
          <w:highlight w:val="none"/>
        </w:rPr>
        <w:t>充电基础设施</w:t>
      </w:r>
      <w:bookmarkEnd w:id="0"/>
      <w:r>
        <w:rPr>
          <w:rFonts w:hint="eastAsia" w:ascii="国标黑体" w:hAnsi="国标黑体" w:eastAsia="国标黑体" w:cs="国标黑体"/>
          <w:sz w:val="32"/>
          <w:szCs w:val="32"/>
          <w:highlight w:val="none"/>
          <w:lang w:eastAsia="zh-CN"/>
        </w:rPr>
        <w:t>的</w:t>
      </w:r>
      <w:r>
        <w:rPr>
          <w:rFonts w:hint="eastAsia" w:ascii="国标黑体" w:hAnsi="国标黑体" w:eastAsia="国标黑体" w:cs="国标黑体"/>
          <w:sz w:val="32"/>
          <w:szCs w:val="32"/>
          <w:highlight w:val="none"/>
        </w:rPr>
        <w:t>管理</w:t>
      </w:r>
    </w:p>
    <w:p>
      <w:pPr>
        <w:keepNext w:val="0"/>
        <w:keepLines w:val="0"/>
        <w:pageBreakBefore w:val="0"/>
        <w:wordWrap/>
        <w:overflowPunct/>
        <w:topLinePunct w:val="0"/>
        <w:bidi w:val="0"/>
        <w:spacing w:line="550" w:lineRule="exact"/>
        <w:ind w:firstLine="640" w:firstLineChars="200"/>
        <w:rPr>
          <w:rFonts w:hint="eastAsia" w:ascii="楷体_GB2312" w:hAnsi="楷体_GB2312" w:eastAsia="楷体_GB2312" w:cs="楷体_GB2312"/>
          <w:sz w:val="32"/>
          <w:szCs w:val="32"/>
          <w:highlight w:val="none"/>
          <w:lang w:eastAsia="zh-CN"/>
        </w:rPr>
      </w:pPr>
      <w:r>
        <w:rPr>
          <w:rFonts w:hint="eastAsia" w:ascii="楷体_GB2312" w:hAnsi="楷体_GB2312" w:eastAsia="楷体_GB2312" w:cs="楷体_GB2312"/>
          <w:sz w:val="32"/>
          <w:szCs w:val="32"/>
          <w:highlight w:val="none"/>
        </w:rPr>
        <w:t>（一）</w:t>
      </w:r>
      <w:r>
        <w:rPr>
          <w:rFonts w:hint="eastAsia" w:ascii="楷体_GB2312" w:hAnsi="楷体_GB2312" w:eastAsia="楷体_GB2312" w:cs="楷体_GB2312"/>
          <w:sz w:val="32"/>
          <w:szCs w:val="32"/>
          <w:highlight w:val="none"/>
          <w:lang w:eastAsia="zh-CN"/>
        </w:rPr>
        <w:t>资产管理</w:t>
      </w:r>
    </w:p>
    <w:p>
      <w:pPr>
        <w:keepNext w:val="0"/>
        <w:keepLines w:val="0"/>
        <w:pageBreakBefore w:val="0"/>
        <w:wordWrap/>
        <w:overflowPunct/>
        <w:topLinePunct w:val="0"/>
        <w:bidi w:val="0"/>
        <w:spacing w:line="55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充电基础设施项目</w:t>
      </w:r>
      <w:r>
        <w:rPr>
          <w:rFonts w:hint="eastAsia" w:ascii="仿宋_GB2312" w:hAnsi="仿宋_GB2312" w:eastAsia="仿宋_GB2312" w:cs="仿宋_GB2312"/>
          <w:sz w:val="32"/>
          <w:szCs w:val="32"/>
          <w:highlight w:val="none"/>
          <w:lang w:eastAsia="zh-CN"/>
        </w:rPr>
        <w:t>实施</w:t>
      </w:r>
      <w:r>
        <w:rPr>
          <w:rFonts w:hint="eastAsia" w:ascii="仿宋_GB2312" w:hAnsi="仿宋_GB2312" w:eastAsia="仿宋_GB2312" w:cs="仿宋_GB2312"/>
          <w:sz w:val="32"/>
          <w:szCs w:val="32"/>
          <w:highlight w:val="none"/>
        </w:rPr>
        <w:t>单位（以下简称项目单位</w:t>
      </w:r>
      <w:r>
        <w:rPr>
          <w:rFonts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是资产的产权单位，要对资产分类确认及会计核算，及时登记会计账簿，并录入国有资产管理系统。债券资金形成的资产在还本付息完成前不得进行划拨、出售、抵押等处置。</w:t>
      </w:r>
      <w:r>
        <w:rPr>
          <w:rFonts w:hint="eastAsia" w:ascii="仿宋_GB2312" w:hAnsi="仿宋_GB2312" w:eastAsia="仿宋_GB2312" w:cs="仿宋_GB2312"/>
          <w:spacing w:val="12"/>
          <w:sz w:val="32"/>
          <w:szCs w:val="32"/>
          <w:highlight w:val="none"/>
          <w:lang w:eastAsia="zh-CN"/>
        </w:rPr>
        <w:t>日常工作中要加强国有资产规范管理</w:t>
      </w:r>
      <w:r>
        <w:rPr>
          <w:rFonts w:hint="eastAsia" w:ascii="仿宋_GB2312" w:hAnsi="仿宋_GB2312" w:eastAsia="仿宋_GB2312" w:cs="仿宋_GB2312"/>
          <w:spacing w:val="12"/>
          <w:sz w:val="32"/>
          <w:szCs w:val="32"/>
          <w:highlight w:val="none"/>
        </w:rPr>
        <w:t>，</w:t>
      </w:r>
      <w:r>
        <w:rPr>
          <w:rFonts w:hint="eastAsia" w:ascii="仿宋_GB2312" w:hAnsi="仿宋_GB2312" w:eastAsia="仿宋_GB2312" w:cs="仿宋_GB2312"/>
          <w:spacing w:val="12"/>
          <w:sz w:val="32"/>
          <w:szCs w:val="32"/>
          <w:highlight w:val="none"/>
          <w:lang w:eastAsia="zh-CN"/>
        </w:rPr>
        <w:t>明确管理责任，</w:t>
      </w:r>
      <w:r>
        <w:rPr>
          <w:rFonts w:hint="eastAsia" w:ascii="仿宋_GB2312" w:hAnsi="仿宋_GB2312" w:eastAsia="仿宋_GB2312" w:cs="仿宋_GB2312"/>
          <w:spacing w:val="12"/>
          <w:sz w:val="32"/>
          <w:szCs w:val="32"/>
          <w:highlight w:val="none"/>
        </w:rPr>
        <w:t>健全科学合理的监督管理</w:t>
      </w:r>
      <w:r>
        <w:rPr>
          <w:rFonts w:hint="eastAsia" w:ascii="仿宋_GB2312" w:hAnsi="仿宋_GB2312" w:eastAsia="仿宋_GB2312" w:cs="仿宋_GB2312"/>
          <w:spacing w:val="12"/>
          <w:sz w:val="32"/>
          <w:szCs w:val="32"/>
          <w:highlight w:val="none"/>
          <w:lang w:eastAsia="zh-CN"/>
        </w:rPr>
        <w:t>机制。</w:t>
      </w:r>
    </w:p>
    <w:p>
      <w:pPr>
        <w:keepNext w:val="0"/>
        <w:keepLines w:val="0"/>
        <w:pageBreakBefore w:val="0"/>
        <w:wordWrap/>
        <w:overflowPunct/>
        <w:topLinePunct w:val="0"/>
        <w:bidi w:val="0"/>
        <w:spacing w:line="550" w:lineRule="exact"/>
        <w:ind w:firstLine="640" w:firstLineChars="200"/>
        <w:rPr>
          <w:rFonts w:hint="eastAsia" w:ascii="楷体_GB2312" w:hAnsi="楷体_GB2312" w:eastAsia="楷体_GB2312" w:cs="楷体_GB2312"/>
          <w:sz w:val="32"/>
          <w:szCs w:val="32"/>
          <w:highlight w:val="none"/>
          <w:lang w:eastAsia="zh-CN"/>
        </w:rPr>
      </w:pPr>
      <w:r>
        <w:rPr>
          <w:rFonts w:hint="eastAsia" w:ascii="楷体_GB2312" w:hAnsi="楷体_GB2312" w:eastAsia="楷体_GB2312" w:cs="楷体_GB2312"/>
          <w:sz w:val="32"/>
          <w:szCs w:val="32"/>
          <w:highlight w:val="none"/>
          <w:lang w:val="en-US" w:eastAsia="zh-CN"/>
        </w:rPr>
        <w:t xml:space="preserve"> （二）运营管理</w:t>
      </w:r>
    </w:p>
    <w:p>
      <w:pPr>
        <w:keepNext w:val="0"/>
        <w:keepLines w:val="0"/>
        <w:pageBreakBefore w:val="0"/>
        <w:wordWrap/>
        <w:overflowPunct/>
        <w:topLinePunct w:val="0"/>
        <w:bidi w:val="0"/>
        <w:spacing w:line="550" w:lineRule="exact"/>
        <w:ind w:firstLine="640" w:firstLineChars="200"/>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根据</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相关文件规定，</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政府投资充电基础设施适用于经营权转让方式运营，需遵循以下程序</w:t>
      </w:r>
      <w:r>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t>:</w:t>
      </w:r>
    </w:p>
    <w:p>
      <w:pPr>
        <w:keepNext w:val="0"/>
        <w:keepLines w:val="0"/>
        <w:pageBreakBefore w:val="0"/>
        <w:wordWrap/>
        <w:overflowPunct/>
        <w:topLinePunct w:val="0"/>
        <w:bidi w:val="0"/>
        <w:spacing w:line="550" w:lineRule="exact"/>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1.项目单位</w:t>
      </w:r>
      <w:r>
        <w:rPr>
          <w:rFonts w:hint="eastAsia" w:ascii="仿宋_GB2312" w:hAnsi="仿宋_GB2312" w:eastAsia="仿宋_GB2312" w:cs="仿宋_GB2312"/>
          <w:sz w:val="32"/>
          <w:szCs w:val="32"/>
          <w:highlight w:val="none"/>
        </w:rPr>
        <w:t>在严格论证的基础上</w:t>
      </w:r>
      <w:r>
        <w:rPr>
          <w:rFonts w:hint="eastAsia" w:ascii="仿宋_GB2312" w:hAnsi="仿宋_GB2312" w:eastAsia="仿宋_GB2312" w:cs="仿宋_GB2312"/>
          <w:sz w:val="32"/>
          <w:szCs w:val="32"/>
          <w:highlight w:val="none"/>
          <w:lang w:val="en-US" w:eastAsia="zh-CN"/>
        </w:rPr>
        <w:t>向财政部门提交充电基础设施经营权转让评估申请。</w:t>
      </w:r>
    </w:p>
    <w:p>
      <w:pPr>
        <w:keepNext w:val="0"/>
        <w:keepLines w:val="0"/>
        <w:pageBreakBefore w:val="0"/>
        <w:wordWrap/>
        <w:overflowPunct/>
        <w:topLinePunct w:val="0"/>
        <w:bidi w:val="0"/>
        <w:spacing w:line="550" w:lineRule="exact"/>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 财政部门委托专业评估机构</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依据项目立项方案和市场化相结合，对充电设施转让收益进行评估。</w:t>
      </w:r>
    </w:p>
    <w:p>
      <w:pPr>
        <w:keepNext w:val="0"/>
        <w:keepLines w:val="0"/>
        <w:pageBreakBefore w:val="0"/>
        <w:numPr>
          <w:ilvl w:val="0"/>
          <w:numId w:val="0"/>
        </w:numPr>
        <w:wordWrap/>
        <w:overflowPunct/>
        <w:topLinePunct w:val="0"/>
        <w:bidi w:val="0"/>
        <w:spacing w:line="550" w:lineRule="exact"/>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3.项目单位根据评估报告向县政府提交充电设施经营权转让申请和实施方案。</w:t>
      </w:r>
    </w:p>
    <w:p>
      <w:pPr>
        <w:keepNext w:val="0"/>
        <w:keepLines w:val="0"/>
        <w:pageBreakBefore w:val="0"/>
        <w:numPr>
          <w:ilvl w:val="0"/>
          <w:numId w:val="0"/>
        </w:numPr>
        <w:wordWrap/>
        <w:overflowPunct/>
        <w:topLinePunct w:val="0"/>
        <w:bidi w:val="0"/>
        <w:spacing w:line="550" w:lineRule="exact"/>
        <w:ind w:firstLine="640" w:firstLineChars="200"/>
        <w:rPr>
          <w:rFonts w:ascii="仿宋_GB2312" w:hAnsi="仿宋_GB2312" w:eastAsia="仿宋_GB2312" w:cs="仿宋_GB2312"/>
          <w:spacing w:val="12"/>
          <w:sz w:val="32"/>
          <w:szCs w:val="32"/>
          <w:highlight w:val="none"/>
        </w:rPr>
      </w:pPr>
      <w:r>
        <w:rPr>
          <w:rFonts w:hint="eastAsia" w:ascii="仿宋_GB2312" w:hAnsi="仿宋_GB2312" w:eastAsia="仿宋_GB2312" w:cs="仿宋_GB2312"/>
          <w:sz w:val="32"/>
          <w:szCs w:val="32"/>
          <w:highlight w:val="none"/>
          <w:lang w:val="en-US" w:eastAsia="zh-CN"/>
        </w:rPr>
        <w:t>4.县政府批准后，由财政部门按批准后的实施方案到资源交易中心进行充电设施经营权的公开拍卖。</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50" w:lineRule="exact"/>
        <w:ind w:right="11" w:rightChars="0" w:firstLine="688" w:firstLineChars="200"/>
        <w:textAlignment w:val="baseline"/>
        <w:rPr>
          <w:rFonts w:hint="default" w:ascii="楷体_GB2312" w:hAnsi="楷体_GB2312" w:eastAsia="楷体_GB2312" w:cs="楷体_GB2312"/>
          <w:spacing w:val="12"/>
          <w:sz w:val="32"/>
          <w:szCs w:val="32"/>
          <w:highlight w:val="none"/>
          <w:lang w:val="en-US" w:eastAsia="zh-CN"/>
        </w:rPr>
      </w:pPr>
      <w:r>
        <w:rPr>
          <w:rFonts w:hint="eastAsia" w:ascii="仿宋_GB2312" w:hAnsi="仿宋_GB2312" w:eastAsia="仿宋_GB2312" w:cs="仿宋_GB2312"/>
          <w:spacing w:val="12"/>
          <w:sz w:val="32"/>
          <w:szCs w:val="32"/>
          <w:highlight w:val="none"/>
          <w:lang w:val="en-US" w:eastAsia="zh-CN"/>
        </w:rPr>
        <w:t>5.</w:t>
      </w:r>
      <w:r>
        <w:rPr>
          <w:rFonts w:hint="eastAsia" w:ascii="仿宋_GB2312" w:hAnsi="仿宋_GB2312" w:eastAsia="仿宋_GB2312" w:cs="仿宋_GB2312"/>
          <w:spacing w:val="12"/>
          <w:sz w:val="32"/>
          <w:szCs w:val="32"/>
          <w:highlight w:val="none"/>
        </w:rPr>
        <w:t>项目单位与</w:t>
      </w:r>
      <w:r>
        <w:rPr>
          <w:rFonts w:hint="eastAsia" w:ascii="仿宋_GB2312" w:hAnsi="仿宋_GB2312" w:eastAsia="仿宋_GB2312" w:cs="仿宋_GB2312"/>
          <w:spacing w:val="12"/>
          <w:sz w:val="32"/>
          <w:szCs w:val="32"/>
          <w:highlight w:val="none"/>
          <w:lang w:val="en-US" w:eastAsia="zh-CN"/>
        </w:rPr>
        <w:t>受让</w:t>
      </w:r>
      <w:r>
        <w:rPr>
          <w:rFonts w:hint="eastAsia" w:ascii="仿宋_GB2312" w:hAnsi="仿宋_GB2312" w:eastAsia="仿宋_GB2312" w:cs="仿宋_GB2312"/>
          <w:spacing w:val="12"/>
          <w:sz w:val="32"/>
          <w:szCs w:val="32"/>
          <w:highlight w:val="none"/>
        </w:rPr>
        <w:t>方签订</w:t>
      </w:r>
      <w:r>
        <w:rPr>
          <w:rFonts w:hint="eastAsia" w:ascii="仿宋_GB2312" w:hAnsi="仿宋_GB2312" w:eastAsia="仿宋_GB2312" w:cs="仿宋_GB2312"/>
          <w:spacing w:val="12"/>
          <w:sz w:val="32"/>
          <w:szCs w:val="32"/>
          <w:highlight w:val="none"/>
          <w:lang w:val="en-US" w:eastAsia="zh-CN"/>
        </w:rPr>
        <w:t>经营权转让</w:t>
      </w:r>
      <w:r>
        <w:rPr>
          <w:rFonts w:hint="eastAsia" w:ascii="仿宋_GB2312" w:hAnsi="仿宋_GB2312" w:eastAsia="仿宋_GB2312" w:cs="仿宋_GB2312"/>
          <w:spacing w:val="12"/>
          <w:sz w:val="32"/>
          <w:szCs w:val="32"/>
          <w:highlight w:val="none"/>
        </w:rPr>
        <w:t>合同，不</w:t>
      </w:r>
      <w:r>
        <w:rPr>
          <w:rFonts w:hint="eastAsia" w:ascii="仿宋_GB2312" w:hAnsi="仿宋_GB2312" w:eastAsia="仿宋_GB2312" w:cs="仿宋_GB2312"/>
          <w:spacing w:val="12"/>
          <w:sz w:val="32"/>
          <w:szCs w:val="32"/>
          <w:highlight w:val="none"/>
          <w:lang w:val="en-US" w:eastAsia="zh-CN"/>
        </w:rPr>
        <w:t>得</w:t>
      </w:r>
      <w:r>
        <w:rPr>
          <w:rFonts w:hint="eastAsia" w:ascii="仿宋_GB2312" w:hAnsi="仿宋_GB2312" w:eastAsia="仿宋_GB2312" w:cs="仿宋_GB2312"/>
          <w:spacing w:val="12"/>
          <w:sz w:val="32"/>
          <w:szCs w:val="32"/>
          <w:highlight w:val="none"/>
        </w:rPr>
        <w:t>超过</w:t>
      </w:r>
      <w:r>
        <w:rPr>
          <w:rFonts w:hint="eastAsia" w:ascii="仿宋_GB2312" w:hAnsi="仿宋_GB2312" w:eastAsia="仿宋_GB2312" w:cs="仿宋_GB2312"/>
          <w:spacing w:val="12"/>
          <w:sz w:val="32"/>
          <w:szCs w:val="32"/>
          <w:highlight w:val="none"/>
          <w:lang w:val="en-US" w:eastAsia="zh-CN"/>
        </w:rPr>
        <w:t>20</w:t>
      </w:r>
      <w:r>
        <w:rPr>
          <w:rFonts w:hint="eastAsia" w:ascii="仿宋_GB2312" w:hAnsi="仿宋_GB2312" w:eastAsia="仿宋_GB2312" w:cs="仿宋_GB2312"/>
          <w:spacing w:val="12"/>
          <w:sz w:val="32"/>
          <w:szCs w:val="32"/>
          <w:highlight w:val="none"/>
        </w:rPr>
        <w:t>年。</w:t>
      </w:r>
      <w:r>
        <w:rPr>
          <w:rFonts w:hint="eastAsia" w:ascii="仿宋_GB2312" w:hAnsi="仿宋_GB2312" w:eastAsia="仿宋_GB2312" w:cs="仿宋_GB2312"/>
          <w:spacing w:val="12"/>
          <w:sz w:val="32"/>
          <w:szCs w:val="32"/>
          <w:highlight w:val="none"/>
          <w:lang w:val="en-US" w:eastAsia="zh-CN"/>
        </w:rPr>
        <w:t>合同到期</w:t>
      </w:r>
      <w:r>
        <w:rPr>
          <w:rFonts w:hint="eastAsia" w:ascii="仿宋_GB2312" w:hAnsi="仿宋_GB2312" w:eastAsia="仿宋_GB2312" w:cs="仿宋_GB2312"/>
          <w:spacing w:val="12"/>
          <w:sz w:val="32"/>
          <w:szCs w:val="32"/>
          <w:highlight w:val="none"/>
        </w:rPr>
        <w:t>需要继续对外</w:t>
      </w:r>
      <w:r>
        <w:rPr>
          <w:rFonts w:hint="eastAsia" w:ascii="仿宋_GB2312" w:hAnsi="仿宋_GB2312" w:eastAsia="仿宋_GB2312" w:cs="仿宋_GB2312"/>
          <w:spacing w:val="12"/>
          <w:sz w:val="32"/>
          <w:szCs w:val="32"/>
          <w:highlight w:val="none"/>
          <w:lang w:val="en-US" w:eastAsia="zh-CN"/>
        </w:rPr>
        <w:t>转让</w:t>
      </w:r>
      <w:r>
        <w:rPr>
          <w:rFonts w:hint="eastAsia" w:ascii="仿宋_GB2312" w:hAnsi="仿宋_GB2312" w:eastAsia="仿宋_GB2312" w:cs="仿宋_GB2312"/>
          <w:spacing w:val="12"/>
          <w:sz w:val="32"/>
          <w:szCs w:val="32"/>
          <w:highlight w:val="none"/>
        </w:rPr>
        <w:t>的，优先</w:t>
      </w:r>
      <w:r>
        <w:rPr>
          <w:rFonts w:hint="eastAsia" w:ascii="仿宋_GB2312" w:hAnsi="仿宋_GB2312" w:eastAsia="仿宋_GB2312" w:cs="仿宋_GB2312"/>
          <w:spacing w:val="12"/>
          <w:sz w:val="32"/>
          <w:szCs w:val="32"/>
          <w:highlight w:val="none"/>
          <w:lang w:val="en-US" w:eastAsia="zh-CN"/>
        </w:rPr>
        <w:t>转让</w:t>
      </w:r>
      <w:r>
        <w:rPr>
          <w:rFonts w:hint="eastAsia" w:ascii="仿宋_GB2312" w:hAnsi="仿宋_GB2312" w:eastAsia="仿宋_GB2312" w:cs="仿宋_GB2312"/>
          <w:spacing w:val="12"/>
          <w:sz w:val="32"/>
          <w:szCs w:val="32"/>
          <w:highlight w:val="none"/>
        </w:rPr>
        <w:t>给原</w:t>
      </w:r>
      <w:r>
        <w:rPr>
          <w:rFonts w:hint="eastAsia" w:ascii="仿宋_GB2312" w:hAnsi="仿宋_GB2312" w:eastAsia="仿宋_GB2312" w:cs="仿宋_GB2312"/>
          <w:spacing w:val="12"/>
          <w:sz w:val="32"/>
          <w:szCs w:val="32"/>
          <w:highlight w:val="none"/>
          <w:lang w:val="en-US" w:eastAsia="zh-CN"/>
        </w:rPr>
        <w:t>受让</w:t>
      </w:r>
      <w:r>
        <w:rPr>
          <w:rFonts w:hint="eastAsia" w:ascii="仿宋_GB2312" w:hAnsi="仿宋_GB2312" w:eastAsia="仿宋_GB2312" w:cs="仿宋_GB2312"/>
          <w:spacing w:val="12"/>
          <w:sz w:val="32"/>
          <w:szCs w:val="32"/>
          <w:highlight w:val="none"/>
        </w:rPr>
        <w:t>人，</w:t>
      </w:r>
      <w:r>
        <w:rPr>
          <w:rFonts w:hint="eastAsia" w:ascii="仿宋_GB2312" w:hAnsi="仿宋_GB2312" w:eastAsia="仿宋_GB2312" w:cs="仿宋_GB2312"/>
          <w:spacing w:val="12"/>
          <w:sz w:val="32"/>
          <w:szCs w:val="32"/>
          <w:highlight w:val="none"/>
          <w:lang w:val="en-US" w:eastAsia="zh-CN"/>
        </w:rPr>
        <w:t>但</w:t>
      </w:r>
      <w:r>
        <w:rPr>
          <w:rFonts w:hint="eastAsia" w:ascii="仿宋_GB2312" w:hAnsi="仿宋_GB2312" w:eastAsia="仿宋_GB2312" w:cs="仿宋_GB2312"/>
          <w:spacing w:val="12"/>
          <w:sz w:val="32"/>
          <w:szCs w:val="32"/>
          <w:highlight w:val="none"/>
        </w:rPr>
        <w:t>需要重新进行评估。</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50" w:lineRule="exact"/>
        <w:ind w:leftChars="200" w:right="11" w:rightChars="0"/>
        <w:textAlignment w:val="baseline"/>
        <w:rPr>
          <w:rFonts w:hint="eastAsia" w:ascii="楷体_GB2312" w:hAnsi="楷体_GB2312" w:eastAsia="楷体_GB2312" w:cs="楷体_GB2312"/>
          <w:spacing w:val="12"/>
          <w:sz w:val="32"/>
          <w:szCs w:val="32"/>
          <w:highlight w:val="none"/>
          <w:lang w:val="en-US" w:eastAsia="zh-CN"/>
        </w:rPr>
      </w:pPr>
      <w:r>
        <w:rPr>
          <w:rFonts w:hint="eastAsia" w:ascii="楷体_GB2312" w:hAnsi="楷体_GB2312" w:eastAsia="楷体_GB2312" w:cs="楷体_GB2312"/>
          <w:spacing w:val="12"/>
          <w:sz w:val="32"/>
          <w:szCs w:val="32"/>
          <w:highlight w:val="none"/>
          <w:lang w:eastAsia="zh-CN"/>
        </w:rPr>
        <w:t>（三）收益管理</w:t>
      </w:r>
    </w:p>
    <w:p>
      <w:pPr>
        <w:keepNext w:val="0"/>
        <w:keepLines w:val="0"/>
        <w:pageBreakBefore w:val="0"/>
        <w:widowControl/>
        <w:kinsoku w:val="0"/>
        <w:wordWrap/>
        <w:overflowPunct/>
        <w:topLinePunct w:val="0"/>
        <w:autoSpaceDE w:val="0"/>
        <w:autoSpaceDN w:val="0"/>
        <w:bidi w:val="0"/>
        <w:adjustRightInd w:val="0"/>
        <w:snapToGrid w:val="0"/>
        <w:spacing w:line="550" w:lineRule="exact"/>
        <w:ind w:left="68" w:right="11" w:firstLine="688" w:firstLineChars="200"/>
        <w:textAlignment w:val="baseline"/>
        <w:rPr>
          <w:rFonts w:ascii="仿宋_GB2312" w:hAnsi="仿宋_GB2312" w:eastAsia="仿宋_GB2312" w:cs="仿宋_GB2312"/>
          <w:spacing w:val="12"/>
          <w:sz w:val="32"/>
          <w:szCs w:val="32"/>
          <w:highlight w:val="none"/>
        </w:rPr>
      </w:pPr>
      <w:r>
        <w:rPr>
          <w:rFonts w:hint="eastAsia" w:ascii="仿宋_GB2312" w:hAnsi="仿宋_GB2312" w:eastAsia="仿宋_GB2312" w:cs="仿宋_GB2312"/>
          <w:spacing w:val="12"/>
          <w:sz w:val="32"/>
          <w:szCs w:val="32"/>
          <w:highlight w:val="none"/>
          <w:lang w:val="en-US" w:eastAsia="zh-CN"/>
        </w:rPr>
        <w:t>充电设施经营权转让</w:t>
      </w:r>
      <w:r>
        <w:rPr>
          <w:rFonts w:hint="eastAsia" w:ascii="仿宋_GB2312" w:hAnsi="仿宋_GB2312" w:eastAsia="仿宋_GB2312" w:cs="仿宋_GB2312"/>
          <w:spacing w:val="12"/>
          <w:sz w:val="32"/>
          <w:szCs w:val="32"/>
          <w:highlight w:val="none"/>
        </w:rPr>
        <w:t>收入</w:t>
      </w:r>
      <w:r>
        <w:rPr>
          <w:rFonts w:hint="eastAsia" w:ascii="仿宋_GB2312" w:hAnsi="仿宋_GB2312" w:eastAsia="仿宋_GB2312" w:cs="仿宋_GB2312"/>
          <w:spacing w:val="12"/>
          <w:sz w:val="32"/>
          <w:szCs w:val="32"/>
          <w:highlight w:val="none"/>
          <w:lang w:eastAsia="zh-CN"/>
        </w:rPr>
        <w:t>由项目单位及时催缴，</w:t>
      </w:r>
      <w:r>
        <w:rPr>
          <w:rFonts w:hint="eastAsia" w:ascii="仿宋_GB2312" w:hAnsi="仿宋_GB2312" w:eastAsia="仿宋_GB2312" w:cs="仿宋_GB2312"/>
          <w:spacing w:val="12"/>
          <w:sz w:val="32"/>
          <w:szCs w:val="32"/>
          <w:highlight w:val="none"/>
        </w:rPr>
        <w:t>由</w:t>
      </w:r>
      <w:r>
        <w:rPr>
          <w:rFonts w:hint="eastAsia" w:ascii="仿宋_GB2312" w:hAnsi="仿宋_GB2312" w:eastAsia="仿宋_GB2312" w:cs="仿宋_GB2312"/>
          <w:spacing w:val="12"/>
          <w:sz w:val="32"/>
          <w:szCs w:val="32"/>
          <w:highlight w:val="none"/>
          <w:lang w:val="en-US" w:eastAsia="zh-CN"/>
        </w:rPr>
        <w:t>受让</w:t>
      </w:r>
      <w:r>
        <w:rPr>
          <w:rFonts w:hint="eastAsia" w:ascii="仿宋_GB2312" w:hAnsi="仿宋_GB2312" w:eastAsia="仿宋_GB2312" w:cs="仿宋_GB2312"/>
          <w:spacing w:val="12"/>
          <w:sz w:val="32"/>
          <w:szCs w:val="32"/>
          <w:highlight w:val="none"/>
        </w:rPr>
        <w:t>户直接缴纳到赞皇县收费服务中心账户</w:t>
      </w:r>
      <w:r>
        <w:rPr>
          <w:rFonts w:hint="eastAsia" w:ascii="仿宋_GB2312" w:hAnsi="仿宋_GB2312" w:eastAsia="仿宋_GB2312" w:cs="仿宋_GB2312"/>
          <w:spacing w:val="12"/>
          <w:sz w:val="32"/>
          <w:szCs w:val="32"/>
          <w:highlight w:val="none"/>
          <w:lang w:eastAsia="zh-CN"/>
        </w:rPr>
        <w:t>，</w:t>
      </w:r>
      <w:r>
        <w:rPr>
          <w:rFonts w:hint="eastAsia" w:ascii="仿宋_GB2312" w:hAnsi="仿宋_GB2312" w:eastAsia="仿宋_GB2312" w:cs="仿宋_GB2312"/>
          <w:spacing w:val="12"/>
          <w:sz w:val="32"/>
          <w:szCs w:val="32"/>
          <w:highlight w:val="none"/>
          <w:lang w:val="en-US" w:eastAsia="zh-CN"/>
        </w:rPr>
        <w:t>债券资金形成的充电设施，收入应优先用于偿还债券本金及利息。</w:t>
      </w:r>
      <w:r>
        <w:rPr>
          <w:rFonts w:hint="eastAsia" w:ascii="仿宋_GB2312" w:hAnsi="仿宋_GB2312" w:eastAsia="仿宋_GB2312" w:cs="仿宋_GB2312"/>
          <w:spacing w:val="12"/>
          <w:sz w:val="32"/>
          <w:szCs w:val="32"/>
          <w:highlight w:val="none"/>
        </w:rPr>
        <w:t xml:space="preserve"> </w:t>
      </w:r>
    </w:p>
    <w:p>
      <w:pPr>
        <w:keepNext w:val="0"/>
        <w:keepLines w:val="0"/>
        <w:pageBreakBefore w:val="0"/>
        <w:widowControl/>
        <w:kinsoku w:val="0"/>
        <w:wordWrap/>
        <w:overflowPunct/>
        <w:topLinePunct w:val="0"/>
        <w:autoSpaceDE w:val="0"/>
        <w:autoSpaceDN w:val="0"/>
        <w:bidi w:val="0"/>
        <w:adjustRightInd w:val="0"/>
        <w:snapToGrid w:val="0"/>
        <w:spacing w:line="550" w:lineRule="exact"/>
        <w:ind w:right="11" w:firstLine="688" w:firstLineChars="200"/>
        <w:textAlignment w:val="baseline"/>
        <w:rPr>
          <w:rFonts w:hint="eastAsia" w:ascii="楷体_GB2312" w:hAnsi="楷体_GB2312" w:eastAsia="楷体_GB2312" w:cs="楷体_GB2312"/>
          <w:spacing w:val="12"/>
          <w:sz w:val="32"/>
          <w:szCs w:val="32"/>
          <w:highlight w:val="none"/>
          <w:lang w:eastAsia="zh-CN"/>
        </w:rPr>
      </w:pPr>
      <w:r>
        <w:rPr>
          <w:rFonts w:hint="eastAsia" w:ascii="楷体_GB2312" w:hAnsi="楷体_GB2312" w:eastAsia="楷体_GB2312" w:cs="楷体_GB2312"/>
          <w:spacing w:val="12"/>
          <w:sz w:val="32"/>
          <w:szCs w:val="32"/>
          <w:highlight w:val="none"/>
        </w:rPr>
        <w:t>（</w:t>
      </w:r>
      <w:r>
        <w:rPr>
          <w:rFonts w:hint="eastAsia" w:ascii="楷体_GB2312" w:hAnsi="楷体_GB2312" w:eastAsia="楷体_GB2312" w:cs="楷体_GB2312"/>
          <w:spacing w:val="12"/>
          <w:sz w:val="32"/>
          <w:szCs w:val="32"/>
          <w:highlight w:val="none"/>
          <w:lang w:eastAsia="zh-CN"/>
        </w:rPr>
        <w:t>四</w:t>
      </w:r>
      <w:r>
        <w:rPr>
          <w:rFonts w:hint="eastAsia" w:ascii="楷体_GB2312" w:hAnsi="楷体_GB2312" w:eastAsia="楷体_GB2312" w:cs="楷体_GB2312"/>
          <w:spacing w:val="12"/>
          <w:sz w:val="32"/>
          <w:szCs w:val="32"/>
          <w:highlight w:val="none"/>
        </w:rPr>
        <w:t>）</w:t>
      </w:r>
      <w:r>
        <w:rPr>
          <w:rFonts w:hint="eastAsia" w:ascii="楷体_GB2312" w:hAnsi="楷体_GB2312" w:eastAsia="楷体_GB2312" w:cs="楷体_GB2312"/>
          <w:spacing w:val="12"/>
          <w:sz w:val="32"/>
          <w:szCs w:val="32"/>
          <w:highlight w:val="none"/>
          <w:lang w:eastAsia="zh-CN"/>
        </w:rPr>
        <w:t>监督管理</w:t>
      </w:r>
    </w:p>
    <w:p>
      <w:pPr>
        <w:keepNext w:val="0"/>
        <w:keepLines w:val="0"/>
        <w:pageBreakBefore w:val="0"/>
        <w:widowControl/>
        <w:kinsoku w:val="0"/>
        <w:wordWrap/>
        <w:overflowPunct/>
        <w:topLinePunct w:val="0"/>
        <w:autoSpaceDE w:val="0"/>
        <w:autoSpaceDN w:val="0"/>
        <w:bidi w:val="0"/>
        <w:adjustRightInd w:val="0"/>
        <w:snapToGrid w:val="0"/>
        <w:spacing w:line="550" w:lineRule="exact"/>
        <w:ind w:left="68" w:right="11" w:firstLine="688" w:firstLineChars="200"/>
        <w:textAlignment w:val="baseline"/>
        <w:rPr>
          <w:rFonts w:ascii="仿宋_GB2312" w:hAnsi="仿宋_GB2312" w:eastAsia="仿宋_GB2312" w:cs="仿宋_GB2312"/>
          <w:spacing w:val="12"/>
          <w:sz w:val="32"/>
          <w:szCs w:val="32"/>
          <w:highlight w:val="none"/>
        </w:rPr>
      </w:pPr>
      <w:r>
        <w:rPr>
          <w:rFonts w:hint="eastAsia" w:ascii="仿宋_GB2312" w:hAnsi="仿宋_GB2312" w:eastAsia="仿宋_GB2312" w:cs="仿宋_GB2312"/>
          <w:spacing w:val="12"/>
          <w:sz w:val="32"/>
          <w:szCs w:val="32"/>
          <w:highlight w:val="none"/>
        </w:rPr>
        <w:t>财政资产管理部门、审计、监察等部门应依照职责对项目单位</w:t>
      </w:r>
      <w:r>
        <w:rPr>
          <w:rFonts w:hint="eastAsia" w:ascii="仿宋_GB2312" w:hAnsi="仿宋_GB2312" w:eastAsia="仿宋_GB2312" w:cs="仿宋_GB2312"/>
          <w:spacing w:val="12"/>
          <w:sz w:val="32"/>
          <w:szCs w:val="32"/>
          <w:highlight w:val="none"/>
          <w:lang w:val="en-US" w:eastAsia="zh-CN"/>
        </w:rPr>
        <w:t>转让</w:t>
      </w:r>
      <w:r>
        <w:rPr>
          <w:rFonts w:hint="eastAsia" w:ascii="仿宋_GB2312" w:hAnsi="仿宋_GB2312" w:eastAsia="仿宋_GB2312" w:cs="仿宋_GB2312"/>
          <w:spacing w:val="12"/>
          <w:sz w:val="32"/>
          <w:szCs w:val="32"/>
          <w:highlight w:val="none"/>
        </w:rPr>
        <w:t>收入缴纳、使用情况进行监督检查，并对发现的问题及时依法予以制止和纠正。</w:t>
      </w:r>
    </w:p>
    <w:p>
      <w:pPr>
        <w:keepNext w:val="0"/>
        <w:keepLines w:val="0"/>
        <w:pageBreakBefore w:val="0"/>
        <w:wordWrap/>
        <w:overflowPunct/>
        <w:topLinePunct w:val="0"/>
        <w:bidi w:val="0"/>
        <w:spacing w:line="550" w:lineRule="exact"/>
        <w:ind w:firstLine="640" w:firstLineChars="200"/>
        <w:rPr>
          <w:rFonts w:ascii="国标黑体" w:hAnsi="国标黑体" w:eastAsia="国标黑体" w:cs="国标黑体"/>
          <w:sz w:val="32"/>
          <w:szCs w:val="32"/>
          <w:highlight w:val="none"/>
        </w:rPr>
      </w:pPr>
      <w:r>
        <w:rPr>
          <w:rFonts w:hint="eastAsia" w:ascii="国标黑体" w:hAnsi="国标黑体" w:eastAsia="国标黑体" w:cs="国标黑体"/>
          <w:sz w:val="32"/>
          <w:szCs w:val="32"/>
          <w:highlight w:val="none"/>
        </w:rPr>
        <w:t>二、</w:t>
      </w:r>
      <w:r>
        <w:rPr>
          <w:rFonts w:hint="eastAsia" w:ascii="国标黑体" w:hAnsi="国标黑体" w:eastAsia="国标黑体" w:cs="国标黑体"/>
          <w:sz w:val="32"/>
          <w:szCs w:val="32"/>
          <w:highlight w:val="none"/>
          <w:lang w:eastAsia="zh-CN"/>
        </w:rPr>
        <w:t>社会投资</w:t>
      </w:r>
      <w:r>
        <w:rPr>
          <w:rFonts w:hint="eastAsia" w:ascii="国标黑体" w:hAnsi="国标黑体" w:eastAsia="国标黑体" w:cs="国标黑体"/>
          <w:sz w:val="32"/>
          <w:szCs w:val="32"/>
          <w:highlight w:val="none"/>
        </w:rPr>
        <w:t>商用充电基础设施</w:t>
      </w:r>
      <w:r>
        <w:rPr>
          <w:rFonts w:hint="eastAsia" w:ascii="国标黑体" w:hAnsi="国标黑体" w:eastAsia="国标黑体" w:cs="国标黑体"/>
          <w:sz w:val="32"/>
          <w:szCs w:val="32"/>
          <w:highlight w:val="none"/>
          <w:lang w:val="en-US" w:eastAsia="zh-CN"/>
        </w:rPr>
        <w:t>的</w:t>
      </w:r>
      <w:r>
        <w:rPr>
          <w:rFonts w:hint="eastAsia" w:ascii="国标黑体" w:hAnsi="国标黑体" w:eastAsia="国标黑体" w:cs="国标黑体"/>
          <w:sz w:val="32"/>
          <w:szCs w:val="32"/>
          <w:highlight w:val="none"/>
        </w:rPr>
        <w:t>管理</w:t>
      </w:r>
    </w:p>
    <w:p>
      <w:pPr>
        <w:spacing w:line="570" w:lineRule="exact"/>
        <w:ind w:firstLine="640" w:firstLineChars="200"/>
        <w:rPr>
          <w:rFonts w:ascii="仿宋_GB2312" w:hAnsi="仿宋_GB2312" w:eastAsia="仿宋_GB2312" w:cs="仿宋_GB2312"/>
          <w:sz w:val="32"/>
          <w:szCs w:val="32"/>
          <w:highlight w:val="none"/>
        </w:rPr>
      </w:pPr>
      <w:bookmarkStart w:id="1" w:name="OLE_LINK7"/>
      <w:bookmarkStart w:id="2" w:name="OLE_LINK8"/>
      <w:r>
        <w:rPr>
          <w:rFonts w:hint="eastAsia" w:ascii="楷体_GB2312" w:hAnsi="楷体_GB2312" w:eastAsia="楷体_GB2312" w:cs="楷体_GB2312"/>
          <w:sz w:val="32"/>
          <w:szCs w:val="32"/>
          <w:highlight w:val="none"/>
          <w:lang w:eastAsia="zh-CN"/>
        </w:rPr>
        <w:t>（</w:t>
      </w:r>
      <w:r>
        <w:rPr>
          <w:rFonts w:hint="eastAsia" w:ascii="楷体_GB2312" w:hAnsi="楷体_GB2312" w:eastAsia="楷体_GB2312" w:cs="楷体_GB2312"/>
          <w:sz w:val="32"/>
          <w:szCs w:val="32"/>
          <w:highlight w:val="none"/>
          <w:lang w:val="en-US" w:eastAsia="zh-CN"/>
        </w:rPr>
        <w:t>一</w:t>
      </w:r>
      <w:r>
        <w:rPr>
          <w:rFonts w:hint="eastAsia" w:ascii="楷体_GB2312" w:hAnsi="楷体_GB2312" w:eastAsia="楷体_GB2312" w:cs="楷体_GB2312"/>
          <w:sz w:val="32"/>
          <w:szCs w:val="32"/>
          <w:highlight w:val="none"/>
          <w:lang w:eastAsia="zh-CN"/>
        </w:rPr>
        <w:t>）</w:t>
      </w:r>
      <w:r>
        <w:rPr>
          <w:rFonts w:hint="eastAsia" w:ascii="楷体_GB2312" w:hAnsi="楷体_GB2312" w:eastAsia="楷体_GB2312" w:cs="楷体_GB2312"/>
          <w:sz w:val="32"/>
          <w:szCs w:val="32"/>
          <w:highlight w:val="none"/>
        </w:rPr>
        <w:t>商用</w:t>
      </w:r>
      <w:bookmarkStart w:id="3" w:name="OLE_LINK2"/>
      <w:bookmarkStart w:id="4" w:name="OLE_LINK1"/>
      <w:r>
        <w:rPr>
          <w:rFonts w:hint="eastAsia" w:ascii="楷体_GB2312" w:hAnsi="楷体_GB2312" w:eastAsia="楷体_GB2312" w:cs="楷体_GB2312"/>
          <w:sz w:val="32"/>
          <w:szCs w:val="32"/>
          <w:highlight w:val="none"/>
        </w:rPr>
        <w:t>充电基础设施</w:t>
      </w:r>
      <w:bookmarkEnd w:id="3"/>
      <w:bookmarkEnd w:id="4"/>
      <w:r>
        <w:rPr>
          <w:rFonts w:hint="eastAsia" w:ascii="楷体_GB2312" w:hAnsi="楷体_GB2312" w:eastAsia="楷体_GB2312" w:cs="楷体_GB2312"/>
          <w:sz w:val="32"/>
          <w:szCs w:val="32"/>
          <w:highlight w:val="none"/>
        </w:rPr>
        <w:t>立项</w:t>
      </w:r>
      <w:bookmarkEnd w:id="1"/>
      <w:bookmarkEnd w:id="2"/>
      <w:r>
        <w:rPr>
          <w:rFonts w:hint="eastAsia" w:ascii="楷体_GB2312" w:hAnsi="楷体_GB2312" w:eastAsia="楷体_GB2312" w:cs="楷体_GB2312"/>
          <w:sz w:val="32"/>
          <w:szCs w:val="32"/>
          <w:highlight w:val="none"/>
          <w:lang w:eastAsia="zh-CN"/>
        </w:rPr>
        <w:t>审批</w:t>
      </w:r>
      <w:r>
        <w:rPr>
          <w:rFonts w:hint="eastAsia" w:ascii="楷体_GB2312" w:hAnsi="楷体_GB2312" w:eastAsia="楷体_GB2312" w:cs="楷体_GB2312"/>
          <w:sz w:val="32"/>
          <w:szCs w:val="32"/>
          <w:highlight w:val="none"/>
        </w:rPr>
        <w:t>。</w:t>
      </w:r>
      <w:r>
        <w:rPr>
          <w:rFonts w:hint="eastAsia" w:ascii="仿宋_GB2312" w:hAnsi="仿宋_GB2312" w:eastAsia="仿宋_GB2312" w:cs="仿宋_GB2312"/>
          <w:sz w:val="32"/>
          <w:szCs w:val="32"/>
          <w:highlight w:val="none"/>
        </w:rPr>
        <w:t>拟建设</w:t>
      </w:r>
      <w:bookmarkStart w:id="5" w:name="OLE_LINK4"/>
      <w:bookmarkStart w:id="6" w:name="OLE_LINK3"/>
      <w:r>
        <w:rPr>
          <w:rFonts w:hint="eastAsia" w:ascii="仿宋_GB2312" w:hAnsi="仿宋_GB2312" w:eastAsia="仿宋_GB2312" w:cs="仿宋_GB2312"/>
          <w:sz w:val="32"/>
          <w:szCs w:val="32"/>
          <w:highlight w:val="none"/>
        </w:rPr>
        <w:t>充电基础设</w:t>
      </w:r>
      <w:bookmarkEnd w:id="5"/>
      <w:bookmarkEnd w:id="6"/>
      <w:r>
        <w:rPr>
          <w:rFonts w:hint="eastAsia" w:ascii="仿宋_GB2312" w:hAnsi="仿宋_GB2312" w:eastAsia="仿宋_GB2312" w:cs="仿宋_GB2312"/>
          <w:sz w:val="32"/>
          <w:szCs w:val="32"/>
          <w:highlight w:val="none"/>
        </w:rPr>
        <w:t>施的相关企业向县发改局提交书面申请，发改局根据充电基础设施</w:t>
      </w:r>
      <w:r>
        <w:rPr>
          <w:rFonts w:hint="eastAsia" w:ascii="仿宋_GB2312" w:hAnsi="仿宋_GB2312" w:eastAsia="仿宋_GB2312" w:cs="仿宋_GB2312"/>
          <w:sz w:val="32"/>
          <w:szCs w:val="32"/>
          <w:highlight w:val="none"/>
          <w:lang w:val="en-US" w:eastAsia="zh-CN"/>
        </w:rPr>
        <w:t>规划</w:t>
      </w:r>
      <w:r>
        <w:rPr>
          <w:rFonts w:hint="eastAsia" w:ascii="仿宋_GB2312" w:hAnsi="仿宋_GB2312" w:eastAsia="仿宋_GB2312" w:cs="仿宋_GB2312"/>
          <w:sz w:val="32"/>
          <w:szCs w:val="32"/>
          <w:highlight w:val="none"/>
        </w:rPr>
        <w:t>布局批复后，企业提请县自规局、供电公司出具用地、接电意见，县发改局对企业资质、用地手续、电网接入等项目建设条件进行审查，对符合条件的项目出具纳入县充电基础设施布局建设方案意见，由县数政局备案，数政局向各职能部门</w:t>
      </w:r>
      <w:r>
        <w:rPr>
          <w:rFonts w:hint="eastAsia" w:ascii="仿宋_GB2312" w:hAnsi="仿宋_GB2312" w:eastAsia="仿宋_GB2312" w:cs="仿宋_GB2312"/>
          <w:sz w:val="32"/>
          <w:szCs w:val="32"/>
          <w:highlight w:val="none"/>
          <w:lang w:eastAsia="zh-CN"/>
        </w:rPr>
        <w:t>和乡镇</w:t>
      </w:r>
      <w:r>
        <w:rPr>
          <w:rFonts w:hint="eastAsia" w:ascii="仿宋_GB2312" w:hAnsi="仿宋_GB2312" w:eastAsia="仿宋_GB2312" w:cs="仿宋_GB2312"/>
          <w:sz w:val="32"/>
          <w:szCs w:val="32"/>
          <w:highlight w:val="none"/>
        </w:rPr>
        <w:t>推送项目备案信息。</w:t>
      </w:r>
    </w:p>
    <w:p>
      <w:pPr>
        <w:keepNext w:val="0"/>
        <w:keepLines w:val="0"/>
        <w:pageBreakBefore w:val="0"/>
        <w:wordWrap/>
        <w:overflowPunct/>
        <w:topLinePunct w:val="0"/>
        <w:bidi w:val="0"/>
        <w:spacing w:line="550" w:lineRule="exact"/>
        <w:ind w:firstLine="640" w:firstLineChars="200"/>
        <w:rPr>
          <w:rFonts w:hint="eastAsia" w:ascii="仿宋_GB2312" w:hAnsi="仿宋_GB2312" w:eastAsia="仿宋_GB2312" w:cs="仿宋_GB2312"/>
          <w:sz w:val="32"/>
          <w:szCs w:val="32"/>
          <w:highlight w:val="none"/>
          <w:lang w:val="en-US" w:eastAsia="zh-CN"/>
        </w:rPr>
      </w:pPr>
      <w:r>
        <w:rPr>
          <w:rFonts w:hint="eastAsia" w:ascii="楷体_GB2312" w:hAnsi="楷体_GB2312" w:eastAsia="楷体_GB2312" w:cs="楷体_GB2312"/>
          <w:kern w:val="2"/>
          <w:sz w:val="32"/>
          <w:szCs w:val="32"/>
          <w:highlight w:val="none"/>
          <w:lang w:val="en-US" w:eastAsia="zh-CN" w:bidi="ar-SA"/>
        </w:rPr>
        <w:t>（二）</w:t>
      </w:r>
      <w:bookmarkStart w:id="7" w:name="OLE_LINK11"/>
      <w:r>
        <w:rPr>
          <w:rFonts w:hint="eastAsia" w:ascii="楷体_GB2312" w:hAnsi="楷体_GB2312" w:eastAsia="楷体_GB2312" w:cs="楷体_GB2312"/>
          <w:kern w:val="2"/>
          <w:sz w:val="32"/>
          <w:szCs w:val="32"/>
          <w:highlight w:val="none"/>
          <w:lang w:val="en-US" w:eastAsia="zh-CN" w:bidi="ar-SA"/>
        </w:rPr>
        <w:t>商用充电基础设施建设审批</w:t>
      </w:r>
      <w:r>
        <w:rPr>
          <w:rFonts w:hint="eastAsia" w:ascii="楷体_GB2312" w:hAnsi="楷体_GB2312" w:eastAsia="楷体_GB2312" w:cs="楷体_GB2312"/>
          <w:sz w:val="32"/>
          <w:szCs w:val="32"/>
          <w:highlight w:val="none"/>
        </w:rPr>
        <w:t>。</w:t>
      </w:r>
      <w:bookmarkEnd w:id="7"/>
      <w:r>
        <w:rPr>
          <w:rFonts w:hint="eastAsia" w:ascii="仿宋_GB2312" w:hAnsi="仿宋_GB2312" w:eastAsia="仿宋_GB2312" w:cs="仿宋_GB2312"/>
          <w:sz w:val="32"/>
          <w:szCs w:val="32"/>
          <w:highlight w:val="none"/>
        </w:rPr>
        <w:t>项目备案后，县自规、住建、数政等部门依据职责依法办理建设用地规划许可、建设工程规划许可、消防、施工许可等相关建设手续，手续办理完成后，项目动工建设，未办理相关建设手续的项目不得动工建设</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建设城市公共停车场、停车楼</w:t>
      </w:r>
      <w:r>
        <w:rPr>
          <w:rFonts w:hint="eastAsia" w:ascii="仿宋_GB2312" w:hAnsi="仿宋_GB2312" w:eastAsia="仿宋_GB2312" w:cs="仿宋_GB2312"/>
          <w:sz w:val="32"/>
          <w:szCs w:val="32"/>
          <w:highlight w:val="none"/>
          <w:lang w:eastAsia="zh-CN"/>
        </w:rPr>
        <w:t>等配建充电设施</w:t>
      </w:r>
      <w:r>
        <w:rPr>
          <w:rFonts w:hint="eastAsia" w:ascii="仿宋_GB2312" w:hAnsi="仿宋_GB2312" w:eastAsia="仿宋_GB2312" w:cs="仿宋_GB2312"/>
          <w:sz w:val="32"/>
          <w:szCs w:val="32"/>
          <w:highlight w:val="none"/>
        </w:rPr>
        <w:t>时，无需单独办理建设工程规划许可证。</w:t>
      </w:r>
    </w:p>
    <w:p>
      <w:pPr>
        <w:pStyle w:val="7"/>
        <w:keepNext w:val="0"/>
        <w:keepLines w:val="0"/>
        <w:pageBreakBefore w:val="0"/>
        <w:wordWrap/>
        <w:overflowPunct/>
        <w:topLinePunct w:val="0"/>
        <w:bidi w:val="0"/>
        <w:spacing w:line="550" w:lineRule="exact"/>
        <w:ind w:left="0" w:firstLine="640" w:firstLineChars="200"/>
        <w:rPr>
          <w:rFonts w:hint="default" w:ascii="仿宋_GB2312" w:hAnsi="仿宋_GB2312" w:eastAsia="仿宋_GB2312" w:cs="仿宋_GB2312"/>
          <w:sz w:val="32"/>
          <w:szCs w:val="32"/>
          <w:highlight w:val="none"/>
          <w:lang w:val="en-US" w:eastAsia="zh-CN"/>
        </w:rPr>
      </w:pPr>
      <w:r>
        <w:rPr>
          <w:rFonts w:hint="eastAsia" w:ascii="楷体_GB2312" w:hAnsi="楷体_GB2312" w:eastAsia="楷体_GB2312" w:cs="楷体_GB2312"/>
          <w:kern w:val="2"/>
          <w:sz w:val="32"/>
          <w:szCs w:val="32"/>
          <w:highlight w:val="none"/>
          <w:lang w:val="en-US" w:eastAsia="zh-CN" w:bidi="ar-SA"/>
        </w:rPr>
        <w:t>（三）商用</w:t>
      </w:r>
      <w:bookmarkStart w:id="8" w:name="OLE_LINK12"/>
      <w:r>
        <w:rPr>
          <w:rFonts w:hint="eastAsia" w:ascii="楷体_GB2312" w:hAnsi="楷体_GB2312" w:eastAsia="楷体_GB2312" w:cs="楷体_GB2312"/>
          <w:kern w:val="2"/>
          <w:sz w:val="32"/>
          <w:szCs w:val="32"/>
          <w:highlight w:val="none"/>
          <w:lang w:val="en-US" w:eastAsia="zh-CN" w:bidi="ar-SA"/>
        </w:rPr>
        <w:t>充电基础设施建设</w:t>
      </w:r>
      <w:bookmarkEnd w:id="8"/>
      <w:r>
        <w:rPr>
          <w:rFonts w:hint="eastAsia" w:ascii="楷体_GB2312" w:hAnsi="楷体_GB2312" w:eastAsia="楷体_GB2312" w:cs="楷体_GB2312"/>
          <w:kern w:val="2"/>
          <w:sz w:val="32"/>
          <w:szCs w:val="32"/>
          <w:highlight w:val="none"/>
          <w:lang w:val="en-US" w:eastAsia="zh-CN" w:bidi="ar-SA"/>
        </w:rPr>
        <w:t>管理。</w:t>
      </w:r>
      <w:r>
        <w:rPr>
          <w:rFonts w:hint="eastAsia" w:ascii="仿宋_GB2312" w:hAnsi="仿宋_GB2312" w:eastAsia="仿宋_GB2312" w:cs="仿宋_GB2312"/>
          <w:sz w:val="32"/>
          <w:szCs w:val="32"/>
          <w:highlight w:val="none"/>
        </w:rPr>
        <w:t>充电基础设施建设项目备案后，数政局将相关信息推送至相关部门和乡镇，各职能部门和乡镇按照职责对项目手续进行核查，对建设过程进行督导，各乡镇落实属地管理责任，对手续不齐全的项目坚决予以停工。</w:t>
      </w:r>
      <w:r>
        <w:rPr>
          <w:rFonts w:hint="eastAsia" w:ascii="仿宋_GB2312" w:hAnsi="仿宋_GB2312" w:eastAsia="仿宋_GB2312" w:cs="仿宋_GB2312"/>
          <w:sz w:val="32"/>
          <w:szCs w:val="32"/>
          <w:highlight w:val="none"/>
          <w:lang w:eastAsia="zh-CN"/>
        </w:rPr>
        <w:t>项目完工后，其产权单位须会同施工单位开展验收工作，应委托有资质的第三方机构对申请验收项目进行现场技术确认，确保符合有关国家、行业和地方标准，出具验收核查报告，并保留验收资料备查，同时将核查报告报发改局审核，审核通过后方可投入运营和使用。</w:t>
      </w:r>
      <w:r>
        <w:rPr>
          <w:rFonts w:hint="eastAsia" w:ascii="仿宋_GB2312" w:hAnsi="仿宋_GB2312" w:eastAsia="仿宋_GB2312" w:cs="仿宋_GB2312"/>
          <w:sz w:val="32"/>
          <w:szCs w:val="32"/>
          <w:highlight w:val="none"/>
          <w:lang w:val="en-US" w:eastAsia="zh-CN"/>
        </w:rPr>
        <w:t>验收及审核不合格的项目供电公司不予供电。</w:t>
      </w:r>
    </w:p>
    <w:p>
      <w:pPr>
        <w:keepNext w:val="0"/>
        <w:keepLines w:val="0"/>
        <w:pageBreakBefore w:val="0"/>
        <w:wordWrap/>
        <w:overflowPunct/>
        <w:topLinePunct w:val="0"/>
        <w:bidi w:val="0"/>
        <w:spacing w:line="550" w:lineRule="exact"/>
        <w:ind w:firstLine="640" w:firstLineChars="200"/>
        <w:rPr>
          <w:rFonts w:hint="eastAsia" w:ascii="仿宋_GB2312" w:hAnsi="仿宋_GB2312" w:eastAsia="仿宋_GB2312" w:cs="仿宋_GB2312"/>
          <w:sz w:val="32"/>
          <w:szCs w:val="32"/>
          <w:highlight w:val="none"/>
        </w:rPr>
      </w:pPr>
      <w:bookmarkStart w:id="9" w:name="OLE_LINK5"/>
      <w:bookmarkStart w:id="10" w:name="OLE_LINK6"/>
      <w:r>
        <w:rPr>
          <w:rFonts w:hint="eastAsia" w:ascii="楷体_GB2312" w:hAnsi="楷体_GB2312" w:eastAsia="楷体_GB2312" w:cs="楷体_GB2312"/>
          <w:kern w:val="2"/>
          <w:sz w:val="32"/>
          <w:szCs w:val="32"/>
          <w:highlight w:val="none"/>
          <w:lang w:val="en-US" w:eastAsia="zh-CN" w:bidi="ar-SA"/>
        </w:rPr>
        <w:t>（四）</w:t>
      </w:r>
      <w:bookmarkEnd w:id="9"/>
      <w:bookmarkEnd w:id="10"/>
      <w:r>
        <w:rPr>
          <w:rFonts w:hint="eastAsia" w:ascii="楷体_GB2312" w:hAnsi="楷体_GB2312" w:eastAsia="楷体_GB2312" w:cs="楷体_GB2312"/>
          <w:kern w:val="2"/>
          <w:sz w:val="32"/>
          <w:szCs w:val="32"/>
          <w:highlight w:val="none"/>
          <w:lang w:val="en-US" w:eastAsia="zh-CN" w:bidi="ar-SA"/>
        </w:rPr>
        <w:t>商用充电基础设施运营管理。</w:t>
      </w:r>
      <w:r>
        <w:rPr>
          <w:rFonts w:hint="eastAsia" w:ascii="仿宋_GB2312" w:hAnsi="仿宋_GB2312" w:eastAsia="仿宋_GB2312" w:cs="仿宋_GB2312"/>
          <w:sz w:val="32"/>
          <w:szCs w:val="32"/>
          <w:highlight w:val="none"/>
          <w:lang w:eastAsia="zh-CN"/>
        </w:rPr>
        <w:t>充电</w:t>
      </w:r>
      <w:r>
        <w:rPr>
          <w:rFonts w:hint="eastAsia" w:ascii="仿宋_GB2312" w:hAnsi="仿宋_GB2312" w:eastAsia="仿宋_GB2312" w:cs="仿宋_GB2312"/>
          <w:sz w:val="32"/>
          <w:szCs w:val="32"/>
          <w:highlight w:val="none"/>
          <w:lang w:val="en-US" w:eastAsia="zh-CN"/>
        </w:rPr>
        <w:t>基础</w:t>
      </w:r>
      <w:r>
        <w:rPr>
          <w:rFonts w:hint="eastAsia" w:ascii="仿宋_GB2312" w:hAnsi="仿宋_GB2312" w:eastAsia="仿宋_GB2312" w:cs="仿宋_GB2312"/>
          <w:sz w:val="32"/>
          <w:szCs w:val="32"/>
          <w:highlight w:val="none"/>
          <w:lang w:eastAsia="zh-CN"/>
        </w:rPr>
        <w:t>设施安全管理坚持“安全第一、预防为主、综合治理”的原则，各有关部门和各乡镇须落实安全生产主体责任和行业监管责任，做好安全监管。在本办法制定</w:t>
      </w:r>
      <w:r>
        <w:rPr>
          <w:rFonts w:hint="eastAsia" w:ascii="仿宋_GB2312" w:hAnsi="仿宋_GB2312" w:eastAsia="仿宋_GB2312" w:cs="仿宋_GB2312"/>
          <w:sz w:val="32"/>
          <w:szCs w:val="32"/>
          <w:highlight w:val="none"/>
          <w:lang w:val="en-US" w:eastAsia="zh-CN"/>
        </w:rPr>
        <w:t>出台</w:t>
      </w:r>
      <w:r>
        <w:rPr>
          <w:rFonts w:hint="eastAsia" w:ascii="仿宋_GB2312" w:hAnsi="仿宋_GB2312" w:eastAsia="仿宋_GB2312" w:cs="仿宋_GB2312"/>
          <w:sz w:val="32"/>
          <w:szCs w:val="32"/>
          <w:highlight w:val="none"/>
          <w:lang w:eastAsia="zh-CN"/>
        </w:rPr>
        <w:t>前</w:t>
      </w:r>
      <w:r>
        <w:rPr>
          <w:rFonts w:hint="eastAsia" w:ascii="仿宋_GB2312" w:hAnsi="仿宋_GB2312" w:eastAsia="仿宋_GB2312" w:cs="仿宋_GB2312"/>
          <w:sz w:val="32"/>
          <w:szCs w:val="32"/>
          <w:highlight w:val="none"/>
        </w:rPr>
        <w:t>已建设投入运营的充电站，由各部门和属地乡镇依据职责和分工进行排查，对手续不全、用地不符合要求、设备不达标、建设不规范、安全生产有隐患、环保治理不达标等项目，限期整改，严重违法违规无法整改的予以取缔。</w:t>
      </w:r>
    </w:p>
    <w:p>
      <w:pPr>
        <w:keepNext w:val="0"/>
        <w:keepLines w:val="0"/>
        <w:pageBreakBefore w:val="0"/>
        <w:wordWrap/>
        <w:overflowPunct/>
        <w:topLinePunct w:val="0"/>
        <w:bidi w:val="0"/>
        <w:spacing w:line="550" w:lineRule="exact"/>
        <w:ind w:firstLine="640" w:firstLineChars="200"/>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本办法自印发之日起实行，有效期</w:t>
      </w:r>
      <w:r>
        <w:rPr>
          <w:rFonts w:hint="eastAsia" w:ascii="仿宋_GB2312" w:hAnsi="仿宋_GB2312" w:eastAsia="仿宋_GB2312" w:cs="仿宋_GB2312"/>
          <w:sz w:val="32"/>
          <w:szCs w:val="32"/>
          <w:highlight w:val="none"/>
          <w:lang w:val="en-US" w:eastAsia="zh-CN"/>
        </w:rPr>
        <w:t>X年。</w:t>
      </w:r>
    </w:p>
    <w:p>
      <w:pPr>
        <w:keepNext w:val="0"/>
        <w:keepLines w:val="0"/>
        <w:pageBreakBefore w:val="0"/>
        <w:wordWrap/>
        <w:overflowPunct/>
        <w:topLinePunct w:val="0"/>
        <w:bidi w:val="0"/>
        <w:spacing w:line="550" w:lineRule="exact"/>
        <w:ind w:firstLine="640" w:firstLineChars="200"/>
        <w:rPr>
          <w:rFonts w:hint="eastAsia" w:ascii="仿宋_GB2312" w:hAnsi="仿宋_GB2312" w:eastAsia="仿宋_GB2312" w:cs="仿宋_GB2312"/>
          <w:sz w:val="32"/>
          <w:szCs w:val="32"/>
          <w:highlight w:val="none"/>
        </w:rPr>
      </w:pPr>
    </w:p>
    <w:p>
      <w:pPr>
        <w:keepNext w:val="0"/>
        <w:keepLines w:val="0"/>
        <w:pageBreakBefore w:val="0"/>
        <w:wordWrap/>
        <w:overflowPunct/>
        <w:topLinePunct w:val="0"/>
        <w:bidi w:val="0"/>
        <w:spacing w:line="57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附件：充电基础设施建设</w:t>
      </w:r>
      <w:r>
        <w:rPr>
          <w:rFonts w:hint="eastAsia" w:ascii="仿宋_GB2312" w:hAnsi="仿宋_GB2312" w:eastAsia="仿宋_GB2312" w:cs="仿宋_GB2312"/>
          <w:sz w:val="32"/>
          <w:szCs w:val="32"/>
          <w:highlight w:val="none"/>
          <w:lang w:eastAsia="zh-CN"/>
        </w:rPr>
        <w:t>管理</w:t>
      </w:r>
      <w:r>
        <w:rPr>
          <w:rFonts w:hint="eastAsia" w:ascii="仿宋_GB2312" w:hAnsi="仿宋_GB2312" w:eastAsia="仿宋_GB2312" w:cs="仿宋_GB2312"/>
          <w:sz w:val="32"/>
          <w:szCs w:val="32"/>
          <w:highlight w:val="none"/>
        </w:rPr>
        <w:t>部门职责分工</w:t>
      </w:r>
    </w:p>
    <w:p>
      <w:pPr>
        <w:keepNext w:val="0"/>
        <w:keepLines w:val="0"/>
        <w:pageBreakBefore w:val="0"/>
        <w:wordWrap/>
        <w:overflowPunct/>
        <w:topLinePunct w:val="0"/>
        <w:bidi w:val="0"/>
        <w:spacing w:line="570" w:lineRule="exact"/>
        <w:rPr>
          <w:rFonts w:hint="eastAsia" w:ascii="仿宋_GB2312" w:hAnsi="仿宋_GB2312" w:eastAsia="仿宋_GB2312" w:cs="仿宋_GB2312"/>
          <w:sz w:val="32"/>
          <w:szCs w:val="32"/>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hint="eastAsia" w:ascii="方正小标宋简体" w:hAnsi="方正小标宋简体" w:eastAsia="方正小标宋简体" w:cs="方正小标宋简体"/>
          <w:sz w:val="44"/>
          <w:szCs w:val="44"/>
          <w:highlight w:val="none"/>
        </w:rPr>
      </w:pPr>
    </w:p>
    <w:p>
      <w:pPr>
        <w:keepNext w:val="0"/>
        <w:keepLines w:val="0"/>
        <w:pageBreakBefore w:val="0"/>
        <w:wordWrap/>
        <w:overflowPunct/>
        <w:topLinePunct w:val="0"/>
        <w:bidi w:val="0"/>
        <w:spacing w:line="570" w:lineRule="exact"/>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充电基础设施建设</w:t>
      </w:r>
      <w:r>
        <w:rPr>
          <w:rFonts w:hint="eastAsia" w:ascii="方正小标宋简体" w:hAnsi="方正小标宋简体" w:eastAsia="方正小标宋简体" w:cs="方正小标宋简体"/>
          <w:sz w:val="44"/>
          <w:szCs w:val="44"/>
          <w:highlight w:val="none"/>
          <w:lang w:eastAsia="zh-CN"/>
        </w:rPr>
        <w:t>管理</w:t>
      </w:r>
      <w:r>
        <w:rPr>
          <w:rFonts w:hint="eastAsia" w:ascii="方正小标宋简体" w:hAnsi="方正小标宋简体" w:eastAsia="方正小标宋简体" w:cs="方正小标宋简体"/>
          <w:sz w:val="44"/>
          <w:szCs w:val="44"/>
          <w:highlight w:val="none"/>
        </w:rPr>
        <w:t>部门职责分工</w:t>
      </w:r>
    </w:p>
    <w:p>
      <w:pPr>
        <w:keepNext w:val="0"/>
        <w:keepLines w:val="0"/>
        <w:pageBreakBefore w:val="0"/>
        <w:wordWrap/>
        <w:overflowPunct/>
        <w:topLinePunct w:val="0"/>
        <w:bidi w:val="0"/>
        <w:spacing w:line="570" w:lineRule="exact"/>
        <w:ind w:firstLine="642" w:firstLineChars="200"/>
        <w:rPr>
          <w:rFonts w:hint="eastAsia" w:ascii="楷体_GB2312" w:hAnsi="楷体_GB2312" w:eastAsia="楷体_GB2312" w:cs="楷体_GB2312"/>
          <w:b/>
          <w:bCs/>
          <w:sz w:val="32"/>
          <w:szCs w:val="32"/>
          <w:highlight w:val="none"/>
        </w:rPr>
      </w:pPr>
    </w:p>
    <w:p>
      <w:pPr>
        <w:keepNext w:val="0"/>
        <w:keepLines w:val="0"/>
        <w:pageBreakBefore w:val="0"/>
        <w:wordWrap/>
        <w:overflowPunct/>
        <w:topLinePunct w:val="0"/>
        <w:bidi w:val="0"/>
        <w:spacing w:line="570" w:lineRule="exact"/>
        <w:ind w:firstLine="642" w:firstLineChars="200"/>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
          <w:bCs/>
          <w:sz w:val="32"/>
          <w:szCs w:val="32"/>
          <w:highlight w:val="none"/>
          <w:lang w:val="en-US" w:eastAsia="zh-CN"/>
        </w:rPr>
        <w:t>1.</w:t>
      </w:r>
      <w:r>
        <w:rPr>
          <w:rFonts w:hint="eastAsia" w:ascii="楷体_GB2312" w:hAnsi="楷体_GB2312" w:eastAsia="楷体_GB2312" w:cs="楷体_GB2312"/>
          <w:b/>
          <w:bCs/>
          <w:sz w:val="32"/>
          <w:szCs w:val="32"/>
          <w:highlight w:val="none"/>
        </w:rPr>
        <w:t>发改部门：</w:t>
      </w:r>
      <w:r>
        <w:rPr>
          <w:rFonts w:hint="eastAsia" w:ascii="仿宋_GB2312" w:hAnsi="仿宋_GB2312" w:eastAsia="仿宋_GB2312" w:cs="仿宋_GB2312"/>
          <w:sz w:val="32"/>
          <w:szCs w:val="32"/>
          <w:highlight w:val="none"/>
        </w:rPr>
        <w:t>负责牵头协调推进充电基础设施工作</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对商业运营项目企业资质、用地、电网接入等项目建设条件进行审查。指导充电基础设施项目建设，监管公用充电基础设施经营主体。对充电基础设施</w:t>
      </w:r>
      <w:r>
        <w:rPr>
          <w:rFonts w:hint="eastAsia" w:ascii="仿宋_GB2312" w:hAnsi="仿宋_GB2312" w:eastAsia="仿宋_GB2312" w:cs="仿宋_GB2312"/>
          <w:sz w:val="32"/>
          <w:szCs w:val="32"/>
          <w:highlight w:val="none"/>
          <w:lang w:eastAsia="zh-CN"/>
        </w:rPr>
        <w:t>经营、使用的</w:t>
      </w:r>
      <w:r>
        <w:rPr>
          <w:rFonts w:hint="eastAsia" w:ascii="仿宋_GB2312" w:hAnsi="仿宋_GB2312" w:eastAsia="仿宋_GB2312" w:cs="仿宋_GB2312"/>
          <w:sz w:val="32"/>
          <w:szCs w:val="32"/>
          <w:highlight w:val="none"/>
        </w:rPr>
        <w:t>安全</w:t>
      </w:r>
      <w:r>
        <w:rPr>
          <w:rFonts w:hint="eastAsia" w:ascii="仿宋_GB2312" w:hAnsi="仿宋_GB2312" w:eastAsia="仿宋_GB2312" w:cs="仿宋_GB2312"/>
          <w:sz w:val="32"/>
          <w:szCs w:val="32"/>
          <w:highlight w:val="none"/>
          <w:lang w:eastAsia="zh-CN"/>
        </w:rPr>
        <w:t>状况</w:t>
      </w:r>
      <w:r>
        <w:rPr>
          <w:rFonts w:hint="eastAsia" w:ascii="仿宋_GB2312" w:hAnsi="仿宋_GB2312" w:eastAsia="仿宋_GB2312" w:cs="仿宋_GB2312"/>
          <w:sz w:val="32"/>
          <w:szCs w:val="32"/>
          <w:highlight w:val="none"/>
        </w:rPr>
        <w:t>进行</w:t>
      </w:r>
      <w:r>
        <w:rPr>
          <w:rFonts w:hint="eastAsia" w:ascii="仿宋_GB2312" w:hAnsi="仿宋_GB2312" w:eastAsia="仿宋_GB2312" w:cs="仿宋_GB2312"/>
          <w:sz w:val="32"/>
          <w:szCs w:val="32"/>
          <w:highlight w:val="none"/>
          <w:lang w:eastAsia="zh-CN"/>
        </w:rPr>
        <w:t>监督检查，不定期组织第三方专业技术机构对全县充电设施进行安全抽查，对发现的安全隐患问题督促责任主体限期整改。</w:t>
      </w:r>
    </w:p>
    <w:p>
      <w:pPr>
        <w:keepNext w:val="0"/>
        <w:keepLines w:val="0"/>
        <w:pageBreakBefore w:val="0"/>
        <w:wordWrap/>
        <w:overflowPunct/>
        <w:topLinePunct w:val="0"/>
        <w:bidi w:val="0"/>
        <w:spacing w:line="570" w:lineRule="exact"/>
        <w:ind w:firstLine="642" w:firstLineChars="200"/>
        <w:rPr>
          <w:rFonts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2.</w:t>
      </w:r>
      <w:r>
        <w:rPr>
          <w:rFonts w:hint="eastAsia" w:ascii="楷体_GB2312" w:hAnsi="楷体_GB2312" w:eastAsia="楷体_GB2312" w:cs="楷体_GB2312"/>
          <w:b/>
          <w:bCs/>
          <w:sz w:val="32"/>
          <w:szCs w:val="32"/>
          <w:highlight w:val="none"/>
        </w:rPr>
        <w:t>自</w:t>
      </w:r>
      <w:r>
        <w:rPr>
          <w:rFonts w:hint="eastAsia" w:ascii="楷体_GB2312" w:hAnsi="楷体_GB2312" w:eastAsia="楷体_GB2312" w:cs="楷体_GB2312"/>
          <w:b/>
          <w:bCs/>
          <w:sz w:val="32"/>
          <w:szCs w:val="32"/>
          <w:highlight w:val="none"/>
          <w:lang w:eastAsia="zh-CN"/>
        </w:rPr>
        <w:t>规</w:t>
      </w:r>
      <w:r>
        <w:rPr>
          <w:rFonts w:hint="eastAsia" w:ascii="楷体_GB2312" w:hAnsi="楷体_GB2312" w:eastAsia="楷体_GB2312" w:cs="楷体_GB2312"/>
          <w:b/>
          <w:bCs/>
          <w:sz w:val="32"/>
          <w:szCs w:val="32"/>
          <w:highlight w:val="none"/>
        </w:rPr>
        <w:t>部门：</w:t>
      </w:r>
      <w:r>
        <w:rPr>
          <w:rFonts w:hint="eastAsia" w:ascii="仿宋_GB2312" w:hAnsi="仿宋_GB2312" w:eastAsia="仿宋_GB2312" w:cs="仿宋_GB2312"/>
          <w:sz w:val="32"/>
          <w:szCs w:val="32"/>
          <w:highlight w:val="none"/>
          <w:lang w:eastAsia="zh-CN"/>
        </w:rPr>
        <w:t>负责编制《赞皇县充电基础设施专项规划》，统筹规划全县充电基础设施规划布局。</w:t>
      </w:r>
      <w:r>
        <w:rPr>
          <w:rFonts w:hint="eastAsia" w:ascii="仿宋_GB2312" w:hAnsi="仿宋_GB2312" w:eastAsia="仿宋_GB2312" w:cs="仿宋_GB2312"/>
          <w:sz w:val="32"/>
          <w:szCs w:val="32"/>
          <w:highlight w:val="none"/>
        </w:rPr>
        <w:t>负责依法办理新建独立占地集中式充电站建设用地规划许可证、建设工程规划许可证等</w:t>
      </w:r>
      <w:r>
        <w:rPr>
          <w:rFonts w:hint="eastAsia" w:ascii="仿宋_GB2312" w:hAnsi="仿宋_GB2312" w:eastAsia="仿宋_GB2312" w:cs="仿宋_GB2312"/>
          <w:sz w:val="32"/>
          <w:szCs w:val="32"/>
          <w:highlight w:val="none"/>
          <w:lang w:eastAsia="zh-CN"/>
        </w:rPr>
        <w:t>建设</w:t>
      </w:r>
      <w:r>
        <w:rPr>
          <w:rFonts w:hint="eastAsia" w:ascii="仿宋_GB2312" w:hAnsi="仿宋_GB2312" w:eastAsia="仿宋_GB2312" w:cs="仿宋_GB2312"/>
          <w:sz w:val="32"/>
          <w:szCs w:val="32"/>
          <w:highlight w:val="none"/>
        </w:rPr>
        <w:t>手续。负责充电基础设施配建比例和预留要求的规划管理，依法落实相关配套用地规划和空间预留。</w:t>
      </w:r>
    </w:p>
    <w:p>
      <w:pPr>
        <w:keepNext w:val="0"/>
        <w:keepLines w:val="0"/>
        <w:pageBreakBefore w:val="0"/>
        <w:wordWrap/>
        <w:overflowPunct/>
        <w:topLinePunct w:val="0"/>
        <w:bidi w:val="0"/>
        <w:spacing w:line="570" w:lineRule="exact"/>
        <w:ind w:firstLine="642" w:firstLineChars="200"/>
        <w:rPr>
          <w:rFonts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3.</w:t>
      </w:r>
      <w:r>
        <w:rPr>
          <w:rFonts w:hint="eastAsia" w:ascii="楷体_GB2312" w:hAnsi="楷体_GB2312" w:eastAsia="楷体_GB2312" w:cs="楷体_GB2312"/>
          <w:b/>
          <w:bCs/>
          <w:sz w:val="32"/>
          <w:szCs w:val="32"/>
          <w:highlight w:val="none"/>
        </w:rPr>
        <w:t>数政部门：</w:t>
      </w:r>
      <w:r>
        <w:rPr>
          <w:rFonts w:hint="eastAsia" w:ascii="仿宋_GB2312" w:hAnsi="仿宋_GB2312" w:eastAsia="仿宋_GB2312" w:cs="仿宋_GB2312"/>
          <w:sz w:val="32"/>
          <w:szCs w:val="32"/>
          <w:highlight w:val="none"/>
        </w:rPr>
        <w:t>负责充电</w:t>
      </w:r>
      <w:r>
        <w:rPr>
          <w:rFonts w:hint="eastAsia" w:ascii="仿宋_GB2312" w:hAnsi="仿宋_GB2312" w:eastAsia="仿宋_GB2312" w:cs="仿宋_GB2312"/>
          <w:sz w:val="32"/>
          <w:szCs w:val="32"/>
          <w:highlight w:val="none"/>
          <w:lang w:eastAsia="zh-CN"/>
        </w:rPr>
        <w:t>基础</w:t>
      </w:r>
      <w:r>
        <w:rPr>
          <w:rFonts w:hint="eastAsia" w:ascii="仿宋_GB2312" w:hAnsi="仿宋_GB2312" w:eastAsia="仿宋_GB2312" w:cs="仿宋_GB2312"/>
          <w:sz w:val="32"/>
          <w:szCs w:val="32"/>
          <w:highlight w:val="none"/>
        </w:rPr>
        <w:t>设施项目备案，向各职能部门和乡镇推送备案信息，</w:t>
      </w:r>
      <w:r>
        <w:rPr>
          <w:rFonts w:hint="eastAsia" w:ascii="仿宋_GB2312" w:hAnsi="仿宋_GB2312" w:eastAsia="仿宋_GB2312" w:cs="仿宋_GB2312"/>
          <w:sz w:val="32"/>
          <w:szCs w:val="32"/>
          <w:highlight w:val="none"/>
          <w:lang w:eastAsia="zh-CN"/>
        </w:rPr>
        <w:t>依法</w:t>
      </w:r>
      <w:r>
        <w:rPr>
          <w:rFonts w:hint="eastAsia" w:ascii="仿宋_GB2312" w:hAnsi="仿宋_GB2312" w:eastAsia="仿宋_GB2312" w:cs="仿宋_GB2312"/>
          <w:sz w:val="32"/>
          <w:szCs w:val="32"/>
          <w:highlight w:val="none"/>
        </w:rPr>
        <w:t>办理施工许可手续。</w:t>
      </w:r>
    </w:p>
    <w:p>
      <w:pPr>
        <w:keepNext w:val="0"/>
        <w:keepLines w:val="0"/>
        <w:pageBreakBefore w:val="0"/>
        <w:wordWrap/>
        <w:overflowPunct/>
        <w:topLinePunct w:val="0"/>
        <w:bidi w:val="0"/>
        <w:spacing w:line="570" w:lineRule="exact"/>
        <w:ind w:firstLine="642" w:firstLineChars="200"/>
        <w:rPr>
          <w:rFonts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4.</w:t>
      </w:r>
      <w:r>
        <w:rPr>
          <w:rFonts w:hint="eastAsia" w:ascii="楷体_GB2312" w:hAnsi="楷体_GB2312" w:eastAsia="楷体_GB2312" w:cs="楷体_GB2312"/>
          <w:b/>
          <w:bCs/>
          <w:sz w:val="32"/>
          <w:szCs w:val="32"/>
          <w:highlight w:val="none"/>
        </w:rPr>
        <w:t>交通运输部门：</w:t>
      </w:r>
      <w:r>
        <w:rPr>
          <w:rFonts w:hint="eastAsia" w:ascii="仿宋_GB2312" w:hAnsi="仿宋_GB2312" w:eastAsia="仿宋_GB2312" w:cs="仿宋_GB2312"/>
          <w:sz w:val="32"/>
          <w:szCs w:val="32"/>
          <w:highlight w:val="none"/>
        </w:rPr>
        <w:t>负责督促交通场站的业主和经营单位做好本场所内权属充电设施的安全管理工作。</w:t>
      </w:r>
    </w:p>
    <w:p>
      <w:pPr>
        <w:keepNext w:val="0"/>
        <w:keepLines w:val="0"/>
        <w:pageBreakBefore w:val="0"/>
        <w:wordWrap/>
        <w:overflowPunct/>
        <w:topLinePunct w:val="0"/>
        <w:bidi w:val="0"/>
        <w:spacing w:line="570" w:lineRule="exact"/>
        <w:ind w:firstLine="642" w:firstLineChars="200"/>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
          <w:bCs/>
          <w:sz w:val="32"/>
          <w:szCs w:val="32"/>
          <w:highlight w:val="none"/>
          <w:lang w:val="en-US" w:eastAsia="zh-CN"/>
        </w:rPr>
        <w:t>5.</w:t>
      </w:r>
      <w:r>
        <w:rPr>
          <w:rFonts w:hint="eastAsia" w:ascii="楷体_GB2312" w:hAnsi="楷体_GB2312" w:eastAsia="楷体_GB2312" w:cs="楷体_GB2312"/>
          <w:b/>
          <w:bCs/>
          <w:sz w:val="32"/>
          <w:szCs w:val="32"/>
          <w:highlight w:val="none"/>
        </w:rPr>
        <w:t xml:space="preserve"> 住建部门：</w:t>
      </w:r>
      <w:r>
        <w:rPr>
          <w:rFonts w:hint="eastAsia" w:ascii="仿宋_GB2312" w:hAnsi="仿宋_GB2312" w:eastAsia="仿宋_GB2312" w:cs="仿宋_GB2312"/>
          <w:sz w:val="32"/>
          <w:szCs w:val="32"/>
          <w:highlight w:val="none"/>
        </w:rPr>
        <w:t>负责充电站及充电桩建设技术标准的监督管理，负责消防审批</w:t>
      </w:r>
      <w:r>
        <w:rPr>
          <w:rFonts w:hint="eastAsia" w:ascii="仿宋_GB2312" w:hAnsi="仿宋_GB2312" w:eastAsia="仿宋_GB2312" w:cs="仿宋_GB2312"/>
          <w:sz w:val="32"/>
          <w:szCs w:val="32"/>
          <w:highlight w:val="none"/>
          <w:lang w:val="en-US" w:eastAsia="zh-CN"/>
        </w:rPr>
        <w:t>管理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负责</w:t>
      </w:r>
      <w:r>
        <w:rPr>
          <w:rFonts w:hint="eastAsia" w:ascii="仿宋_GB2312" w:hAnsi="仿宋_GB2312" w:eastAsia="仿宋_GB2312" w:cs="仿宋_GB2312"/>
          <w:sz w:val="32"/>
          <w:szCs w:val="32"/>
          <w:highlight w:val="none"/>
        </w:rPr>
        <w:t>充电基础设施</w:t>
      </w:r>
      <w:r>
        <w:rPr>
          <w:rFonts w:hint="eastAsia" w:ascii="仿宋_GB2312" w:hAnsi="仿宋_GB2312" w:eastAsia="仿宋_GB2312" w:cs="仿宋_GB2312"/>
          <w:sz w:val="32"/>
          <w:szCs w:val="32"/>
          <w:highlight w:val="none"/>
          <w:lang w:val="en-US" w:eastAsia="zh-CN"/>
        </w:rPr>
        <w:t>建设管理</w:t>
      </w:r>
      <w:r>
        <w:rPr>
          <w:rFonts w:hint="eastAsia" w:ascii="仿宋_GB2312" w:hAnsi="仿宋_GB2312" w:eastAsia="仿宋_GB2312" w:cs="仿宋_GB2312"/>
          <w:sz w:val="32"/>
          <w:szCs w:val="32"/>
          <w:highlight w:val="none"/>
          <w:lang w:eastAsia="zh-CN"/>
        </w:rPr>
        <w:t>。</w:t>
      </w:r>
    </w:p>
    <w:p>
      <w:pPr>
        <w:keepNext w:val="0"/>
        <w:keepLines w:val="0"/>
        <w:pageBreakBefore w:val="0"/>
        <w:wordWrap/>
        <w:overflowPunct/>
        <w:topLinePunct w:val="0"/>
        <w:bidi w:val="0"/>
        <w:spacing w:line="570" w:lineRule="exact"/>
        <w:ind w:firstLine="642" w:firstLineChars="200"/>
        <w:rPr>
          <w:rFonts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6.</w:t>
      </w:r>
      <w:r>
        <w:rPr>
          <w:rFonts w:hint="eastAsia" w:ascii="楷体_GB2312" w:hAnsi="楷体_GB2312" w:eastAsia="楷体_GB2312" w:cs="楷体_GB2312"/>
          <w:b/>
          <w:bCs/>
          <w:sz w:val="32"/>
          <w:szCs w:val="32"/>
          <w:highlight w:val="none"/>
        </w:rPr>
        <w:t>应急管理部门：</w:t>
      </w:r>
      <w:r>
        <w:rPr>
          <w:rFonts w:ascii="仿宋_GB2312" w:hAnsi="仿宋_GB2312" w:eastAsia="仿宋_GB2312" w:cs="仿宋_GB2312"/>
          <w:b/>
          <w:bCs/>
          <w:sz w:val="32"/>
          <w:szCs w:val="32"/>
          <w:highlight w:val="none"/>
        </w:rPr>
        <w:t>‌</w:t>
      </w:r>
      <w:r>
        <w:rPr>
          <w:rFonts w:ascii="仿宋_GB2312" w:hAnsi="仿宋_GB2312" w:eastAsia="仿宋_GB2312" w:cs="仿宋_GB2312"/>
          <w:sz w:val="32"/>
          <w:szCs w:val="32"/>
          <w:highlight w:val="none"/>
        </w:rPr>
        <w:t>负责充电基础设施安全生产综合监督工作</w:t>
      </w:r>
      <w:r>
        <w:rPr>
          <w:rFonts w:hint="eastAsia" w:ascii="仿宋_GB2312" w:hAnsi="仿宋_GB2312" w:eastAsia="仿宋_GB2312" w:cs="仿宋_GB2312"/>
          <w:sz w:val="32"/>
          <w:szCs w:val="32"/>
          <w:highlight w:val="none"/>
        </w:rPr>
        <w:t>,指导充电设施产权、运营及施工单位开展涉安全生产类、自然灾害类突发事件应急救援，并依法牵头组织较大生产安全事故的调查。</w:t>
      </w:r>
    </w:p>
    <w:p>
      <w:pPr>
        <w:keepNext w:val="0"/>
        <w:keepLines w:val="0"/>
        <w:pageBreakBefore w:val="0"/>
        <w:wordWrap/>
        <w:overflowPunct/>
        <w:topLinePunct w:val="0"/>
        <w:bidi w:val="0"/>
        <w:spacing w:line="570" w:lineRule="exact"/>
        <w:rPr>
          <w:rFonts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 xml:space="preserve">  </w:t>
      </w:r>
      <w:r>
        <w:rPr>
          <w:rFonts w:hint="eastAsia" w:ascii="楷体_GB2312" w:hAnsi="楷体_GB2312" w:eastAsia="楷体_GB2312" w:cs="楷体_GB2312"/>
          <w:b/>
          <w:bCs/>
          <w:sz w:val="32"/>
          <w:szCs w:val="32"/>
          <w:highlight w:val="none"/>
        </w:rPr>
        <w:t xml:space="preserve"> </w:t>
      </w:r>
      <w:r>
        <w:rPr>
          <w:rFonts w:hint="eastAsia" w:ascii="楷体_GB2312" w:hAnsi="楷体_GB2312" w:eastAsia="楷体_GB2312" w:cs="楷体_GB2312"/>
          <w:b/>
          <w:bCs/>
          <w:sz w:val="32"/>
          <w:szCs w:val="32"/>
          <w:highlight w:val="none"/>
          <w:lang w:val="en-US" w:eastAsia="zh-CN"/>
        </w:rPr>
        <w:t xml:space="preserve"> 7.</w:t>
      </w:r>
      <w:r>
        <w:rPr>
          <w:rFonts w:hint="eastAsia" w:ascii="楷体_GB2312" w:hAnsi="楷体_GB2312" w:eastAsia="楷体_GB2312" w:cs="楷体_GB2312"/>
          <w:b/>
          <w:bCs/>
          <w:sz w:val="32"/>
          <w:szCs w:val="32"/>
          <w:highlight w:val="none"/>
        </w:rPr>
        <w:t>财政部门：</w:t>
      </w:r>
      <w:r>
        <w:rPr>
          <w:rFonts w:hint="eastAsia" w:ascii="仿宋_GB2312" w:hAnsi="仿宋_GB2312" w:eastAsia="仿宋_GB2312" w:cs="仿宋_GB2312"/>
          <w:sz w:val="32"/>
          <w:szCs w:val="32"/>
          <w:highlight w:val="none"/>
        </w:rPr>
        <w:t>负责安排必要的资金</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支持</w:t>
      </w:r>
      <w:r>
        <w:rPr>
          <w:rFonts w:hint="eastAsia" w:ascii="仿宋_GB2312" w:hAnsi="仿宋_GB2312" w:eastAsia="仿宋_GB2312" w:cs="仿宋_GB2312"/>
          <w:sz w:val="32"/>
          <w:szCs w:val="32"/>
          <w:highlight w:val="none"/>
          <w:lang w:val="en-US" w:eastAsia="zh-CN"/>
        </w:rPr>
        <w:t>政府投资</w:t>
      </w:r>
      <w:r>
        <w:rPr>
          <w:rFonts w:hint="eastAsia" w:ascii="仿宋_GB2312" w:hAnsi="仿宋_GB2312" w:eastAsia="仿宋_GB2312" w:cs="仿宋_GB2312"/>
          <w:sz w:val="32"/>
          <w:szCs w:val="32"/>
          <w:highlight w:val="none"/>
        </w:rPr>
        <w:t>充电</w:t>
      </w:r>
      <w:r>
        <w:rPr>
          <w:rFonts w:hint="eastAsia" w:ascii="仿宋_GB2312" w:hAnsi="仿宋_GB2312" w:eastAsia="仿宋_GB2312" w:cs="仿宋_GB2312"/>
          <w:sz w:val="32"/>
          <w:szCs w:val="32"/>
          <w:highlight w:val="none"/>
          <w:lang w:val="en-US" w:eastAsia="zh-CN"/>
        </w:rPr>
        <w:t>基础</w:t>
      </w:r>
      <w:r>
        <w:rPr>
          <w:rFonts w:hint="eastAsia" w:ascii="仿宋_GB2312" w:hAnsi="仿宋_GB2312" w:eastAsia="仿宋_GB2312" w:cs="仿宋_GB2312"/>
          <w:sz w:val="32"/>
          <w:szCs w:val="32"/>
          <w:highlight w:val="none"/>
        </w:rPr>
        <w:t>设施的建设、运营和管理，负责政府投资充电基础设施</w:t>
      </w:r>
      <w:r>
        <w:rPr>
          <w:rFonts w:hint="eastAsia" w:ascii="仿宋_GB2312" w:hAnsi="仿宋_GB2312" w:eastAsia="仿宋_GB2312" w:cs="仿宋_GB2312"/>
          <w:sz w:val="32"/>
          <w:szCs w:val="32"/>
          <w:highlight w:val="none"/>
          <w:lang w:val="en-US" w:eastAsia="zh-CN"/>
        </w:rPr>
        <w:t>经营权转让</w:t>
      </w:r>
      <w:r>
        <w:rPr>
          <w:rFonts w:hint="eastAsia" w:ascii="仿宋_GB2312" w:hAnsi="仿宋_GB2312" w:eastAsia="仿宋_GB2312" w:cs="仿宋_GB2312"/>
          <w:sz w:val="32"/>
          <w:szCs w:val="32"/>
          <w:highlight w:val="none"/>
        </w:rPr>
        <w:t>管理。</w:t>
      </w:r>
    </w:p>
    <w:p>
      <w:pPr>
        <w:keepNext w:val="0"/>
        <w:keepLines w:val="0"/>
        <w:pageBreakBefore w:val="0"/>
        <w:wordWrap/>
        <w:overflowPunct/>
        <w:topLinePunct w:val="0"/>
        <w:bidi w:val="0"/>
        <w:spacing w:line="570" w:lineRule="exact"/>
        <w:ind w:firstLine="570"/>
        <w:rPr>
          <w:rFonts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8.</w:t>
      </w:r>
      <w:r>
        <w:rPr>
          <w:rFonts w:hint="eastAsia" w:ascii="楷体_GB2312" w:hAnsi="楷体_GB2312" w:eastAsia="楷体_GB2312" w:cs="楷体_GB2312"/>
          <w:b/>
          <w:bCs/>
          <w:sz w:val="32"/>
          <w:szCs w:val="32"/>
          <w:highlight w:val="none"/>
        </w:rPr>
        <w:t>市场监管部门：</w:t>
      </w:r>
      <w:r>
        <w:rPr>
          <w:rFonts w:hint="eastAsia" w:ascii="仿宋_GB2312" w:hAnsi="仿宋_GB2312" w:eastAsia="仿宋_GB2312" w:cs="仿宋_GB2312"/>
          <w:sz w:val="32"/>
          <w:szCs w:val="32"/>
          <w:highlight w:val="none"/>
        </w:rPr>
        <w:t>负责纳入强制计量</w:t>
      </w:r>
      <w:r>
        <w:rPr>
          <w:rFonts w:hint="eastAsia" w:ascii="仿宋_GB2312" w:hAnsi="仿宋_GB2312" w:eastAsia="仿宋_GB2312" w:cs="仿宋_GB2312"/>
          <w:sz w:val="32"/>
          <w:szCs w:val="32"/>
          <w:highlight w:val="none"/>
          <w:lang w:eastAsia="zh-CN"/>
        </w:rPr>
        <w:t>检定</w:t>
      </w:r>
      <w:r>
        <w:rPr>
          <w:rFonts w:hint="eastAsia" w:ascii="仿宋_GB2312" w:hAnsi="仿宋_GB2312" w:eastAsia="仿宋_GB2312" w:cs="仿宋_GB2312"/>
          <w:sz w:val="32"/>
          <w:szCs w:val="32"/>
          <w:highlight w:val="none"/>
        </w:rPr>
        <w:t>的计量器具监督管理，对充电设施企业违反价格法、不正当竞争行为等依法监督查处。负责对充电设施的安全性能进行监管，保障充电安全</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对充电基础设施运营企业的经营情况进行监管。</w:t>
      </w:r>
    </w:p>
    <w:p>
      <w:pPr>
        <w:keepNext w:val="0"/>
        <w:keepLines w:val="0"/>
        <w:pageBreakBefore w:val="0"/>
        <w:wordWrap/>
        <w:overflowPunct/>
        <w:topLinePunct w:val="0"/>
        <w:bidi w:val="0"/>
        <w:spacing w:line="570" w:lineRule="exact"/>
        <w:ind w:firstLine="570"/>
        <w:rPr>
          <w:rFonts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9.</w:t>
      </w:r>
      <w:r>
        <w:rPr>
          <w:rFonts w:hint="eastAsia" w:ascii="楷体_GB2312" w:hAnsi="楷体_GB2312" w:eastAsia="楷体_GB2312" w:cs="楷体_GB2312"/>
          <w:b/>
          <w:bCs/>
          <w:sz w:val="32"/>
          <w:szCs w:val="32"/>
          <w:highlight w:val="none"/>
        </w:rPr>
        <w:t>文旅部门：</w:t>
      </w:r>
      <w:r>
        <w:rPr>
          <w:rFonts w:hint="eastAsia" w:ascii="仿宋_GB2312" w:hAnsi="仿宋_GB2312" w:eastAsia="仿宋_GB2312" w:cs="仿宋_GB2312"/>
          <w:sz w:val="32"/>
          <w:szCs w:val="32"/>
          <w:highlight w:val="none"/>
        </w:rPr>
        <w:t>负责督促推动文化旅游场所经营单位做好本场所内充电基础设施的安全管理工作。</w:t>
      </w:r>
    </w:p>
    <w:p>
      <w:pPr>
        <w:keepNext w:val="0"/>
        <w:keepLines w:val="0"/>
        <w:pageBreakBefore w:val="0"/>
        <w:wordWrap/>
        <w:overflowPunct/>
        <w:topLinePunct w:val="0"/>
        <w:bidi w:val="0"/>
        <w:spacing w:line="570" w:lineRule="exact"/>
        <w:ind w:firstLine="642" w:firstLineChars="200"/>
        <w:rPr>
          <w:rFonts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10.</w:t>
      </w:r>
      <w:r>
        <w:rPr>
          <w:rFonts w:hint="eastAsia" w:ascii="楷体_GB2312" w:hAnsi="楷体_GB2312" w:eastAsia="楷体_GB2312" w:cs="楷体_GB2312"/>
          <w:b/>
          <w:bCs/>
          <w:sz w:val="32"/>
          <w:szCs w:val="32"/>
          <w:highlight w:val="none"/>
        </w:rPr>
        <w:t>消防</w:t>
      </w:r>
      <w:r>
        <w:rPr>
          <w:rFonts w:hint="eastAsia" w:ascii="楷体_GB2312" w:hAnsi="楷体_GB2312" w:eastAsia="楷体_GB2312" w:cs="楷体_GB2312"/>
          <w:b/>
          <w:bCs/>
          <w:sz w:val="32"/>
          <w:szCs w:val="32"/>
          <w:highlight w:val="none"/>
          <w:lang w:eastAsia="zh-CN"/>
        </w:rPr>
        <w:t>部门</w:t>
      </w:r>
      <w:r>
        <w:rPr>
          <w:rFonts w:hint="eastAsia" w:ascii="楷体_GB2312" w:hAnsi="楷体_GB2312" w:eastAsia="楷体_GB2312" w:cs="楷体_GB2312"/>
          <w:b/>
          <w:bCs/>
          <w:sz w:val="32"/>
          <w:szCs w:val="32"/>
          <w:highlight w:val="none"/>
        </w:rPr>
        <w:t>：</w:t>
      </w:r>
      <w:r>
        <w:rPr>
          <w:rFonts w:hint="eastAsia" w:ascii="仿宋_GB2312" w:hAnsi="仿宋_GB2312" w:eastAsia="仿宋_GB2312" w:cs="仿宋_GB2312"/>
          <w:sz w:val="32"/>
          <w:szCs w:val="32"/>
          <w:highlight w:val="none"/>
        </w:rPr>
        <w:t>依据职责负责充电设施消防等日常监督管理。结合“双随机”抽查，依法对电动汽车充电设施企业（单位）遵守消防法律法规情况实施监管，确保充电基础设施建设和运营过程中的消防安全，防止电气火灾等安全事故的发生。</w:t>
      </w:r>
    </w:p>
    <w:p>
      <w:pPr>
        <w:keepNext w:val="0"/>
        <w:keepLines w:val="0"/>
        <w:pageBreakBefore w:val="0"/>
        <w:wordWrap/>
        <w:overflowPunct/>
        <w:topLinePunct w:val="0"/>
        <w:bidi w:val="0"/>
        <w:spacing w:line="570" w:lineRule="exact"/>
        <w:ind w:firstLine="642" w:firstLineChars="200"/>
        <w:rPr>
          <w:rFonts w:ascii="仿宋_GB2312" w:hAnsi="仿宋_GB2312" w:eastAsia="仿宋_GB2312" w:cs="仿宋_GB2312"/>
          <w:b/>
          <w:bCs/>
          <w:sz w:val="32"/>
          <w:szCs w:val="32"/>
          <w:highlight w:val="none"/>
        </w:rPr>
      </w:pPr>
      <w:r>
        <w:rPr>
          <w:rFonts w:hint="eastAsia" w:ascii="楷体_GB2312" w:hAnsi="楷体_GB2312" w:eastAsia="楷体_GB2312" w:cs="楷体_GB2312"/>
          <w:b/>
          <w:bCs/>
          <w:sz w:val="32"/>
          <w:szCs w:val="32"/>
          <w:highlight w:val="none"/>
          <w:lang w:val="en-US" w:eastAsia="zh-CN"/>
        </w:rPr>
        <w:t>11.</w:t>
      </w:r>
      <w:r>
        <w:rPr>
          <w:rFonts w:hint="eastAsia" w:ascii="楷体_GB2312" w:hAnsi="楷体_GB2312" w:eastAsia="楷体_GB2312" w:cs="楷体_GB2312"/>
          <w:b/>
          <w:bCs/>
          <w:sz w:val="32"/>
          <w:szCs w:val="32"/>
          <w:highlight w:val="none"/>
        </w:rPr>
        <w:t>教育部门：</w:t>
      </w:r>
      <w:r>
        <w:rPr>
          <w:rFonts w:hint="eastAsia" w:ascii="仿宋_GB2312" w:hAnsi="仿宋_GB2312" w:eastAsia="仿宋_GB2312" w:cs="仿宋_GB2312"/>
          <w:sz w:val="32"/>
          <w:szCs w:val="32"/>
          <w:highlight w:val="none"/>
        </w:rPr>
        <w:t>负责督促学校落实本单位充电设施安全风险防范和安全监督管理。</w:t>
      </w:r>
    </w:p>
    <w:p>
      <w:pPr>
        <w:keepNext w:val="0"/>
        <w:keepLines w:val="0"/>
        <w:pageBreakBefore w:val="0"/>
        <w:wordWrap/>
        <w:overflowPunct/>
        <w:topLinePunct w:val="0"/>
        <w:bidi w:val="0"/>
        <w:spacing w:line="570" w:lineRule="exact"/>
        <w:ind w:firstLine="642" w:firstLineChars="200"/>
        <w:rPr>
          <w:rFonts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12.</w:t>
      </w:r>
      <w:r>
        <w:rPr>
          <w:rFonts w:hint="eastAsia" w:ascii="楷体_GB2312" w:hAnsi="楷体_GB2312" w:eastAsia="楷体_GB2312" w:cs="楷体_GB2312"/>
          <w:b/>
          <w:bCs/>
          <w:sz w:val="32"/>
          <w:szCs w:val="32"/>
          <w:highlight w:val="none"/>
        </w:rPr>
        <w:t>卫健部门：</w:t>
      </w:r>
      <w:r>
        <w:rPr>
          <w:rFonts w:hint="eastAsia" w:ascii="仿宋_GB2312" w:hAnsi="仿宋_GB2312" w:eastAsia="仿宋_GB2312" w:cs="仿宋_GB2312"/>
          <w:sz w:val="32"/>
          <w:szCs w:val="32"/>
          <w:highlight w:val="none"/>
        </w:rPr>
        <w:t>负责督促</w:t>
      </w:r>
      <w:r>
        <w:rPr>
          <w:rFonts w:hint="eastAsia" w:ascii="仿宋_GB2312" w:hAnsi="仿宋_GB2312" w:eastAsia="仿宋_GB2312" w:cs="仿宋_GB2312"/>
          <w:sz w:val="32"/>
          <w:szCs w:val="32"/>
          <w:highlight w:val="none"/>
          <w:lang w:eastAsia="zh-CN"/>
        </w:rPr>
        <w:t>医疗机构</w:t>
      </w:r>
      <w:r>
        <w:rPr>
          <w:rFonts w:hint="eastAsia" w:ascii="仿宋_GB2312" w:hAnsi="仿宋_GB2312" w:eastAsia="仿宋_GB2312" w:cs="仿宋_GB2312"/>
          <w:sz w:val="32"/>
          <w:szCs w:val="32"/>
          <w:highlight w:val="none"/>
        </w:rPr>
        <w:t>落实本单位充电设施安全风险防范和安全监督管理。</w:t>
      </w:r>
    </w:p>
    <w:p>
      <w:pPr>
        <w:keepNext w:val="0"/>
        <w:keepLines w:val="0"/>
        <w:pageBreakBefore w:val="0"/>
        <w:wordWrap/>
        <w:overflowPunct/>
        <w:topLinePunct w:val="0"/>
        <w:bidi w:val="0"/>
        <w:spacing w:line="570" w:lineRule="exact"/>
        <w:ind w:firstLine="642" w:firstLineChars="200"/>
        <w:rPr>
          <w:rFonts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13.</w:t>
      </w:r>
      <w:r>
        <w:rPr>
          <w:rFonts w:hint="eastAsia" w:ascii="楷体_GB2312" w:hAnsi="楷体_GB2312" w:eastAsia="楷体_GB2312" w:cs="楷体_GB2312"/>
          <w:b/>
          <w:bCs/>
          <w:sz w:val="32"/>
          <w:szCs w:val="32"/>
          <w:highlight w:val="none"/>
        </w:rPr>
        <w:t>气象部门：</w:t>
      </w:r>
      <w:r>
        <w:rPr>
          <w:rFonts w:hint="eastAsia" w:ascii="仿宋_GB2312" w:hAnsi="仿宋_GB2312" w:eastAsia="仿宋_GB2312" w:cs="仿宋_GB2312"/>
          <w:sz w:val="32"/>
          <w:szCs w:val="32"/>
          <w:highlight w:val="none"/>
        </w:rPr>
        <w:t>负责</w:t>
      </w:r>
      <w:r>
        <w:rPr>
          <w:rFonts w:hint="eastAsia" w:ascii="仿宋_GB2312" w:hAnsi="仿宋_GB2312" w:eastAsia="仿宋_GB2312" w:cs="仿宋_GB2312"/>
          <w:sz w:val="32"/>
          <w:szCs w:val="32"/>
          <w:highlight w:val="none"/>
          <w:lang w:eastAsia="zh-CN"/>
        </w:rPr>
        <w:t>落实</w:t>
      </w:r>
      <w:r>
        <w:rPr>
          <w:rFonts w:hint="eastAsia" w:ascii="仿宋_GB2312" w:hAnsi="仿宋_GB2312" w:eastAsia="仿宋_GB2312" w:cs="仿宋_GB2312"/>
          <w:sz w:val="32"/>
          <w:szCs w:val="32"/>
          <w:highlight w:val="none"/>
        </w:rPr>
        <w:t>《气象灾害防御条例》等法律法规，负责职责范围内防雷设施的设计审核、竣工验收和监管工作。</w:t>
      </w:r>
    </w:p>
    <w:p>
      <w:pPr>
        <w:keepNext w:val="0"/>
        <w:keepLines w:val="0"/>
        <w:pageBreakBefore w:val="0"/>
        <w:wordWrap/>
        <w:overflowPunct/>
        <w:topLinePunct w:val="0"/>
        <w:bidi w:val="0"/>
        <w:spacing w:line="570" w:lineRule="exact"/>
        <w:ind w:firstLine="642" w:firstLineChars="200"/>
        <w:rPr>
          <w:rFonts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14.</w:t>
      </w:r>
      <w:r>
        <w:rPr>
          <w:rFonts w:hint="eastAsia" w:ascii="楷体_GB2312" w:hAnsi="楷体_GB2312" w:eastAsia="楷体_GB2312" w:cs="楷体_GB2312"/>
          <w:b/>
          <w:bCs/>
          <w:sz w:val="32"/>
          <w:szCs w:val="32"/>
          <w:highlight w:val="none"/>
        </w:rPr>
        <w:t>供电公司：</w:t>
      </w:r>
      <w:r>
        <w:rPr>
          <w:rFonts w:hint="eastAsia" w:ascii="仿宋_GB2312" w:hAnsi="仿宋_GB2312" w:eastAsia="仿宋_GB2312" w:cs="仿宋_GB2312"/>
          <w:sz w:val="32"/>
          <w:szCs w:val="32"/>
          <w:highlight w:val="none"/>
        </w:rPr>
        <w:t>负责充电设施相关电力基础网络建设与改造、充电设施增容服务等电力保障工作</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合相关主管部门做好充电设施的供用电监督管理工作，并做好用电宣传。对存在重大事故隐患或未在规定期限内进行整改的充电设施运营单位，以及现场有发生生产安全事故现实危险的，按《供电营业规则》等相关规定进行处理。</w:t>
      </w:r>
    </w:p>
    <w:p>
      <w:pPr>
        <w:keepNext w:val="0"/>
        <w:keepLines w:val="0"/>
        <w:pageBreakBefore w:val="0"/>
        <w:wordWrap/>
        <w:overflowPunct/>
        <w:topLinePunct w:val="0"/>
        <w:bidi w:val="0"/>
        <w:spacing w:line="570" w:lineRule="exact"/>
        <w:ind w:firstLine="642" w:firstLineChars="200"/>
        <w:rPr>
          <w:rFonts w:ascii="仿宋_GB2312" w:hAnsi="仿宋_GB2312" w:eastAsia="仿宋_GB2312" w:cs="仿宋_GB2312"/>
          <w:sz w:val="32"/>
          <w:szCs w:val="32"/>
          <w:highlight w:val="none"/>
        </w:rPr>
      </w:pPr>
      <w:r>
        <w:rPr>
          <w:rFonts w:hint="eastAsia" w:ascii="楷体_GB2312" w:hAnsi="楷体_GB2312" w:eastAsia="楷体_GB2312" w:cs="楷体_GB2312"/>
          <w:b/>
          <w:bCs/>
          <w:sz w:val="32"/>
          <w:szCs w:val="32"/>
          <w:highlight w:val="none"/>
          <w:lang w:val="en-US" w:eastAsia="zh-CN"/>
        </w:rPr>
        <w:t>15.</w:t>
      </w:r>
      <w:r>
        <w:rPr>
          <w:rFonts w:hint="eastAsia" w:ascii="楷体_GB2312" w:hAnsi="楷体_GB2312" w:eastAsia="楷体_GB2312" w:cs="楷体_GB2312"/>
          <w:b/>
          <w:bCs/>
          <w:sz w:val="32"/>
          <w:szCs w:val="32"/>
          <w:highlight w:val="none"/>
        </w:rPr>
        <w:t>开发区、各乡镇：</w:t>
      </w:r>
      <w:r>
        <w:rPr>
          <w:rFonts w:hint="eastAsia" w:ascii="仿宋_GB2312" w:hAnsi="仿宋_GB2312" w:eastAsia="仿宋_GB2312" w:cs="仿宋_GB2312"/>
          <w:sz w:val="32"/>
          <w:szCs w:val="32"/>
          <w:highlight w:val="none"/>
        </w:rPr>
        <w:t>负责辖区内充电基础设施的规划建设管理，落实属地安全监督管理责任</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将充电基础设施纳入安全管理责任体系</w:t>
      </w:r>
      <w:r>
        <w:rPr>
          <w:rFonts w:hint="eastAsia" w:ascii="仿宋_GB2312" w:hAnsi="仿宋_GB2312" w:eastAsia="仿宋_GB2312" w:cs="仿宋_GB2312"/>
          <w:sz w:val="32"/>
          <w:szCs w:val="32"/>
          <w:highlight w:val="none"/>
          <w:lang w:eastAsia="zh-CN"/>
        </w:rPr>
        <w:t>。</w:t>
      </w:r>
    </w:p>
    <w:p>
      <w:pPr>
        <w:pStyle w:val="2"/>
        <w:keepNext w:val="0"/>
        <w:keepLines w:val="0"/>
        <w:pageBreakBefore w:val="0"/>
        <w:wordWrap/>
        <w:overflowPunct/>
        <w:topLinePunct w:val="0"/>
        <w:bidi w:val="0"/>
        <w:spacing w:line="570" w:lineRule="exact"/>
        <w:rPr>
          <w:highlight w:val="none"/>
          <w:u w:val="single"/>
        </w:rPr>
      </w:pPr>
    </w:p>
    <w:p>
      <w:pPr>
        <w:keepNext w:val="0"/>
        <w:keepLines w:val="0"/>
        <w:pageBreakBefore w:val="0"/>
        <w:wordWrap/>
        <w:overflowPunct/>
        <w:topLinePunct w:val="0"/>
        <w:bidi w:val="0"/>
        <w:spacing w:line="570" w:lineRule="exact"/>
        <w:rPr>
          <w:rFonts w:ascii="仿宋_GB2312" w:hAnsi="仿宋_GB2312" w:eastAsia="仿宋_GB2312" w:cs="仿宋_GB2312"/>
          <w:sz w:val="32"/>
          <w:szCs w:val="32"/>
          <w:highlight w:val="none"/>
        </w:rPr>
      </w:pPr>
    </w:p>
    <w:p>
      <w:pPr>
        <w:keepNext w:val="0"/>
        <w:keepLines w:val="0"/>
        <w:pageBreakBefore w:val="0"/>
        <w:wordWrap/>
        <w:overflowPunct/>
        <w:topLinePunct w:val="0"/>
        <w:bidi w:val="0"/>
        <w:spacing w:line="570" w:lineRule="exact"/>
        <w:rPr>
          <w:rFonts w:ascii="仿宋_GB2312" w:hAnsi="仿宋_GB2312" w:eastAsia="仿宋_GB2312" w:cs="仿宋_GB2312"/>
          <w:sz w:val="32"/>
          <w:szCs w:val="32"/>
          <w:highlight w:val="none"/>
        </w:rPr>
      </w:pP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国标黑体">
    <w:altName w:val="方正黑体_GBK"/>
    <w:panose1 w:val="02000500000000000000"/>
    <w:charset w:val="86"/>
    <w:family w:val="auto"/>
    <w:pitch w:val="default"/>
    <w:sig w:usb0="00000000" w:usb1="00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Bitstream Charter">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BYAAABkcnMvUEsBAhQAFAAAAAgAh07iQLNJWO7Q&#10;AAAABQEAAA8AAAAAAAAAAQAgAAAAOAAAAGRycy9kb3ducmV2LnhtbFBLAQIUABQAAAAIAIdO4kBK&#10;283/EgIAABMEAAAOAAAAAAAAAAEAIAAAADUBAABkcnMvZTJvRG9jLnhtbFBLBQYAAAAABgAGAFkB&#10;AAC5BQ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3D6AC1"/>
    <w:rsid w:val="00053A88"/>
    <w:rsid w:val="002834AA"/>
    <w:rsid w:val="00314252"/>
    <w:rsid w:val="006066AC"/>
    <w:rsid w:val="006D7E34"/>
    <w:rsid w:val="00966A8F"/>
    <w:rsid w:val="00B0459A"/>
    <w:rsid w:val="00BB5FBF"/>
    <w:rsid w:val="00BD5E7C"/>
    <w:rsid w:val="00C33103"/>
    <w:rsid w:val="00DE56FB"/>
    <w:rsid w:val="00EE4D62"/>
    <w:rsid w:val="00F329C9"/>
    <w:rsid w:val="00F4495A"/>
    <w:rsid w:val="00F531E6"/>
    <w:rsid w:val="00FB456B"/>
    <w:rsid w:val="06CB44CA"/>
    <w:rsid w:val="08E409A9"/>
    <w:rsid w:val="0AFBAE48"/>
    <w:rsid w:val="0BBF43C3"/>
    <w:rsid w:val="0C5E0F82"/>
    <w:rsid w:val="0DA22C0B"/>
    <w:rsid w:val="11F4267D"/>
    <w:rsid w:val="14A448EA"/>
    <w:rsid w:val="175020EC"/>
    <w:rsid w:val="177249E0"/>
    <w:rsid w:val="21D2548D"/>
    <w:rsid w:val="23B538CC"/>
    <w:rsid w:val="252C1CA1"/>
    <w:rsid w:val="271251B0"/>
    <w:rsid w:val="29D8669C"/>
    <w:rsid w:val="29DC383D"/>
    <w:rsid w:val="2B2E01FA"/>
    <w:rsid w:val="2F6B8002"/>
    <w:rsid w:val="32431BC0"/>
    <w:rsid w:val="3736751C"/>
    <w:rsid w:val="3BFD3E03"/>
    <w:rsid w:val="441239C1"/>
    <w:rsid w:val="47FF4503"/>
    <w:rsid w:val="481B23A6"/>
    <w:rsid w:val="4BB74486"/>
    <w:rsid w:val="4FFBA479"/>
    <w:rsid w:val="4FFFF4D3"/>
    <w:rsid w:val="52330182"/>
    <w:rsid w:val="524E4CA2"/>
    <w:rsid w:val="55E738C7"/>
    <w:rsid w:val="5B9D1375"/>
    <w:rsid w:val="5FFD8421"/>
    <w:rsid w:val="61F867D0"/>
    <w:rsid w:val="637B3972"/>
    <w:rsid w:val="66190C6B"/>
    <w:rsid w:val="663D6AC1"/>
    <w:rsid w:val="6A7FABE3"/>
    <w:rsid w:val="6AEFC3FF"/>
    <w:rsid w:val="6FBB4DBD"/>
    <w:rsid w:val="70F90532"/>
    <w:rsid w:val="727F2EEA"/>
    <w:rsid w:val="74F7220F"/>
    <w:rsid w:val="78B35D9D"/>
    <w:rsid w:val="7BDA980A"/>
    <w:rsid w:val="7C23393A"/>
    <w:rsid w:val="7DFAE253"/>
    <w:rsid w:val="7EC6DF4E"/>
    <w:rsid w:val="8675B3A2"/>
    <w:rsid w:val="B7F5C279"/>
    <w:rsid w:val="F20B41C2"/>
    <w:rsid w:val="F8F7519C"/>
    <w:rsid w:val="FF6FEAC3"/>
    <w:rsid w:val="FFA5E9AF"/>
    <w:rsid w:val="FFF07FE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styleId="7">
    <w:name w:val="List Paragraph"/>
    <w:basedOn w:val="1"/>
    <w:qFormat/>
    <w:uiPriority w:val="34"/>
    <w:pPr>
      <w:ind w:left="720"/>
      <w:contextualSpacing/>
    </w:pPr>
  </w:style>
  <w:style w:type="character" w:customStyle="1" w:styleId="8">
    <w:name w:val="页眉 Char"/>
    <w:basedOn w:val="6"/>
    <w:link w:val="4"/>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2921</Words>
  <Characters>2922</Characters>
  <Lines>21</Lines>
  <Paragraphs>6</Paragraphs>
  <TotalTime>31</TotalTime>
  <ScaleCrop>false</ScaleCrop>
  <LinksUpToDate>false</LinksUpToDate>
  <CharactersWithSpaces>2930</CharactersWithSpaces>
  <Application>WPS Office_11.8.2.1114_F1E327BC-269C-435d-A152-05C5408002CA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2026-03-30T00:17:00Z</dcterms:created>
  <dc:creator>平淡</dc:creator>
  <cp:lastModifiedBy>zfb</cp:lastModifiedBy>
  <cp:lastPrinted>2026-04-03T09:05:00Z</cp:lastPrinted>
  <dcterms:modified xsi:type="dcterms:W3CDTF">2026-04-08T17:38:07Z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2052-11.8.2.1114</vt:lpwstr>
  </property>
  <property fmtid="{D5CDD505-2E9C-101B-9397-08002B2CF9AE}" pid="3" name="ICV">
    <vt:lpwstr>1B1D1288FB96BC387A9BC86961FA1E46</vt:lpwstr>
  </property>
  <property fmtid="{D5CDD505-2E9C-101B-9397-08002B2CF9AE}" pid="4" name="KSOTemplateDocerSaveRecord">
    <vt:lpwstr>eyJoZGlkIjoiODliN2MzNTg5YmVmOWI3YTBlMWU1ZGFmZmU5OTA1MzgiLCJ1c2VySWQiOiIxMzI0MjUyNjk4In0=</vt:lpwstr>
  </property>
</Properties>
</file>