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bookmarkStart w:id="0" w:name="_Toc_4_4_0000000002"/>
      <w:r>
        <w:rPr>
          <w:rFonts w:hint="eastAsia" w:ascii="方正小标宋_GBK" w:hAnsi="方正小标宋_GBK" w:eastAsia="方正小标宋_GBK" w:cs="方正小标宋_GBK"/>
          <w:b w:val="0"/>
          <w:color w:val="000000"/>
          <w:sz w:val="44"/>
          <w:lang w:val="en-US" w:eastAsia="zh-CN"/>
        </w:rPr>
        <w:t>318003</w:t>
      </w:r>
      <w:r>
        <w:rPr>
          <w:rFonts w:ascii="方正小标宋_GBK" w:hAnsi="方正小标宋_GBK" w:eastAsia="方正小标宋_GBK" w:cs="方正小标宋_GBK"/>
          <w:b w:val="0"/>
          <w:color w:val="000000"/>
          <w:sz w:val="44"/>
        </w:rPr>
        <w:t>赞皇县收费服务中心</w:t>
      </w:r>
      <w:r>
        <w:rPr>
          <w:rFonts w:hint="eastAsia" w:ascii="方正小标宋_GBK" w:hAnsi="方正小标宋_GBK" w:eastAsia="方正小标宋_GBK" w:cs="方正小标宋_GBK"/>
          <w:b w:val="0"/>
          <w:color w:val="000000"/>
          <w:sz w:val="44"/>
          <w:lang w:val="en-US" w:eastAsia="zh-CN"/>
        </w:rPr>
        <w:t>2026年单位预算信息</w:t>
      </w:r>
      <w:bookmarkEnd w:id="0"/>
      <w:r>
        <w:rPr>
          <w:rFonts w:hint="eastAsia" w:ascii="方正小标宋_GBK" w:hAnsi="方正小标宋_GBK" w:eastAsia="方正小标宋_GBK" w:cs="方正小标宋_GBK"/>
          <w:b w:val="0"/>
          <w:color w:val="000000"/>
          <w:sz w:val="44"/>
          <w:lang w:eastAsia="zh-CN"/>
        </w:rPr>
        <w:t>公开</w:t>
      </w: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line="240" w:lineRule="auto"/>
        <w:ind w:firstLine="562" w:firstLineChars="20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7</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562" w:firstLineChars="20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end"/>
      </w:r>
      <w:r>
        <w:rPr>
          <w:rFonts w:hint="eastAsia"/>
          <w:lang w:val="en-US" w:eastAsia="zh-CN"/>
        </w:rPr>
        <w:t>17</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六</w:t>
      </w:r>
      <w:r>
        <w:t>、</w:t>
      </w:r>
      <w:r>
        <w:rPr>
          <w:rFonts w:hint="eastAsia"/>
          <w:lang w:val="en-US" w:eastAsia="zh-CN"/>
        </w:rPr>
        <w:t>单位</w:t>
      </w:r>
      <w:r>
        <w:t>项目预算安排情况及绩效目标</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七</w:t>
      </w:r>
      <w:r>
        <w:t>、政府采购预算情况</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3</w:t>
      </w: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r>
        <w:fldChar w:fldCharType="end"/>
      </w: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both"/>
        <w:outlineLvl w:val="3"/>
        <w:rPr>
          <w:rFonts w:hint="eastAsia" w:ascii="方正小标宋_GBK" w:hAnsi="方正小标宋_GBK" w:eastAsia="方正小标宋_GBK" w:cs="方正小标宋_GBK"/>
          <w:b w:val="0"/>
          <w:color w:val="000000"/>
          <w:sz w:val="44"/>
          <w:lang w:eastAsia="zh-CN"/>
        </w:rPr>
      </w:pPr>
    </w:p>
    <w:p>
      <w:pPr>
        <w:spacing w:before="0" w:after="0"/>
        <w:ind w:firstLine="0"/>
        <w:jc w:val="center"/>
        <w:outlineLvl w:val="3"/>
        <w:rPr>
          <w:rFonts w:hint="eastAsia" w:ascii="方正小标宋_GBK" w:hAnsi="方正小标宋_GBK" w:eastAsia="方正小标宋_GBK" w:cs="方正小标宋_GBK"/>
          <w:b w:val="0"/>
          <w:color w:val="000000"/>
          <w:sz w:val="44"/>
          <w:lang w:eastAsia="zh-CN"/>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318003赞皇县收费服务中心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168.67</w:t>
            </w:r>
          </w:p>
        </w:tc>
        <w:tc>
          <w:tcPr>
            <w:tcW w:w="4535" w:type="dxa"/>
            <w:vAlign w:val="center"/>
          </w:tcPr>
          <w:p>
            <w:pPr>
              <w:pStyle w:val="12"/>
            </w:pPr>
            <w:r>
              <w:t>一、一般公共服务支出</w:t>
            </w:r>
          </w:p>
        </w:tc>
        <w:tc>
          <w:tcPr>
            <w:tcW w:w="2126" w:type="dxa"/>
            <w:vAlign w:val="center"/>
          </w:tcPr>
          <w:p>
            <w:pPr>
              <w:pStyle w:val="11"/>
            </w:pPr>
            <w:r>
              <w:t>126.99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168.67</w:t>
            </w:r>
          </w:p>
        </w:tc>
        <w:tc>
          <w:tcPr>
            <w:tcW w:w="4535" w:type="dxa"/>
            <w:vAlign w:val="center"/>
          </w:tcPr>
          <w:p>
            <w:pPr>
              <w:pStyle w:val="14"/>
            </w:pPr>
            <w:r>
              <w:t>本年支出合计</w:t>
            </w:r>
          </w:p>
        </w:tc>
        <w:tc>
          <w:tcPr>
            <w:tcW w:w="2126" w:type="dxa"/>
            <w:vAlign w:val="center"/>
          </w:tcPr>
          <w:p>
            <w:pPr>
              <w:pStyle w:val="15"/>
            </w:pPr>
            <w:r>
              <w:t>168.67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168.67</w:t>
            </w:r>
          </w:p>
        </w:tc>
        <w:tc>
          <w:tcPr>
            <w:tcW w:w="4535" w:type="dxa"/>
            <w:vAlign w:val="center"/>
          </w:tcPr>
          <w:p>
            <w:pPr>
              <w:pStyle w:val="14"/>
            </w:pPr>
            <w:r>
              <w:t>支出总计</w:t>
            </w:r>
          </w:p>
        </w:tc>
        <w:tc>
          <w:tcPr>
            <w:tcW w:w="2126" w:type="dxa"/>
            <w:vAlign w:val="center"/>
          </w:tcPr>
          <w:p>
            <w:pPr>
              <w:pStyle w:val="15"/>
            </w:pPr>
            <w:r>
              <w:t>168.67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318003赞皇县收费服务中心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168.67</w:t>
            </w:r>
          </w:p>
        </w:tc>
        <w:tc>
          <w:tcPr>
            <w:tcW w:w="1134" w:type="dxa"/>
            <w:vAlign w:val="center"/>
          </w:tcPr>
          <w:p>
            <w:pPr>
              <w:pStyle w:val="15"/>
            </w:pPr>
            <w:r>
              <w:t>168.67</w:t>
            </w:r>
          </w:p>
        </w:tc>
        <w:tc>
          <w:tcPr>
            <w:tcW w:w="1134" w:type="dxa"/>
            <w:vAlign w:val="center"/>
          </w:tcPr>
          <w:p>
            <w:pPr>
              <w:pStyle w:val="15"/>
            </w:pPr>
            <w:r>
              <w:t>168.67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r>
              <w:t>126.99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25.41</w:t>
            </w:r>
          </w:p>
        </w:tc>
        <w:tc>
          <w:tcPr>
            <w:tcW w:w="1134" w:type="dxa"/>
            <w:vAlign w:val="center"/>
          </w:tcPr>
          <w:p>
            <w:pPr>
              <w:pStyle w:val="11"/>
            </w:pPr>
            <w:r>
              <w:t>25.41</w:t>
            </w:r>
          </w:p>
        </w:tc>
        <w:tc>
          <w:tcPr>
            <w:tcW w:w="1134" w:type="dxa"/>
            <w:vAlign w:val="center"/>
          </w:tcPr>
          <w:p>
            <w:pPr>
              <w:pStyle w:val="11"/>
            </w:pPr>
            <w:r>
              <w:t>25.41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24.81</w:t>
            </w:r>
          </w:p>
        </w:tc>
        <w:tc>
          <w:tcPr>
            <w:tcW w:w="1134" w:type="dxa"/>
            <w:vAlign w:val="center"/>
          </w:tcPr>
          <w:p>
            <w:pPr>
              <w:pStyle w:val="11"/>
            </w:pPr>
            <w:r>
              <w:t>24.81</w:t>
            </w:r>
          </w:p>
        </w:tc>
        <w:tc>
          <w:tcPr>
            <w:tcW w:w="1134" w:type="dxa"/>
            <w:vAlign w:val="center"/>
          </w:tcPr>
          <w:p>
            <w:pPr>
              <w:pStyle w:val="11"/>
            </w:pPr>
            <w:r>
              <w:t>24.81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13.70</w:t>
            </w:r>
          </w:p>
        </w:tc>
        <w:tc>
          <w:tcPr>
            <w:tcW w:w="1134" w:type="dxa"/>
            <w:vAlign w:val="center"/>
          </w:tcPr>
          <w:p>
            <w:pPr>
              <w:pStyle w:val="11"/>
            </w:pPr>
            <w:r>
              <w:t>13.70</w:t>
            </w:r>
          </w:p>
        </w:tc>
        <w:tc>
          <w:tcPr>
            <w:tcW w:w="1134" w:type="dxa"/>
            <w:vAlign w:val="center"/>
          </w:tcPr>
          <w:p>
            <w:pPr>
              <w:pStyle w:val="11"/>
            </w:pPr>
            <w:r>
              <w:t>13.70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11.11</w:t>
            </w:r>
          </w:p>
        </w:tc>
        <w:tc>
          <w:tcPr>
            <w:tcW w:w="1134" w:type="dxa"/>
            <w:vAlign w:val="center"/>
          </w:tcPr>
          <w:p>
            <w:pPr>
              <w:pStyle w:val="11"/>
            </w:pPr>
            <w:r>
              <w:t>11.11</w:t>
            </w:r>
          </w:p>
        </w:tc>
        <w:tc>
          <w:tcPr>
            <w:tcW w:w="1134" w:type="dxa"/>
            <w:vAlign w:val="center"/>
          </w:tcPr>
          <w:p>
            <w:pPr>
              <w:pStyle w:val="11"/>
            </w:pPr>
            <w:r>
              <w:t>11.11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6.58</w:t>
            </w:r>
          </w:p>
        </w:tc>
        <w:tc>
          <w:tcPr>
            <w:tcW w:w="1134" w:type="dxa"/>
            <w:vAlign w:val="center"/>
          </w:tcPr>
          <w:p>
            <w:pPr>
              <w:pStyle w:val="11"/>
            </w:pPr>
            <w:r>
              <w:t>6.58</w:t>
            </w:r>
          </w:p>
        </w:tc>
        <w:tc>
          <w:tcPr>
            <w:tcW w:w="1134" w:type="dxa"/>
            <w:vAlign w:val="center"/>
          </w:tcPr>
          <w:p>
            <w:pPr>
              <w:pStyle w:val="11"/>
            </w:pPr>
            <w:r>
              <w:t>6.58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6.58</w:t>
            </w:r>
          </w:p>
        </w:tc>
        <w:tc>
          <w:tcPr>
            <w:tcW w:w="1134" w:type="dxa"/>
            <w:vAlign w:val="center"/>
          </w:tcPr>
          <w:p>
            <w:pPr>
              <w:pStyle w:val="11"/>
            </w:pPr>
            <w:r>
              <w:t>6.58</w:t>
            </w:r>
          </w:p>
        </w:tc>
        <w:tc>
          <w:tcPr>
            <w:tcW w:w="1134" w:type="dxa"/>
            <w:vAlign w:val="center"/>
          </w:tcPr>
          <w:p>
            <w:pPr>
              <w:pStyle w:val="11"/>
            </w:pPr>
            <w:r>
              <w:t>6.58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4.38</w:t>
            </w:r>
          </w:p>
        </w:tc>
        <w:tc>
          <w:tcPr>
            <w:tcW w:w="1134" w:type="dxa"/>
            <w:vAlign w:val="center"/>
          </w:tcPr>
          <w:p>
            <w:pPr>
              <w:pStyle w:val="11"/>
            </w:pPr>
            <w:r>
              <w:t>4.38</w:t>
            </w:r>
          </w:p>
        </w:tc>
        <w:tc>
          <w:tcPr>
            <w:tcW w:w="1134" w:type="dxa"/>
            <w:vAlign w:val="center"/>
          </w:tcPr>
          <w:p>
            <w:pPr>
              <w:pStyle w:val="11"/>
            </w:pPr>
            <w:r>
              <w:t>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r>
              <w:t>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168.67</w:t>
            </w:r>
          </w:p>
        </w:tc>
        <w:tc>
          <w:tcPr>
            <w:tcW w:w="1361" w:type="dxa"/>
            <w:vAlign w:val="center"/>
          </w:tcPr>
          <w:p>
            <w:pPr>
              <w:pStyle w:val="15"/>
            </w:pPr>
            <w:r>
              <w:t>168.67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126.99</w:t>
            </w:r>
          </w:p>
        </w:tc>
        <w:tc>
          <w:tcPr>
            <w:tcW w:w="1361" w:type="dxa"/>
            <w:vAlign w:val="center"/>
          </w:tcPr>
          <w:p>
            <w:pPr>
              <w:pStyle w:val="11"/>
            </w:pPr>
            <w:r>
              <w:t>126.99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126.99</w:t>
            </w:r>
          </w:p>
        </w:tc>
        <w:tc>
          <w:tcPr>
            <w:tcW w:w="1361" w:type="dxa"/>
            <w:vAlign w:val="center"/>
          </w:tcPr>
          <w:p>
            <w:pPr>
              <w:pStyle w:val="11"/>
            </w:pPr>
            <w:r>
              <w:t>126.99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126.99</w:t>
            </w:r>
          </w:p>
        </w:tc>
        <w:tc>
          <w:tcPr>
            <w:tcW w:w="1361" w:type="dxa"/>
            <w:vAlign w:val="center"/>
          </w:tcPr>
          <w:p>
            <w:pPr>
              <w:pStyle w:val="11"/>
            </w:pPr>
            <w:r>
              <w:t>126.99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25.41</w:t>
            </w:r>
          </w:p>
        </w:tc>
        <w:tc>
          <w:tcPr>
            <w:tcW w:w="1361" w:type="dxa"/>
            <w:vAlign w:val="center"/>
          </w:tcPr>
          <w:p>
            <w:pPr>
              <w:pStyle w:val="11"/>
            </w:pPr>
            <w:r>
              <w:t>25.41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24.81</w:t>
            </w:r>
          </w:p>
        </w:tc>
        <w:tc>
          <w:tcPr>
            <w:tcW w:w="1361" w:type="dxa"/>
            <w:vAlign w:val="center"/>
          </w:tcPr>
          <w:p>
            <w:pPr>
              <w:pStyle w:val="11"/>
            </w:pPr>
            <w:r>
              <w:t>24.81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13.70</w:t>
            </w:r>
          </w:p>
        </w:tc>
        <w:tc>
          <w:tcPr>
            <w:tcW w:w="1361" w:type="dxa"/>
            <w:vAlign w:val="center"/>
          </w:tcPr>
          <w:p>
            <w:pPr>
              <w:pStyle w:val="11"/>
            </w:pPr>
            <w:r>
              <w:t>13.70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11.11</w:t>
            </w:r>
          </w:p>
        </w:tc>
        <w:tc>
          <w:tcPr>
            <w:tcW w:w="1361" w:type="dxa"/>
            <w:vAlign w:val="center"/>
          </w:tcPr>
          <w:p>
            <w:pPr>
              <w:pStyle w:val="11"/>
            </w:pPr>
            <w:r>
              <w:t>11.11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6.58</w:t>
            </w:r>
          </w:p>
        </w:tc>
        <w:tc>
          <w:tcPr>
            <w:tcW w:w="1361" w:type="dxa"/>
            <w:vAlign w:val="center"/>
          </w:tcPr>
          <w:p>
            <w:pPr>
              <w:pStyle w:val="11"/>
            </w:pPr>
            <w:r>
              <w:t>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6.58</w:t>
            </w:r>
          </w:p>
        </w:tc>
        <w:tc>
          <w:tcPr>
            <w:tcW w:w="1361" w:type="dxa"/>
            <w:vAlign w:val="center"/>
          </w:tcPr>
          <w:p>
            <w:pPr>
              <w:pStyle w:val="11"/>
            </w:pPr>
            <w:r>
              <w:t>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4.38</w:t>
            </w:r>
          </w:p>
        </w:tc>
        <w:tc>
          <w:tcPr>
            <w:tcW w:w="1361" w:type="dxa"/>
            <w:vAlign w:val="center"/>
          </w:tcPr>
          <w:p>
            <w:pPr>
              <w:pStyle w:val="11"/>
            </w:pPr>
            <w:r>
              <w:t>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9.69</w:t>
            </w:r>
          </w:p>
        </w:tc>
        <w:tc>
          <w:tcPr>
            <w:tcW w:w="1361" w:type="dxa"/>
            <w:vAlign w:val="center"/>
          </w:tcPr>
          <w:p>
            <w:pPr>
              <w:pStyle w:val="11"/>
            </w:pPr>
            <w:r>
              <w:t>9.69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9.69</w:t>
            </w:r>
          </w:p>
        </w:tc>
        <w:tc>
          <w:tcPr>
            <w:tcW w:w="1361" w:type="dxa"/>
            <w:vAlign w:val="center"/>
          </w:tcPr>
          <w:p>
            <w:pPr>
              <w:pStyle w:val="11"/>
            </w:pPr>
            <w:r>
              <w:t>9.69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9.69</w:t>
            </w:r>
          </w:p>
        </w:tc>
        <w:tc>
          <w:tcPr>
            <w:tcW w:w="1361" w:type="dxa"/>
            <w:vAlign w:val="center"/>
          </w:tcPr>
          <w:p>
            <w:pPr>
              <w:pStyle w:val="11"/>
            </w:pPr>
            <w:r>
              <w:t>9.69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168.67</w:t>
            </w:r>
          </w:p>
        </w:tc>
        <w:tc>
          <w:tcPr>
            <w:tcW w:w="3402" w:type="dxa"/>
            <w:vAlign w:val="center"/>
          </w:tcPr>
          <w:p>
            <w:pPr>
              <w:pStyle w:val="12"/>
            </w:pPr>
            <w:r>
              <w:t>一、一般公共服务支出</w:t>
            </w:r>
          </w:p>
        </w:tc>
        <w:tc>
          <w:tcPr>
            <w:tcW w:w="1474" w:type="dxa"/>
            <w:vAlign w:val="center"/>
          </w:tcPr>
          <w:p>
            <w:pPr>
              <w:pStyle w:val="11"/>
            </w:pPr>
            <w:r>
              <w:t>126.99</w:t>
            </w:r>
          </w:p>
        </w:tc>
        <w:tc>
          <w:tcPr>
            <w:tcW w:w="1474" w:type="dxa"/>
            <w:vAlign w:val="center"/>
          </w:tcPr>
          <w:p>
            <w:pPr>
              <w:pStyle w:val="11"/>
            </w:pPr>
            <w:r>
              <w:t>126.99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25.41</w:t>
            </w:r>
          </w:p>
        </w:tc>
        <w:tc>
          <w:tcPr>
            <w:tcW w:w="1474" w:type="dxa"/>
            <w:vAlign w:val="center"/>
          </w:tcPr>
          <w:p>
            <w:pPr>
              <w:pStyle w:val="11"/>
            </w:pPr>
            <w:r>
              <w:t>25.41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6.58</w:t>
            </w:r>
          </w:p>
        </w:tc>
        <w:tc>
          <w:tcPr>
            <w:tcW w:w="1474" w:type="dxa"/>
            <w:vAlign w:val="center"/>
          </w:tcPr>
          <w:p>
            <w:pPr>
              <w:pStyle w:val="11"/>
            </w:pPr>
            <w:r>
              <w:t>6.58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9.69</w:t>
            </w:r>
          </w:p>
        </w:tc>
        <w:tc>
          <w:tcPr>
            <w:tcW w:w="1474" w:type="dxa"/>
            <w:vAlign w:val="center"/>
          </w:tcPr>
          <w:p>
            <w:pPr>
              <w:pStyle w:val="11"/>
            </w:pPr>
            <w:r>
              <w:t>9.69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168.67</w:t>
            </w:r>
          </w:p>
        </w:tc>
        <w:tc>
          <w:tcPr>
            <w:tcW w:w="3402" w:type="dxa"/>
            <w:vAlign w:val="center"/>
          </w:tcPr>
          <w:p>
            <w:pPr>
              <w:pStyle w:val="14"/>
            </w:pPr>
            <w:r>
              <w:t>本年支出合计</w:t>
            </w:r>
          </w:p>
        </w:tc>
        <w:tc>
          <w:tcPr>
            <w:tcW w:w="1474" w:type="dxa"/>
            <w:vAlign w:val="center"/>
          </w:tcPr>
          <w:p>
            <w:pPr>
              <w:pStyle w:val="15"/>
            </w:pPr>
            <w:r>
              <w:t>168.67</w:t>
            </w:r>
          </w:p>
        </w:tc>
        <w:tc>
          <w:tcPr>
            <w:tcW w:w="1474" w:type="dxa"/>
            <w:vAlign w:val="center"/>
          </w:tcPr>
          <w:p>
            <w:pPr>
              <w:pStyle w:val="15"/>
            </w:pPr>
            <w:r>
              <w:t>168.67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168.67</w:t>
            </w:r>
          </w:p>
        </w:tc>
        <w:tc>
          <w:tcPr>
            <w:tcW w:w="3402" w:type="dxa"/>
            <w:vAlign w:val="center"/>
          </w:tcPr>
          <w:p>
            <w:pPr>
              <w:pStyle w:val="14"/>
            </w:pPr>
            <w:r>
              <w:t>支出总计</w:t>
            </w:r>
          </w:p>
        </w:tc>
        <w:tc>
          <w:tcPr>
            <w:tcW w:w="1474" w:type="dxa"/>
            <w:vAlign w:val="center"/>
          </w:tcPr>
          <w:p>
            <w:pPr>
              <w:pStyle w:val="15"/>
            </w:pPr>
            <w:r>
              <w:t>168.67</w:t>
            </w:r>
          </w:p>
        </w:tc>
        <w:tc>
          <w:tcPr>
            <w:tcW w:w="1474" w:type="dxa"/>
            <w:vAlign w:val="center"/>
          </w:tcPr>
          <w:p>
            <w:pPr>
              <w:pStyle w:val="15"/>
            </w:pPr>
            <w:r>
              <w:t>168.67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168.67</w:t>
            </w:r>
          </w:p>
        </w:tc>
        <w:tc>
          <w:tcPr>
            <w:tcW w:w="2551" w:type="dxa"/>
            <w:vAlign w:val="center"/>
          </w:tcPr>
          <w:p>
            <w:pPr>
              <w:pStyle w:val="15"/>
            </w:pPr>
            <w:r>
              <w:t>168.67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126.99</w:t>
            </w:r>
          </w:p>
        </w:tc>
        <w:tc>
          <w:tcPr>
            <w:tcW w:w="2551" w:type="dxa"/>
            <w:vAlign w:val="center"/>
          </w:tcPr>
          <w:p>
            <w:pPr>
              <w:pStyle w:val="11"/>
            </w:pPr>
            <w:r>
              <w:t>126.99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126.99</w:t>
            </w:r>
          </w:p>
        </w:tc>
        <w:tc>
          <w:tcPr>
            <w:tcW w:w="2551" w:type="dxa"/>
            <w:vAlign w:val="center"/>
          </w:tcPr>
          <w:p>
            <w:pPr>
              <w:pStyle w:val="11"/>
            </w:pPr>
            <w:r>
              <w:t>126.99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126.99</w:t>
            </w:r>
          </w:p>
        </w:tc>
        <w:tc>
          <w:tcPr>
            <w:tcW w:w="2551" w:type="dxa"/>
            <w:vAlign w:val="center"/>
          </w:tcPr>
          <w:p>
            <w:pPr>
              <w:pStyle w:val="11"/>
            </w:pPr>
            <w:r>
              <w:t>126.99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25.41</w:t>
            </w:r>
          </w:p>
        </w:tc>
        <w:tc>
          <w:tcPr>
            <w:tcW w:w="2551" w:type="dxa"/>
            <w:vAlign w:val="center"/>
          </w:tcPr>
          <w:p>
            <w:pPr>
              <w:pStyle w:val="11"/>
            </w:pPr>
            <w:r>
              <w:t>25.41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24.81</w:t>
            </w:r>
          </w:p>
        </w:tc>
        <w:tc>
          <w:tcPr>
            <w:tcW w:w="2551" w:type="dxa"/>
            <w:vAlign w:val="center"/>
          </w:tcPr>
          <w:p>
            <w:pPr>
              <w:pStyle w:val="11"/>
            </w:pPr>
            <w:r>
              <w:t>24.81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11.11</w:t>
            </w:r>
          </w:p>
        </w:tc>
        <w:tc>
          <w:tcPr>
            <w:tcW w:w="2551" w:type="dxa"/>
            <w:vAlign w:val="center"/>
          </w:tcPr>
          <w:p>
            <w:pPr>
              <w:pStyle w:val="11"/>
            </w:pPr>
            <w:r>
              <w:t>11.11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6.58</w:t>
            </w:r>
          </w:p>
        </w:tc>
        <w:tc>
          <w:tcPr>
            <w:tcW w:w="2551" w:type="dxa"/>
            <w:vAlign w:val="center"/>
          </w:tcPr>
          <w:p>
            <w:pPr>
              <w:pStyle w:val="11"/>
            </w:pPr>
            <w:r>
              <w:t>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6.58</w:t>
            </w:r>
          </w:p>
        </w:tc>
        <w:tc>
          <w:tcPr>
            <w:tcW w:w="2551" w:type="dxa"/>
            <w:vAlign w:val="center"/>
          </w:tcPr>
          <w:p>
            <w:pPr>
              <w:pStyle w:val="11"/>
            </w:pPr>
            <w:r>
              <w:t>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4.38</w:t>
            </w:r>
          </w:p>
        </w:tc>
        <w:tc>
          <w:tcPr>
            <w:tcW w:w="2551" w:type="dxa"/>
            <w:vAlign w:val="center"/>
          </w:tcPr>
          <w:p>
            <w:pPr>
              <w:pStyle w:val="11"/>
            </w:pPr>
            <w:r>
              <w:t>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9.69</w:t>
            </w:r>
          </w:p>
        </w:tc>
        <w:tc>
          <w:tcPr>
            <w:tcW w:w="2551" w:type="dxa"/>
            <w:vAlign w:val="center"/>
          </w:tcPr>
          <w:p>
            <w:pPr>
              <w:pStyle w:val="11"/>
            </w:pPr>
            <w:r>
              <w:t>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9.69</w:t>
            </w:r>
          </w:p>
        </w:tc>
        <w:tc>
          <w:tcPr>
            <w:tcW w:w="2551" w:type="dxa"/>
            <w:vAlign w:val="center"/>
          </w:tcPr>
          <w:p>
            <w:pPr>
              <w:pStyle w:val="11"/>
            </w:pPr>
            <w:r>
              <w:t>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9.69</w:t>
            </w:r>
          </w:p>
        </w:tc>
        <w:tc>
          <w:tcPr>
            <w:tcW w:w="2551" w:type="dxa"/>
            <w:vAlign w:val="center"/>
          </w:tcPr>
          <w:p>
            <w:pPr>
              <w:pStyle w:val="11"/>
            </w:pPr>
            <w:r>
              <w:t>9.69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168.67</w:t>
            </w:r>
          </w:p>
        </w:tc>
        <w:tc>
          <w:tcPr>
            <w:tcW w:w="2551" w:type="dxa"/>
            <w:vAlign w:val="center"/>
          </w:tcPr>
          <w:p>
            <w:pPr>
              <w:pStyle w:val="15"/>
            </w:pPr>
            <w:r>
              <w:t>117.45</w:t>
            </w:r>
          </w:p>
        </w:tc>
        <w:tc>
          <w:tcPr>
            <w:tcW w:w="2551" w:type="dxa"/>
            <w:vAlign w:val="center"/>
          </w:tcPr>
          <w:p>
            <w:pPr>
              <w:pStyle w:val="15"/>
            </w:pPr>
            <w:r>
              <w:t>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103.02</w:t>
            </w:r>
          </w:p>
        </w:tc>
        <w:tc>
          <w:tcPr>
            <w:tcW w:w="2551" w:type="dxa"/>
            <w:vAlign w:val="center"/>
          </w:tcPr>
          <w:p>
            <w:pPr>
              <w:pStyle w:val="11"/>
            </w:pPr>
            <w:r>
              <w:t>103.02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43.57</w:t>
            </w:r>
          </w:p>
        </w:tc>
        <w:tc>
          <w:tcPr>
            <w:tcW w:w="2551" w:type="dxa"/>
            <w:vAlign w:val="center"/>
          </w:tcPr>
          <w:p>
            <w:pPr>
              <w:pStyle w:val="11"/>
            </w:pPr>
            <w:r>
              <w:t>43.57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10.19</w:t>
            </w:r>
          </w:p>
        </w:tc>
        <w:tc>
          <w:tcPr>
            <w:tcW w:w="2551" w:type="dxa"/>
            <w:vAlign w:val="center"/>
          </w:tcPr>
          <w:p>
            <w:pPr>
              <w:pStyle w:val="11"/>
            </w:pPr>
            <w:r>
              <w:t>10.19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11.23</w:t>
            </w:r>
          </w:p>
        </w:tc>
        <w:tc>
          <w:tcPr>
            <w:tcW w:w="2551" w:type="dxa"/>
            <w:vAlign w:val="center"/>
          </w:tcPr>
          <w:p>
            <w:pPr>
              <w:pStyle w:val="11"/>
            </w:pPr>
            <w:r>
              <w:t>11.23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11.11</w:t>
            </w:r>
          </w:p>
        </w:tc>
        <w:tc>
          <w:tcPr>
            <w:tcW w:w="2551" w:type="dxa"/>
            <w:vAlign w:val="center"/>
          </w:tcPr>
          <w:p>
            <w:pPr>
              <w:pStyle w:val="11"/>
            </w:pPr>
            <w:r>
              <w:t>11.11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4.38</w:t>
            </w:r>
          </w:p>
        </w:tc>
        <w:tc>
          <w:tcPr>
            <w:tcW w:w="2551" w:type="dxa"/>
            <w:vAlign w:val="center"/>
          </w:tcPr>
          <w:p>
            <w:pPr>
              <w:pStyle w:val="11"/>
            </w:pPr>
            <w:r>
              <w:t>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9.69</w:t>
            </w:r>
          </w:p>
        </w:tc>
        <w:tc>
          <w:tcPr>
            <w:tcW w:w="2551" w:type="dxa"/>
            <w:vAlign w:val="center"/>
          </w:tcPr>
          <w:p>
            <w:pPr>
              <w:pStyle w:val="11"/>
            </w:pPr>
            <w:r>
              <w:t>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51.22</w:t>
            </w:r>
          </w:p>
        </w:tc>
        <w:tc>
          <w:tcPr>
            <w:tcW w:w="2551" w:type="dxa"/>
            <w:vAlign w:val="center"/>
          </w:tcPr>
          <w:p>
            <w:pPr>
              <w:pStyle w:val="11"/>
            </w:pPr>
          </w:p>
        </w:tc>
        <w:tc>
          <w:tcPr>
            <w:tcW w:w="2551" w:type="dxa"/>
            <w:vAlign w:val="center"/>
          </w:tcPr>
          <w:p>
            <w:pPr>
              <w:pStyle w:val="11"/>
            </w:pPr>
            <w:r>
              <w:t>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2.47</w:t>
            </w:r>
          </w:p>
        </w:tc>
        <w:tc>
          <w:tcPr>
            <w:tcW w:w="2551" w:type="dxa"/>
            <w:vAlign w:val="center"/>
          </w:tcPr>
          <w:p>
            <w:pPr>
              <w:pStyle w:val="11"/>
            </w:pPr>
          </w:p>
        </w:tc>
        <w:tc>
          <w:tcPr>
            <w:tcW w:w="2551"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4.03</w:t>
            </w:r>
          </w:p>
        </w:tc>
        <w:tc>
          <w:tcPr>
            <w:tcW w:w="2551" w:type="dxa"/>
            <w:vAlign w:val="center"/>
          </w:tcPr>
          <w:p>
            <w:pPr>
              <w:pStyle w:val="11"/>
            </w:pPr>
          </w:p>
        </w:tc>
        <w:tc>
          <w:tcPr>
            <w:tcW w:w="2551" w:type="dxa"/>
            <w:vAlign w:val="center"/>
          </w:tcPr>
          <w:p>
            <w:pPr>
              <w:pStyle w:val="11"/>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14.43</w:t>
            </w:r>
          </w:p>
        </w:tc>
        <w:tc>
          <w:tcPr>
            <w:tcW w:w="2551" w:type="dxa"/>
            <w:vAlign w:val="center"/>
          </w:tcPr>
          <w:p>
            <w:pPr>
              <w:pStyle w:val="11"/>
            </w:pPr>
            <w:r>
              <w:t>14.43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0.73</w:t>
            </w:r>
          </w:p>
        </w:tc>
        <w:tc>
          <w:tcPr>
            <w:tcW w:w="2551" w:type="dxa"/>
            <w:vAlign w:val="center"/>
          </w:tcPr>
          <w:p>
            <w:pPr>
              <w:pStyle w:val="11"/>
            </w:pPr>
            <w:r>
              <w:t>0.73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318003赞皇县收费服务中心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赞皇县收费服务中心2026年单位预算信息公开情况说明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按照《中华人民共和国预算法》、《地方预决算公开操作规程》和《关于进一步推进预算公开工作的实施意见》规定，现将赞皇县收费服务中心2026年单位预算公开如下：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（一）负责全县非税收入征收管理工作以及财政票据的领取、发放、使用和核销工作。</w:t>
      </w:r>
    </w:p>
    <w:p>
      <w:pPr>
        <w:pStyle w:val="17"/>
      </w:pPr>
      <w:r>
        <w:t>（二）负责监督检查执收执罚单位的收支入库情况，查处资金管理中的违纪违法行为。对罚没许可证协助法制办进行年检。</w:t>
      </w:r>
    </w:p>
    <w:p>
      <w:pPr>
        <w:pStyle w:val="17"/>
      </w:pPr>
      <w:r>
        <w:t>（三）通过日常稽查、专项稽查、收支两条线检查，杜绝截留、坐支、挪用收费资金和私设小金库行为。查处来信来访反映的“三乱”问题处理结果达到群众满意。</w:t>
      </w:r>
    </w:p>
    <w:p>
      <w:pPr>
        <w:pStyle w:val="17"/>
      </w:pPr>
      <w:r>
        <w:t>（四）完成县委、县政府交办的其他任务。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赞皇县收费服务中心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168.67万元，其中：一般公共预算收入168.67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赞皇县收费服务中心年度单位预算中支出预算的总体情况。2026年支出预算168.67万元，其中基本支出168.67万元，包括人员经费117.45万元和日常公用经费51.22万元；项目支出0.00万元，主要为2026年无年初预算项目安排。；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168.67万元，较2025年预算减少5.11万元，其中：基本支出减少5.11万元，主要为单位人员调资。项目支出增加0.00万元，主要为与2025年持平，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2026年，我单位机关运行经费共计安排51.22万元，主要用于日常维修、办公用房水电费、办公用房取暖费、办公用房物业管理费等日常运行支出。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0.28万元，其中因公出国（境）费0万元； 公务用车购置及运维费0万元（其中：公务用车购置费为0万元，公务用车运维费0万元)； 公务接待费0.28万元。与2025年相比减少0.02万元， 增减变化的主要原因是：因公出国（境）费0万元，与上年持平，无增减变化； 公务用车购置及运维费0万元（其中：公务用车购置费为0万元，公务用车运维费0万元)，与上年持平，无增减变化； 公务接待费0.28万元，比2025年减少0.02万元，原因是2026年我单位公务接待费年初预算需求减少。</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（一）总体绩效目标</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1、通过日常稽查、专项稽查、收支两条线检查，杜绝截留、坐支、挪用收费资金和私设小金库行为。查处来信来访反映的“三乱”问题处理结果达到群众满意。2、非税收入征收入库能完成既定目标；财政票据的管理达到“验旧领新，限量发放，票款同行”管理目标。3、负责监督检查执收执罚单位的收支入库情况，查处资金管理中的违纪违法行为。对罚没许可证协助法制办进全部行年检。</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（二）分项绩效目标</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1、征收管理</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绩效目标：通过征收管理促进非税收入及时、足额缴入国库的质量和效率</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绩效指标：已征收的收费资金占全部计划的比率达到90%以上。</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2、财政票据管理</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绩效目标：通过财政票据管理，确保非税收入征收工作正常运行。</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绩效指标：已完成财政票据工作占应完成计划工作的比率达到90%以上。</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3、业务学习活动</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绩效目标：提高干部业务能力。</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绩效指标：组织本单位干部业务学习不低于10次。</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（三）工作保障措施</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1、强化责任意识，加强组织领导。要求全局干部职工要切实增强政治敏感性和政治责任感，把做好非税收入工作作为头等重要的政治任务来抓。对工作进行认真的研究，分析形势，查找问题，制定工作措施。领导班子成员要靠前指挥，具体负责，集中精力、集中时间对各项工作措施进行分解，明确牵头科室和责任人员，明确工作时限，推动工作落实。</w:t>
      </w:r>
    </w:p>
    <w:p>
      <w:pPr>
        <w:pStyle w:val="17"/>
        <w:rPr>
          <w:rFonts w:ascii="Times New Roman" w:hAnsi="Times New Roman" w:eastAsia="方正仿宋_GBK" w:cs="Times New Roman"/>
          <w:sz w:val="28"/>
          <w:szCs w:val="22"/>
        </w:rPr>
      </w:pPr>
      <w:r>
        <w:rPr>
          <w:rFonts w:ascii="Times New Roman" w:hAnsi="Times New Roman" w:eastAsia="方正仿宋_GBK" w:cs="Times New Roman"/>
          <w:sz w:val="28"/>
          <w:szCs w:val="22"/>
        </w:rPr>
        <w:t>2、加强督导检查，确保措施落实。对各项工作任务完成情况，每周进行一次督导检查，对工作情况建立台账，对工作效果不明显、成绩落后的人员，要在全局周例会上说明情况，并制定工作措施。对长期工作落后，不能按要求完成工作任务的，调整工作岗位。</w:t>
      </w:r>
    </w:p>
    <w:p>
      <w:pPr>
        <w:pStyle w:val="20"/>
        <w:rPr>
          <w:rFonts w:hint="eastAsia" w:ascii="Times New Roman" w:hAnsi="Times New Roman" w:eastAsia="方正仿宋_GBK" w:cs="Times New Roman"/>
          <w:sz w:val="28"/>
          <w:szCs w:val="22"/>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2"/>
        </w:rPr>
        <w:t>3、严肃工作纪律，严格责任追究。对因不作为、乱作为和责任不落实等工作原因，不能完成工作任务的，要进行责任倒查，造成不良影响和严重后果的，提交纪检监察机关</w:t>
      </w:r>
      <w:r>
        <w:rPr>
          <w:rFonts w:hint="eastAsia" w:cs="Times New Roman"/>
          <w:sz w:val="28"/>
          <w:szCs w:val="22"/>
          <w:lang w:eastAsia="zh-CN"/>
        </w:rPr>
        <w:t>。</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318003赞皇县收费服务中心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赞皇县收费服务中心上年末固定资产金额为126.38万元（详见下表）。本年度拟购置固定资产总额为0.00万元，已按要求列入政府采购预算，详见政府采购预算表。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318003赞皇县收费服务中心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方正书宋_GBK"/>
                <w:lang w:val="en-US" w:eastAsia="zh-CN"/>
              </w:rPr>
            </w:pPr>
            <w:r>
              <w:t>126.3</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1556.75</w:t>
            </w:r>
          </w:p>
        </w:tc>
        <w:tc>
          <w:tcPr>
            <w:tcW w:w="2835" w:type="dxa"/>
            <w:vAlign w:val="center"/>
          </w:tcPr>
          <w:p>
            <w:pPr>
              <w:pStyle w:val="11"/>
            </w:pPr>
            <w:r>
              <w:t>104.99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1476.75</w:t>
            </w:r>
          </w:p>
        </w:tc>
        <w:tc>
          <w:tcPr>
            <w:tcW w:w="2835" w:type="dxa"/>
            <w:vAlign w:val="center"/>
          </w:tcPr>
          <w:p>
            <w:pPr>
              <w:pStyle w:val="11"/>
            </w:pPr>
            <w:r>
              <w:rPr>
                <w:rFonts w:hint="eastAsia"/>
                <w:lang w:val="en-US" w:eastAsia="zh-CN"/>
              </w:rP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111</w:t>
            </w:r>
          </w:p>
        </w:tc>
        <w:tc>
          <w:tcPr>
            <w:tcW w:w="2835" w:type="dxa"/>
            <w:vAlign w:val="center"/>
          </w:tcPr>
          <w:p>
            <w:pPr>
              <w:pStyle w:val="11"/>
              <w:rPr>
                <w:rFonts w:hint="eastAsia" w:eastAsia="方正书宋_GBK"/>
                <w:lang w:val="en-US" w:eastAsia="zh-CN"/>
              </w:rPr>
            </w:pPr>
            <w:r>
              <w:t>21.3</w:t>
            </w:r>
            <w:r>
              <w:rPr>
                <w:rFonts w:hint="eastAsia"/>
                <w:lang w:val="en-US" w:eastAsia="zh-CN"/>
              </w:rPr>
              <w:t>8</w:t>
            </w:r>
            <w:bookmarkStart w:id="1" w:name="_GoBack"/>
            <w:bookmarkEnd w:id="1"/>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F6FFCE"/>
    <w:multiLevelType w:val="singleLevel"/>
    <w:tmpl w:val="ECF6FFC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4E6EA543"/>
    <w:rsid w:val="6D368812"/>
    <w:rsid w:val="7FE796A8"/>
    <w:rsid w:val="ADED5EA4"/>
    <w:rsid w:val="D57E49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85</Pages>
  <TotalTime>11</TotalTime>
  <ScaleCrop>false</ScaleCrop>
  <LinksUpToDate>false</LinksUpToDate>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2026-02-03T08:58:00Z</dcterms:created>
  <dc:creator>uos</dc:creator>
  <cp:lastModifiedBy>uos</cp:lastModifiedBy>
  <dcterms:modified xsi:type="dcterms:W3CDTF">2026-02-12T10:15:29Z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