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9A7806">
      <w:pPr>
        <w:keepNext w:val="0"/>
        <w:keepLines w:val="0"/>
        <w:pageBreakBefore w:val="0"/>
        <w:widowControl w:val="0"/>
        <w:kinsoku/>
        <w:wordWrap/>
        <w:overflowPunct/>
        <w:topLinePunct w:val="0"/>
        <w:autoSpaceDE w:val="0"/>
        <w:autoSpaceDN w:val="0"/>
        <w:bidi w:val="0"/>
        <w:adjustRightInd/>
        <w:snapToGrid/>
        <w:spacing w:before="0" w:line="1145" w:lineRule="exact"/>
        <w:ind w:right="0"/>
        <w:jc w:val="distribute"/>
        <w:textAlignment w:val="auto"/>
        <w:rPr>
          <w:rFonts w:hint="eastAsia" w:ascii="方正小标宋简体" w:eastAsia="方正小标宋简体"/>
          <w:sz w:val="72"/>
          <w:lang w:eastAsia="zh-CN"/>
        </w:rPr>
      </w:pPr>
      <w:r>
        <w:rPr>
          <w:rFonts w:hint="eastAsia" w:ascii="方正小标宋简体" w:eastAsia="方正小标宋简体"/>
          <w:color w:val="FF0000"/>
          <w:sz w:val="96"/>
          <w:szCs w:val="96"/>
          <w:lang w:val="en-US" w:eastAsia="zh-CN"/>
        </w:rPr>
        <w:t>赞皇县</w:t>
      </w:r>
      <w:r>
        <w:rPr>
          <w:rFonts w:hint="eastAsia" w:ascii="方正小标宋简体" w:eastAsia="方正小标宋简体"/>
          <w:color w:val="FF0000"/>
          <w:sz w:val="96"/>
          <w:szCs w:val="96"/>
        </w:rPr>
        <w:t>司法局</w:t>
      </w:r>
      <w:r>
        <w:rPr>
          <w:rFonts w:hint="eastAsia" w:ascii="方正小标宋简体" w:eastAsia="方正小标宋简体"/>
          <w:b w:val="0"/>
          <w:bCs w:val="0"/>
          <w:color w:val="FF0000"/>
          <w:sz w:val="96"/>
          <w:szCs w:val="96"/>
          <w:lang w:eastAsia="zh-CN"/>
        </w:rPr>
        <w:t>文件</w:t>
      </w:r>
    </w:p>
    <w:p w14:paraId="7AD87E81">
      <w:pPr>
        <w:pStyle w:val="3"/>
        <w:spacing w:before="5"/>
        <w:ind w:left="0"/>
        <w:rPr>
          <w:rFonts w:ascii="方正小标宋简体"/>
          <w:sz w:val="15"/>
        </w:rPr>
      </w:pPr>
      <w:r>
        <w:rPr>
          <w:rFonts w:hint="default" w:ascii="方正小标宋简体" w:eastAsia="方正小标宋简体"/>
          <w:color w:val="FF0000"/>
          <w:sz w:val="96"/>
          <w:szCs w:val="96"/>
          <w:lang w:val="en-US"/>
        </w:rPr>
        <mc:AlternateContent>
          <mc:Choice Requires="wpg">
            <w:drawing>
              <wp:anchor distT="0" distB="0" distL="114300" distR="114300" simplePos="0" relativeHeight="251660288" behindDoc="1" locked="0" layoutInCell="1" allowOverlap="1">
                <wp:simplePos x="0" y="0"/>
                <wp:positionH relativeFrom="page">
                  <wp:posOffset>987425</wp:posOffset>
                </wp:positionH>
                <wp:positionV relativeFrom="paragraph">
                  <wp:posOffset>23495</wp:posOffset>
                </wp:positionV>
                <wp:extent cx="5582920" cy="48260"/>
                <wp:effectExtent l="0" t="0" r="17780" b="8890"/>
                <wp:wrapNone/>
                <wp:docPr id="3" name="组合 2"/>
                <wp:cNvGraphicFramePr/>
                <a:graphic xmlns:a="http://schemas.openxmlformats.org/drawingml/2006/main">
                  <a:graphicData uri="http://schemas.microsoft.com/office/word/2010/wordprocessingGroup">
                    <wpg:wgp>
                      <wpg:cNvGrpSpPr/>
                      <wpg:grpSpPr>
                        <a:xfrm>
                          <a:off x="0" y="0"/>
                          <a:ext cx="5582920" cy="48260"/>
                          <a:chOff x="1555" y="1067"/>
                          <a:chExt cx="8792" cy="76"/>
                        </a:xfrm>
                      </wpg:grpSpPr>
                      <wps:wsp>
                        <wps:cNvPr id="1" name="直线 3"/>
                        <wps:cNvCnPr/>
                        <wps:spPr>
                          <a:xfrm>
                            <a:off x="1555" y="1090"/>
                            <a:ext cx="8792" cy="0"/>
                          </a:xfrm>
                          <a:prstGeom prst="line">
                            <a:avLst/>
                          </a:prstGeom>
                          <a:ln w="29210" cap="flat" cmpd="sng">
                            <a:solidFill>
                              <a:srgbClr val="FF0000"/>
                            </a:solidFill>
                            <a:prstDash val="solid"/>
                            <a:headEnd type="none" w="med" len="med"/>
                            <a:tailEnd type="none" w="med" len="med"/>
                          </a:ln>
                        </wps:spPr>
                        <wps:bodyPr upright="1"/>
                      </wps:wsp>
                      <wps:wsp>
                        <wps:cNvPr id="2" name="直线 4"/>
                        <wps:cNvCnPr/>
                        <wps:spPr>
                          <a:xfrm>
                            <a:off x="1555" y="1135"/>
                            <a:ext cx="8792" cy="0"/>
                          </a:xfrm>
                          <a:prstGeom prst="line">
                            <a:avLst/>
                          </a:prstGeom>
                          <a:ln w="10160" cap="flat" cmpd="sng">
                            <a:solidFill>
                              <a:srgbClr val="FF0000"/>
                            </a:solidFill>
                            <a:prstDash val="solid"/>
                            <a:headEnd type="none" w="med" len="med"/>
                            <a:tailEnd type="none" w="med" len="med"/>
                          </a:ln>
                        </wps:spPr>
                        <wps:bodyPr upright="1"/>
                      </wps:wsp>
                    </wpg:wgp>
                  </a:graphicData>
                </a:graphic>
              </wp:anchor>
            </w:drawing>
          </mc:Choice>
          <mc:Fallback>
            <w:pict>
              <v:group id="组合 2" o:spid="_x0000_s1026" o:spt="203" style="position:absolute;left:0pt;margin-left:77.75pt;margin-top:1.85pt;height:3.8pt;width:439.6pt;mso-position-horizontal-relative:page;z-index:-251656192;mso-width-relative:page;mso-height-relative:page;" coordorigin="1555,1067" coordsize="8792,76" o:gfxdata="UEsDBAoAAAAAAIdO4kAAAAAAAAAAAAAAAAAEAAAAZHJzL1BLAwQUAAAACACHTuJA96siptgAAAAJ&#10;AQAADwAAAGRycy9kb3ducmV2LnhtbE2PQUvDQBCF74L/YRnBm92NMVpiNkWKeipCW0F6m2anSWh2&#10;N2S3SfvvnZ709h7v8eabYnG2nRhpCK13GpKZAkGu8qZ1tYbv7cfDHESI6Ax23pGGCwVYlLc3BebG&#10;T25N4ybWgkdcyFFDE2OfSxmqhiyGme/JcXbwg8XIdqilGXDicdvJR6WepcXW8YUGe1o2VB03J6vh&#10;c8LpLU3ex9XxsLzsttnXzyohre/vEvUKItI5/pXhis/oUDLT3p+cCaJjn2UZVzWkLyCuuUqfWO1Z&#10;JSnIspD/Pyh/AVBLAwQUAAAACACHTuJALVu2coUCAAANBwAADgAAAGRycy9lMm9Eb2MueG1s5ZW9&#10;chMxEMd7ZngHjXpyH4kd+ybnFHGchoHMBB5A0enuNKOvkWSf3VNQ0vMaVFDkaZi8Bivp4oRAEWCg&#10;wcVZp5VW+//tau/kdCsF2jDruFY1Lg5yjJiiuuGqq/HbN6sXM4ycJ6ohQitW4x1z+HTx/NnJYCpW&#10;6l6LhlkETpSrBlPj3ntTZZmjPZPEHWjDFBhbbSXx8Gq7rLFkAO9SZGWeT7NB28ZYTZlzMLtMRjx6&#10;tE9xqNuWU7bUdC2Z8smrZYJ4kOR6bhxexGjbllH/um0d80jUGJT6+IRDYHwdntnihFSdJabndAyB&#10;PCWER5ok4QoO3btaEk/Q2vIfXElOrXa69QdUyywJiURARZE/YnNh9dpELV01dGYPHRL1iPpvu6Wv&#10;NpcW8abGhxgpIiHht1/eff3wHpWBzWC6CpZcWHNlLu040aW3IHfbWhn+QQjaRqq7PVW29YjC5GQy&#10;K+clAKdgO5qV05E67SE1YVcxmUwwAmORT49TRmh/Pu6eHc/LtPV4GmzZ3aFZiG0fymCgGt09Ivdn&#10;iK56Ylgk74L+EVGxR/Tx0+3nG3SYEMUlZ2rk4yoHqH4C54HM+YjgDtG9yGjYaySVsc5fMC1RGNRY&#10;cBXCIhXZvHQ+4bhbEqaFQkONAXcReBO4ni1cCxhKAyl2qoubnRa8WXEhwhZnu+szYdGGwBVZrXL4&#10;jZy/WxZOWRLXp3XRlFLVM9Kcqwb5nYHiUdAzcIhBsgYjwaDFhBFESipPuHjKSpAvFGQ65DSxDKNr&#10;3ewgD2tjedcDiiJGOeY9VOo/KACoxPGOpAI4CjGEk6FGfqUAisNJQvKXCqDIC7hl/1cBxH4AXTK2&#10;iLGjhzb88D0W1f1XbPE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96siptgAAAAJAQAADwAAAAAA&#10;AAABACAAAAAiAAAAZHJzL2Rvd25yZXYueG1sUEsBAhQAFAAAAAgAh07iQC1btnKFAgAADQcAAA4A&#10;AAAAAAAAAQAgAAAAJwEAAGRycy9lMm9Eb2MueG1sUEsFBgAAAAAGAAYAWQEAAB4GAAAAAA==&#10;">
                <o:lock v:ext="edit" aspectratio="f"/>
                <v:line id="直线 3" o:spid="_x0000_s1026" o:spt="20" style="position:absolute;left:1555;top:1090;height:0;width:8792;" filled="f" stroked="t" coordsize="21600,21600" o:gfxdata="UEsDBAoAAAAAAIdO4kAAAAAAAAAAAAAAAAAEAAAAZHJzL1BLAwQUAAAACACHTuJA3q2s7LUAAADa&#10;AAAADwAAAGRycy9kb3ducmV2LnhtbEVPzYrCMBC+C75DGGFvmlRWkWoUEcS9idUHGJqxLTaT0sRa&#10;ffqNIHgaPr7fWW16W4uOWl851pBMFAji3JmKCw2X8368AOEDssHaMWl4kofNejhYYWrcg0/UZaEQ&#10;MYR9ihrKEJpUSp+XZNFPXEMcuatrLYYI20KaFh8x3NZyqtRcWqw4NpTY0K6k/JbdrQb32x+32Tx5&#10;HRIz84FcJ3vVaf0zStQSRKA+fMUf95+J8+H9yvvK9T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3q2s7LUAAADaAAAADwAA&#10;AAAAAAABACAAAAAiAAAAZHJzL2Rvd25yZXYueG1sUEsBAhQAFAAAAAgAh07iQDMvBZ47AAAAOQAA&#10;ABAAAAAAAAAAAQAgAAAABAEAAGRycy9zaGFwZXhtbC54bWxQSwUGAAAAAAYABgBbAQAArgMAAAAA&#10;">
                  <v:fill on="f" focussize="0,0"/>
                  <v:stroke weight="2.3pt" color="#FF0000" joinstyle="round"/>
                  <v:imagedata o:title=""/>
                  <o:lock v:ext="edit" aspectratio="f"/>
                </v:line>
                <v:line id="直线 4" o:spid="_x0000_s1026" o:spt="20" style="position:absolute;left:1555;top:1135;height:0;width:8792;" filled="f" stroked="t" coordsize="21600,21600" o:gfxdata="UEsDBAoAAAAAAIdO4kAAAAAAAAAAAAAAAAAEAAAAZHJzL1BLAwQUAAAACACHTuJA4bu6Rb8AAADa&#10;AAAADwAAAGRycy9kb3ducmV2LnhtbEWPzWvCQBTE74L/w/IKXkQ3ycGP6OpBaBuhFD8KvT6yzyQ0&#10;+zZkt4n617uFgsdhZn7DrLdXU4uOWldZVhBPIxDEudUVFwq+zq+TBQjnkTXWlknBjRxsN8PBGlNt&#10;ez5Sd/KFCBB2KSoovW9SKV1ekkE3tQ1x8C62NeiDbAupW+wD3NQyiaKZNFhxWCixoV1J+c/p1yiQ&#10;38vsI67H8fm4NPP9/PNwf387KDV6iaMVCE9X/wz/tzOtIIG/K+EGyM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7ukW/&#10;AAAA2gAAAA8AAAAAAAAAAQAgAAAAIgAAAGRycy9kb3ducmV2LnhtbFBLAQIUABQAAAAIAIdO4kAz&#10;LwWeOwAAADkAAAAQAAAAAAAAAAEAIAAAAA4BAABkcnMvc2hhcGV4bWwueG1sUEsFBgAAAAAGAAYA&#10;WwEAALgDAAAAAA==&#10;">
                  <v:fill on="f" focussize="0,0"/>
                  <v:stroke weight="0.8pt" color="#FF0000" joinstyle="round"/>
                  <v:imagedata o:title=""/>
                  <o:lock v:ext="edit" aspectratio="f"/>
                </v:line>
              </v:group>
            </w:pict>
          </mc:Fallback>
        </mc:AlternateContent>
      </w:r>
    </w:p>
    <w:p w14:paraId="5E83B63B">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2026-4</w:t>
      </w:r>
    </w:p>
    <w:p w14:paraId="59C7C608">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赞皇县司法局</w:t>
      </w:r>
    </w:p>
    <w:p w14:paraId="14F42C5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rPr>
        <w:t>关于设立</w:t>
      </w:r>
      <w:r>
        <w:rPr>
          <w:rFonts w:hint="eastAsia" w:ascii="方正小标宋简体" w:hAnsi="方正小标宋简体" w:eastAsia="方正小标宋简体" w:cs="方正小标宋简体"/>
          <w:color w:val="auto"/>
          <w:sz w:val="44"/>
          <w:szCs w:val="44"/>
          <w:lang w:eastAsia="zh-CN"/>
        </w:rPr>
        <w:t>全县第二批</w:t>
      </w:r>
      <w:r>
        <w:rPr>
          <w:rFonts w:hint="eastAsia" w:ascii="方正小标宋简体" w:hAnsi="方正小标宋简体" w:eastAsia="方正小标宋简体" w:cs="方正小标宋简体"/>
          <w:color w:val="auto"/>
          <w:sz w:val="44"/>
          <w:szCs w:val="44"/>
        </w:rPr>
        <w:t>行政执法企业监测点的公告</w:t>
      </w:r>
    </w:p>
    <w:p w14:paraId="2EF43449">
      <w:pPr>
        <w:keepNext w:val="0"/>
        <w:keepLines w:val="0"/>
        <w:pageBreakBefore w:val="0"/>
        <w:kinsoku/>
        <w:wordWrap/>
        <w:overflowPunct/>
        <w:topLinePunct w:val="0"/>
        <w:autoSpaceDE/>
        <w:autoSpaceDN/>
        <w:bidi w:val="0"/>
        <w:adjustRightInd/>
        <w:snapToGrid/>
        <w:spacing w:line="570" w:lineRule="exact"/>
        <w:jc w:val="center"/>
        <w:rPr>
          <w:rFonts w:hint="eastAsia" w:ascii="方正小标宋简体" w:hAnsi="方正小标宋简体" w:eastAsia="方正小标宋简体" w:cs="方正小标宋简体"/>
          <w:color w:val="auto"/>
          <w:sz w:val="44"/>
          <w:szCs w:val="44"/>
        </w:rPr>
      </w:pPr>
    </w:p>
    <w:p w14:paraId="4D8E423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left="0" w:right="0" w:firstLine="675"/>
        <w:jc w:val="both"/>
        <w:textAlignment w:val="auto"/>
        <w:rPr>
          <w:rFonts w:hint="eastAsia" w:ascii="仿宋_GB2312" w:hAnsi="仿宋_GB2312" w:eastAsia="仿宋_GB2312" w:cs="仿宋_GB2312"/>
          <w:i w:val="0"/>
          <w:iCs w:val="0"/>
          <w:caps w:val="0"/>
          <w:color w:val="auto"/>
          <w:spacing w:val="8"/>
          <w:sz w:val="32"/>
          <w:szCs w:val="32"/>
          <w:shd w:val="clear" w:color="auto" w:fill="FFFFFF"/>
          <w:lang w:eastAsia="zh-CN"/>
        </w:rPr>
      </w:pPr>
      <w:r>
        <w:rPr>
          <w:rFonts w:hint="eastAsia" w:ascii="仿宋_GB2312" w:hAnsi="仿宋_GB2312" w:eastAsia="仿宋_GB2312" w:cs="仿宋_GB2312"/>
          <w:i w:val="0"/>
          <w:iCs w:val="0"/>
          <w:caps w:val="0"/>
          <w:color w:val="auto"/>
          <w:spacing w:val="8"/>
          <w:sz w:val="32"/>
          <w:szCs w:val="32"/>
          <w:shd w:val="clear" w:color="auto" w:fill="FFFFFF"/>
        </w:rPr>
        <w:t>为进一步加强行政执法监督工作，充分发挥社会监督对行政执法活动的监督作用，聚焦打造</w:t>
      </w:r>
      <w:r>
        <w:rPr>
          <w:rFonts w:hint="eastAsia" w:ascii="仿宋_GB2312" w:hAnsi="仿宋_GB2312" w:eastAsia="仿宋_GB2312" w:cs="仿宋_GB2312"/>
          <w:i w:val="0"/>
          <w:iCs w:val="0"/>
          <w:caps w:val="0"/>
          <w:color w:val="auto"/>
          <w:spacing w:val="8"/>
          <w:sz w:val="32"/>
          <w:szCs w:val="32"/>
          <w:shd w:val="clear" w:color="auto" w:fill="FFFFFF"/>
          <w:lang w:eastAsia="zh-CN"/>
        </w:rPr>
        <w:t>严格规范公正文明</w:t>
      </w:r>
      <w:r>
        <w:rPr>
          <w:rFonts w:hint="eastAsia" w:ascii="仿宋_GB2312" w:hAnsi="仿宋_GB2312" w:eastAsia="仿宋_GB2312" w:cs="仿宋_GB2312"/>
          <w:i w:val="0"/>
          <w:iCs w:val="0"/>
          <w:caps w:val="0"/>
          <w:color w:val="auto"/>
          <w:spacing w:val="8"/>
          <w:sz w:val="32"/>
          <w:szCs w:val="32"/>
          <w:shd w:val="clear" w:color="auto" w:fill="FFFFFF"/>
        </w:rPr>
        <w:t>的行政执法环境，全面推进</w:t>
      </w:r>
      <w:r>
        <w:rPr>
          <w:rFonts w:hint="eastAsia" w:ascii="仿宋_GB2312" w:hAnsi="仿宋_GB2312" w:eastAsia="仿宋_GB2312" w:cs="仿宋_GB2312"/>
          <w:i w:val="0"/>
          <w:iCs w:val="0"/>
          <w:caps w:val="0"/>
          <w:color w:val="auto"/>
          <w:spacing w:val="8"/>
          <w:sz w:val="32"/>
          <w:szCs w:val="32"/>
          <w:shd w:val="clear" w:color="auto" w:fill="FFFFFF"/>
          <w:lang w:eastAsia="zh-CN"/>
        </w:rPr>
        <w:t>法治化营商环境建设，按照</w:t>
      </w:r>
      <w:r>
        <w:rPr>
          <w:rFonts w:hint="eastAsia" w:ascii="仿宋_GB2312" w:hAnsi="仿宋_GB2312" w:eastAsia="仿宋_GB2312" w:cs="仿宋_GB2312"/>
          <w:i w:val="0"/>
          <w:iCs w:val="0"/>
          <w:caps w:val="0"/>
          <w:color w:val="auto"/>
          <w:spacing w:val="8"/>
          <w:sz w:val="32"/>
          <w:szCs w:val="32"/>
          <w:shd w:val="clear" w:color="auto" w:fill="FFFFFF"/>
          <w:lang w:val="en-US" w:eastAsia="zh-CN"/>
        </w:rPr>
        <w:t>河北省规范涉企行政执法专项行动</w:t>
      </w:r>
      <w:r>
        <w:rPr>
          <w:rFonts w:hint="eastAsia" w:ascii="仿宋_GB2312" w:hAnsi="仿宋_GB2312" w:eastAsia="仿宋_GB2312" w:cs="仿宋_GB2312"/>
          <w:i w:val="0"/>
          <w:iCs w:val="0"/>
          <w:caps w:val="0"/>
          <w:color w:val="auto"/>
          <w:spacing w:val="0"/>
          <w:sz w:val="32"/>
          <w:szCs w:val="32"/>
          <w:shd w:val="clear" w:color="auto" w:fill="FFFFFF"/>
        </w:rPr>
        <w:t>有关要求</w:t>
      </w:r>
      <w:r>
        <w:rPr>
          <w:rFonts w:hint="eastAsia" w:ascii="仿宋_GB2312" w:hAnsi="仿宋_GB2312" w:eastAsia="仿宋_GB2312" w:cs="仿宋_GB2312"/>
          <w:i w:val="0"/>
          <w:iCs w:val="0"/>
          <w:caps w:val="0"/>
          <w:color w:val="auto"/>
          <w:spacing w:val="0"/>
          <w:sz w:val="32"/>
          <w:szCs w:val="32"/>
          <w:shd w:val="clear" w:color="auto" w:fill="FFFFFF"/>
          <w:lang w:eastAsia="zh-CN"/>
        </w:rPr>
        <w:t>，</w:t>
      </w:r>
      <w:r>
        <w:rPr>
          <w:rFonts w:hint="eastAsia" w:ascii="仿宋_GB2312" w:hAnsi="仿宋_GB2312" w:eastAsia="仿宋_GB2312" w:cs="仿宋_GB2312"/>
          <w:i w:val="0"/>
          <w:iCs w:val="0"/>
          <w:caps w:val="0"/>
          <w:color w:val="auto"/>
          <w:spacing w:val="0"/>
          <w:sz w:val="32"/>
          <w:szCs w:val="32"/>
          <w:shd w:val="clear" w:color="auto" w:fill="FFFFFF"/>
        </w:rPr>
        <w:t>经过相关部门推荐、企业自荐、综合审查，</w:t>
      </w:r>
      <w:r>
        <w:rPr>
          <w:rFonts w:hint="eastAsia" w:ascii="仿宋_GB2312" w:hAnsi="仿宋_GB2312" w:eastAsia="仿宋_GB2312" w:cs="仿宋_GB2312"/>
          <w:i w:val="0"/>
          <w:iCs w:val="0"/>
          <w:caps w:val="0"/>
          <w:color w:val="auto"/>
          <w:spacing w:val="0"/>
          <w:sz w:val="32"/>
          <w:szCs w:val="32"/>
          <w:shd w:val="clear" w:color="auto" w:fill="FFFFFF"/>
          <w:lang w:eastAsia="zh-CN"/>
        </w:rPr>
        <w:t>县</w:t>
      </w:r>
      <w:r>
        <w:rPr>
          <w:rFonts w:hint="eastAsia" w:ascii="仿宋_GB2312" w:hAnsi="仿宋_GB2312" w:eastAsia="仿宋_GB2312" w:cs="仿宋_GB2312"/>
          <w:i w:val="0"/>
          <w:iCs w:val="0"/>
          <w:caps w:val="0"/>
          <w:color w:val="auto"/>
          <w:spacing w:val="0"/>
          <w:sz w:val="32"/>
          <w:szCs w:val="32"/>
          <w:shd w:val="clear" w:color="auto" w:fill="FFFFFF"/>
        </w:rPr>
        <w:t>司法局</w:t>
      </w:r>
      <w:r>
        <w:rPr>
          <w:rFonts w:hint="eastAsia" w:ascii="仿宋_GB2312" w:hAnsi="仿宋_GB2312" w:eastAsia="仿宋_GB2312" w:cs="仿宋_GB2312"/>
          <w:i w:val="0"/>
          <w:iCs w:val="0"/>
          <w:caps w:val="0"/>
          <w:color w:val="auto"/>
          <w:spacing w:val="8"/>
          <w:sz w:val="32"/>
          <w:szCs w:val="32"/>
          <w:shd w:val="clear" w:color="auto" w:fill="FFFFFF"/>
          <w:lang w:eastAsia="zh-CN"/>
        </w:rPr>
        <w:t>选取并</w:t>
      </w:r>
      <w:r>
        <w:rPr>
          <w:rFonts w:hint="eastAsia" w:ascii="仿宋_GB2312" w:hAnsi="仿宋_GB2312" w:eastAsia="仿宋_GB2312" w:cs="仿宋_GB2312"/>
          <w:i w:val="0"/>
          <w:iCs w:val="0"/>
          <w:caps w:val="0"/>
          <w:color w:val="auto"/>
          <w:spacing w:val="8"/>
          <w:sz w:val="32"/>
          <w:szCs w:val="32"/>
          <w:shd w:val="clear" w:color="auto" w:fill="FFFFFF"/>
        </w:rPr>
        <w:t>设立</w:t>
      </w:r>
      <w:r>
        <w:rPr>
          <w:rFonts w:hint="eastAsia" w:ascii="仿宋_GB2312" w:hAnsi="仿宋_GB2312" w:eastAsia="仿宋_GB2312" w:cs="仿宋_GB2312"/>
          <w:i w:val="0"/>
          <w:iCs w:val="0"/>
          <w:caps w:val="0"/>
          <w:color w:val="auto"/>
          <w:spacing w:val="8"/>
          <w:sz w:val="32"/>
          <w:szCs w:val="32"/>
          <w:shd w:val="clear" w:color="auto" w:fill="FFFFFF"/>
          <w:lang w:eastAsia="zh-CN"/>
        </w:rPr>
        <w:t>了全县第二批共</w:t>
      </w:r>
      <w:r>
        <w:rPr>
          <w:rFonts w:hint="eastAsia" w:ascii="仿宋_GB2312" w:hAnsi="仿宋_GB2312" w:eastAsia="仿宋_GB2312" w:cs="仿宋_GB2312"/>
          <w:i w:val="0"/>
          <w:iCs w:val="0"/>
          <w:caps w:val="0"/>
          <w:color w:val="auto"/>
          <w:spacing w:val="8"/>
          <w:sz w:val="32"/>
          <w:szCs w:val="32"/>
          <w:shd w:val="clear" w:color="auto" w:fill="FFFFFF"/>
          <w:lang w:val="en-US" w:eastAsia="zh-CN"/>
        </w:rPr>
        <w:t>15</w:t>
      </w:r>
      <w:r>
        <w:rPr>
          <w:rFonts w:hint="eastAsia" w:ascii="仿宋_GB2312" w:hAnsi="仿宋_GB2312" w:eastAsia="仿宋_GB2312" w:cs="仿宋_GB2312"/>
          <w:i w:val="0"/>
          <w:iCs w:val="0"/>
          <w:caps w:val="0"/>
          <w:color w:val="auto"/>
          <w:spacing w:val="8"/>
          <w:sz w:val="32"/>
          <w:szCs w:val="32"/>
          <w:shd w:val="clear" w:color="auto" w:fill="FFFFFF"/>
        </w:rPr>
        <w:t>个行政执法企业</w:t>
      </w:r>
      <w:r>
        <w:rPr>
          <w:rFonts w:hint="eastAsia" w:ascii="仿宋_GB2312" w:hAnsi="仿宋_GB2312" w:eastAsia="仿宋_GB2312" w:cs="仿宋_GB2312"/>
          <w:i w:val="0"/>
          <w:iCs w:val="0"/>
          <w:caps w:val="0"/>
          <w:color w:val="auto"/>
          <w:spacing w:val="8"/>
          <w:sz w:val="32"/>
          <w:szCs w:val="32"/>
          <w:shd w:val="clear" w:color="auto" w:fill="FFFFFF"/>
          <w:lang w:eastAsia="zh-CN"/>
        </w:rPr>
        <w:t>（含个体工商户）</w:t>
      </w:r>
      <w:r>
        <w:rPr>
          <w:rFonts w:hint="eastAsia" w:ascii="仿宋_GB2312" w:hAnsi="仿宋_GB2312" w:eastAsia="仿宋_GB2312" w:cs="仿宋_GB2312"/>
          <w:i w:val="0"/>
          <w:iCs w:val="0"/>
          <w:caps w:val="0"/>
          <w:color w:val="auto"/>
          <w:spacing w:val="8"/>
          <w:sz w:val="32"/>
          <w:szCs w:val="32"/>
          <w:shd w:val="clear" w:color="auto" w:fill="FFFFFF"/>
        </w:rPr>
        <w:t>监测点</w:t>
      </w:r>
      <w:r>
        <w:rPr>
          <w:rFonts w:hint="eastAsia" w:ascii="仿宋_GB2312" w:hAnsi="仿宋_GB2312" w:eastAsia="仿宋_GB2312" w:cs="仿宋_GB2312"/>
          <w:i w:val="0"/>
          <w:iCs w:val="0"/>
          <w:caps w:val="0"/>
          <w:color w:val="auto"/>
          <w:spacing w:val="8"/>
          <w:sz w:val="32"/>
          <w:szCs w:val="32"/>
          <w:shd w:val="clear" w:color="auto" w:fill="FFFFFF"/>
          <w:lang w:eastAsia="zh-CN"/>
        </w:rPr>
        <w:t>。</w:t>
      </w:r>
    </w:p>
    <w:p w14:paraId="5FF77CE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left="0" w:right="0" w:firstLine="675"/>
        <w:jc w:val="both"/>
        <w:textAlignment w:val="auto"/>
        <w:rPr>
          <w:rFonts w:hint="eastAsia" w:ascii="仿宋_GB2312" w:hAnsi="仿宋_GB2312" w:eastAsia="仿宋_GB2312" w:cs="仿宋_GB2312"/>
          <w:i w:val="0"/>
          <w:iCs w:val="0"/>
          <w:caps w:val="0"/>
          <w:color w:val="auto"/>
          <w:spacing w:val="8"/>
          <w:sz w:val="32"/>
          <w:szCs w:val="32"/>
        </w:rPr>
      </w:pPr>
      <w:r>
        <w:rPr>
          <w:rFonts w:hint="eastAsia" w:ascii="仿宋_GB2312" w:hAnsi="仿宋_GB2312" w:eastAsia="仿宋_GB2312" w:cs="仿宋_GB2312"/>
          <w:i w:val="0"/>
          <w:iCs w:val="0"/>
          <w:caps w:val="0"/>
          <w:color w:val="auto"/>
          <w:spacing w:val="0"/>
          <w:sz w:val="32"/>
          <w:szCs w:val="32"/>
          <w:shd w:val="clear" w:color="auto" w:fill="FFFFFF"/>
          <w:lang w:eastAsia="zh-CN"/>
        </w:rPr>
        <w:t>监测点企业可以直接向赞皇县司法局报告有关行政执法部门及其行政执法人员“吃拿卡要”，“乱收费、乱罚款、乱检查、乱查封”和违反行政执法“五个严禁、八个不得”等违规违纪违法执法问题。可以向赞皇县司法局提出对全县行政执法工作、</w:t>
      </w:r>
      <w:bookmarkStart w:id="0" w:name="_GoBack"/>
      <w:bookmarkEnd w:id="0"/>
      <w:r>
        <w:rPr>
          <w:rFonts w:hint="eastAsia" w:ascii="仿宋_GB2312" w:hAnsi="仿宋_GB2312" w:eastAsia="仿宋_GB2312" w:cs="仿宋_GB2312"/>
          <w:i w:val="0"/>
          <w:iCs w:val="0"/>
          <w:caps w:val="0"/>
          <w:color w:val="auto"/>
          <w:spacing w:val="0"/>
          <w:sz w:val="32"/>
          <w:szCs w:val="32"/>
          <w:shd w:val="clear" w:color="auto" w:fill="FFFFFF"/>
          <w:lang w:eastAsia="zh-CN"/>
        </w:rPr>
        <w:t>建设法治化营商环境相关意见建议，受邀参与各领域行政执法评议工作等。</w:t>
      </w:r>
      <w:r>
        <w:rPr>
          <w:rFonts w:hint="eastAsia" w:ascii="仿宋_GB2312" w:hAnsi="仿宋_GB2312" w:eastAsia="仿宋_GB2312" w:cs="仿宋_GB2312"/>
          <w:i w:val="0"/>
          <w:iCs w:val="0"/>
          <w:caps w:val="0"/>
          <w:color w:val="auto"/>
          <w:spacing w:val="8"/>
          <w:sz w:val="32"/>
          <w:szCs w:val="32"/>
          <w:shd w:val="clear" w:color="auto" w:fill="FFFFFF"/>
        </w:rPr>
        <w:t>现将有关事项公告如下：</w:t>
      </w:r>
    </w:p>
    <w:p w14:paraId="5D7CEE4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firstLine="640" w:firstLineChars="200"/>
        <w:jc w:val="both"/>
        <w:rPr>
          <w:rFonts w:hint="eastAsia" w:ascii="仿宋_GB2312" w:hAnsi="仿宋_GB2312" w:eastAsia="仿宋_GB2312" w:cs="仿宋_GB2312"/>
          <w:i w:val="0"/>
          <w:iCs w:val="0"/>
          <w:caps w:val="0"/>
          <w:color w:val="auto"/>
          <w:spacing w:val="8"/>
          <w:sz w:val="32"/>
          <w:szCs w:val="32"/>
        </w:rPr>
      </w:pPr>
      <w:r>
        <w:rPr>
          <w:rFonts w:hint="eastAsia" w:ascii="仿宋_GB2312" w:hAnsi="仿宋_GB2312" w:eastAsia="仿宋_GB2312" w:cs="仿宋_GB2312"/>
          <w:i w:val="0"/>
          <w:iCs w:val="0"/>
          <w:caps w:val="0"/>
          <w:color w:val="auto"/>
          <w:spacing w:val="0"/>
          <w:sz w:val="32"/>
          <w:szCs w:val="32"/>
          <w:shd w:val="clear" w:color="auto" w:fill="FFFFFF"/>
        </w:rPr>
        <w:t>一、</w:t>
      </w:r>
      <w:r>
        <w:rPr>
          <w:rFonts w:hint="eastAsia" w:ascii="仿宋_GB2312" w:hAnsi="仿宋_GB2312" w:eastAsia="仿宋_GB2312" w:cs="仿宋_GB2312"/>
          <w:i w:val="0"/>
          <w:iCs w:val="0"/>
          <w:caps w:val="0"/>
          <w:color w:val="auto"/>
          <w:spacing w:val="0"/>
          <w:sz w:val="32"/>
          <w:szCs w:val="32"/>
          <w:shd w:val="clear" w:color="auto" w:fill="FFFFFF"/>
          <w:lang w:eastAsia="zh-CN"/>
        </w:rPr>
        <w:t>赞皇县第二批</w:t>
      </w:r>
      <w:r>
        <w:rPr>
          <w:rFonts w:hint="eastAsia" w:ascii="仿宋_GB2312" w:hAnsi="仿宋_GB2312" w:eastAsia="仿宋_GB2312" w:cs="仿宋_GB2312"/>
          <w:i w:val="0"/>
          <w:iCs w:val="0"/>
          <w:caps w:val="0"/>
          <w:color w:val="auto"/>
          <w:spacing w:val="0"/>
          <w:sz w:val="32"/>
          <w:szCs w:val="32"/>
          <w:shd w:val="clear" w:color="auto" w:fill="FFFFFF"/>
        </w:rPr>
        <w:t>行政执法</w:t>
      </w:r>
      <w:r>
        <w:rPr>
          <w:rFonts w:hint="eastAsia" w:ascii="仿宋_GB2312" w:hAnsi="仿宋_GB2312" w:eastAsia="仿宋_GB2312" w:cs="仿宋_GB2312"/>
          <w:i w:val="0"/>
          <w:iCs w:val="0"/>
          <w:caps w:val="0"/>
          <w:color w:val="auto"/>
          <w:spacing w:val="0"/>
          <w:sz w:val="32"/>
          <w:szCs w:val="32"/>
          <w:shd w:val="clear" w:color="auto" w:fill="FFFFFF"/>
          <w:lang w:eastAsia="zh-CN"/>
        </w:rPr>
        <w:t>企业</w:t>
      </w:r>
      <w:r>
        <w:rPr>
          <w:rFonts w:hint="eastAsia" w:ascii="仿宋_GB2312" w:hAnsi="仿宋_GB2312" w:eastAsia="仿宋_GB2312" w:cs="仿宋_GB2312"/>
          <w:i w:val="0"/>
          <w:iCs w:val="0"/>
          <w:caps w:val="0"/>
          <w:color w:val="auto"/>
          <w:spacing w:val="0"/>
          <w:sz w:val="32"/>
          <w:szCs w:val="32"/>
          <w:shd w:val="clear" w:color="auto" w:fill="FFFFFF"/>
        </w:rPr>
        <w:t>监测点名单</w:t>
      </w:r>
    </w:p>
    <w:p w14:paraId="3AD1C47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firstLine="640" w:firstLineChars="200"/>
        <w:jc w:val="both"/>
        <w:rPr>
          <w:rFonts w:hint="eastAsia" w:ascii="仿宋_GB2312" w:hAnsi="仿宋_GB2312" w:eastAsia="仿宋_GB2312" w:cs="仿宋_GB2312"/>
          <w:i w:val="0"/>
          <w:iCs w:val="0"/>
          <w:caps w:val="0"/>
          <w:color w:val="auto"/>
          <w:spacing w:val="8"/>
          <w:sz w:val="32"/>
          <w:szCs w:val="32"/>
          <w:lang w:eastAsia="zh-CN"/>
        </w:rPr>
      </w:pPr>
      <w:r>
        <w:rPr>
          <w:rFonts w:hint="eastAsia" w:ascii="仿宋_GB2312" w:hAnsi="仿宋_GB2312" w:eastAsia="仿宋_GB2312" w:cs="仿宋_GB2312"/>
          <w:i w:val="0"/>
          <w:iCs w:val="0"/>
          <w:caps w:val="0"/>
          <w:color w:val="auto"/>
          <w:spacing w:val="0"/>
          <w:sz w:val="32"/>
          <w:szCs w:val="32"/>
          <w:shd w:val="clear" w:color="auto" w:fill="FFFFFF"/>
        </w:rPr>
        <w:t>名单详见附件</w:t>
      </w:r>
      <w:r>
        <w:rPr>
          <w:rFonts w:hint="eastAsia" w:ascii="仿宋_GB2312" w:hAnsi="仿宋_GB2312" w:eastAsia="仿宋_GB2312" w:cs="仿宋_GB2312"/>
          <w:i w:val="0"/>
          <w:iCs w:val="0"/>
          <w:caps w:val="0"/>
          <w:color w:val="auto"/>
          <w:spacing w:val="0"/>
          <w:sz w:val="32"/>
          <w:szCs w:val="32"/>
          <w:shd w:val="clear" w:color="auto" w:fill="FFFFFF"/>
          <w:lang w:eastAsia="zh-CN"/>
        </w:rPr>
        <w:t>。</w:t>
      </w:r>
    </w:p>
    <w:p w14:paraId="7CF770B4">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i w:val="0"/>
          <w:iCs w:val="0"/>
          <w:caps w:val="0"/>
          <w:color w:val="auto"/>
          <w:spacing w:val="0"/>
          <w:kern w:val="0"/>
          <w:sz w:val="32"/>
          <w:szCs w:val="32"/>
          <w:shd w:val="clear" w:color="auto" w:fill="FFFFFF"/>
          <w:lang w:val="en-US" w:eastAsia="zh-CN" w:bidi="ar"/>
        </w:rPr>
        <w:t>二、监测点企业意见反馈渠道</w:t>
      </w:r>
    </w:p>
    <w:p w14:paraId="4566D2F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0" w:lineRule="exact"/>
        <w:ind w:left="0" w:right="0" w:firstLine="640" w:firstLineChars="200"/>
        <w:jc w:val="both"/>
        <w:textAlignment w:val="baseline"/>
        <w:rPr>
          <w:rFonts w:hint="eastAsia" w:ascii="仿宋_GB2312" w:hAnsi="仿宋_GB2312" w:eastAsia="仿宋_GB2312" w:cs="仿宋_GB2312"/>
          <w:i w:val="0"/>
          <w:iCs w:val="0"/>
          <w:caps w:val="0"/>
          <w:color w:val="auto"/>
          <w:spacing w:val="0"/>
          <w:kern w:val="0"/>
          <w:sz w:val="32"/>
          <w:szCs w:val="32"/>
          <w:shd w:val="clear" w:color="auto" w:fill="FFFFFF"/>
          <w:vertAlign w:val="baseline"/>
          <w:lang w:val="en-US" w:eastAsia="zh-CN" w:bidi="ar"/>
        </w:rPr>
      </w:pPr>
      <w:r>
        <w:rPr>
          <w:rFonts w:hint="eastAsia" w:ascii="仿宋_GB2312" w:hAnsi="仿宋_GB2312" w:eastAsia="仿宋_GB2312" w:cs="仿宋_GB2312"/>
          <w:i w:val="0"/>
          <w:iCs w:val="0"/>
          <w:caps w:val="0"/>
          <w:color w:val="auto"/>
          <w:spacing w:val="0"/>
          <w:kern w:val="0"/>
          <w:sz w:val="32"/>
          <w:szCs w:val="32"/>
          <w:shd w:val="clear" w:color="auto" w:fill="FFFFFF"/>
          <w:vertAlign w:val="baseline"/>
          <w:lang w:val="en-US" w:eastAsia="zh-CN" w:bidi="ar"/>
        </w:rPr>
        <w:t>1.电话：0311-84221011。</w:t>
      </w:r>
    </w:p>
    <w:p w14:paraId="5B5965B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0" w:lineRule="exact"/>
        <w:ind w:left="0" w:right="0" w:firstLine="960" w:firstLineChars="300"/>
        <w:jc w:val="both"/>
        <w:textAlignment w:val="baseline"/>
        <w:rPr>
          <w:rFonts w:hint="eastAsia" w:ascii="仿宋_GB2312" w:hAnsi="仿宋_GB2312" w:eastAsia="仿宋_GB2312" w:cs="仿宋_GB2312"/>
          <w:i w:val="0"/>
          <w:iCs w:val="0"/>
          <w:caps w:val="0"/>
          <w:color w:val="auto"/>
          <w:spacing w:val="0"/>
          <w:kern w:val="0"/>
          <w:sz w:val="32"/>
          <w:szCs w:val="32"/>
          <w:shd w:val="clear" w:color="auto" w:fill="FFFFFF"/>
          <w:vertAlign w:val="baseline"/>
          <w:lang w:val="en-US" w:eastAsia="zh-CN" w:bidi="ar"/>
        </w:rPr>
      </w:pPr>
      <w:r>
        <w:rPr>
          <w:rFonts w:hint="eastAsia" w:ascii="仿宋_GB2312" w:hAnsi="仿宋_GB2312" w:eastAsia="仿宋_GB2312" w:cs="仿宋_GB2312"/>
          <w:i w:val="0"/>
          <w:iCs w:val="0"/>
          <w:caps w:val="0"/>
          <w:color w:val="auto"/>
          <w:spacing w:val="0"/>
          <w:kern w:val="0"/>
          <w:sz w:val="32"/>
          <w:szCs w:val="32"/>
          <w:shd w:val="clear" w:color="auto" w:fill="FFFFFF"/>
          <w:lang w:val="en-US" w:eastAsia="zh-CN" w:bidi="ar"/>
        </w:rPr>
        <w:t>邮箱：</w:t>
      </w:r>
      <w:r>
        <w:rPr>
          <w:rFonts w:hint="eastAsia" w:ascii="仿宋_GB2312" w:hAnsi="仿宋_GB2312" w:eastAsia="仿宋_GB2312" w:cs="仿宋_GB2312"/>
          <w:i w:val="0"/>
          <w:iCs w:val="0"/>
          <w:caps w:val="0"/>
          <w:color w:val="auto"/>
          <w:spacing w:val="0"/>
          <w:kern w:val="0"/>
          <w:sz w:val="32"/>
          <w:szCs w:val="32"/>
          <w:u w:val="none"/>
          <w:shd w:val="clear" w:color="auto" w:fill="FFFFFF"/>
          <w:lang w:val="en-US" w:eastAsia="zh-CN" w:bidi="ar"/>
        </w:rPr>
        <w:fldChar w:fldCharType="begin"/>
      </w:r>
      <w:r>
        <w:rPr>
          <w:rFonts w:hint="eastAsia" w:ascii="仿宋_GB2312" w:hAnsi="仿宋_GB2312" w:eastAsia="仿宋_GB2312" w:cs="仿宋_GB2312"/>
          <w:i w:val="0"/>
          <w:iCs w:val="0"/>
          <w:caps w:val="0"/>
          <w:color w:val="auto"/>
          <w:spacing w:val="0"/>
          <w:kern w:val="0"/>
          <w:sz w:val="32"/>
          <w:szCs w:val="32"/>
          <w:u w:val="none"/>
          <w:shd w:val="clear" w:color="auto" w:fill="FFFFFF"/>
          <w:lang w:val="en-US" w:eastAsia="zh-CN" w:bidi="ar"/>
        </w:rPr>
        <w:instrText xml:space="preserve"> HYPERLINK "mailto:zhxzfgk@163.com，" </w:instrText>
      </w:r>
      <w:r>
        <w:rPr>
          <w:rFonts w:hint="eastAsia" w:ascii="仿宋_GB2312" w:hAnsi="仿宋_GB2312" w:eastAsia="仿宋_GB2312" w:cs="仿宋_GB2312"/>
          <w:i w:val="0"/>
          <w:iCs w:val="0"/>
          <w:caps w:val="0"/>
          <w:color w:val="auto"/>
          <w:spacing w:val="0"/>
          <w:kern w:val="0"/>
          <w:sz w:val="32"/>
          <w:szCs w:val="32"/>
          <w:u w:val="none"/>
          <w:shd w:val="clear" w:color="auto" w:fill="FFFFFF"/>
          <w:lang w:val="en-US" w:eastAsia="zh-CN" w:bidi="ar"/>
        </w:rPr>
        <w:fldChar w:fldCharType="separate"/>
      </w:r>
      <w:r>
        <w:rPr>
          <w:rStyle w:val="10"/>
          <w:rFonts w:hint="eastAsia" w:ascii="仿宋_GB2312" w:hAnsi="仿宋_GB2312" w:eastAsia="仿宋_GB2312" w:cs="仿宋_GB2312"/>
          <w:i w:val="0"/>
          <w:iCs w:val="0"/>
          <w:caps w:val="0"/>
          <w:color w:val="auto"/>
          <w:spacing w:val="0"/>
          <w:kern w:val="0"/>
          <w:sz w:val="32"/>
          <w:szCs w:val="32"/>
          <w:u w:val="none"/>
          <w:shd w:val="clear" w:color="auto" w:fill="FFFFFF"/>
          <w:lang w:val="en-US" w:eastAsia="zh-CN" w:bidi="ar"/>
        </w:rPr>
        <w:t>zhxzfgk@163.com。</w:t>
      </w:r>
      <w:r>
        <w:rPr>
          <w:rFonts w:hint="eastAsia" w:ascii="仿宋_GB2312" w:hAnsi="仿宋_GB2312" w:eastAsia="仿宋_GB2312" w:cs="仿宋_GB2312"/>
          <w:i w:val="0"/>
          <w:iCs w:val="0"/>
          <w:caps w:val="0"/>
          <w:color w:val="auto"/>
          <w:spacing w:val="0"/>
          <w:kern w:val="0"/>
          <w:sz w:val="32"/>
          <w:szCs w:val="32"/>
          <w:u w:val="none"/>
          <w:shd w:val="clear" w:color="auto" w:fill="FFFFFF"/>
          <w:lang w:val="en-US" w:eastAsia="zh-CN" w:bidi="ar"/>
        </w:rPr>
        <w:fldChar w:fldCharType="end"/>
      </w:r>
    </w:p>
    <w:p w14:paraId="2889DC1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0" w:lineRule="exact"/>
        <w:ind w:left="0" w:right="0" w:firstLine="640" w:firstLineChars="200"/>
        <w:jc w:val="both"/>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i w:val="0"/>
          <w:iCs w:val="0"/>
          <w:caps w:val="0"/>
          <w:color w:val="auto"/>
          <w:spacing w:val="0"/>
          <w:kern w:val="0"/>
          <w:sz w:val="32"/>
          <w:szCs w:val="32"/>
          <w:shd w:val="clear" w:color="auto" w:fill="FFFFFF"/>
          <w:lang w:val="en-US" w:eastAsia="zh-CN" w:bidi="ar"/>
        </w:rPr>
        <w:t>2.地址：县司法局四楼赞皇县人民政府行政执法协调监督局（法治股），邮政编码：051230。</w:t>
      </w:r>
    </w:p>
    <w:p w14:paraId="49E1B91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eastAsia="zh-CN"/>
        </w:rPr>
      </w:pPr>
    </w:p>
    <w:p w14:paraId="522470F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r>
        <w:rPr>
          <w:rFonts w:hint="eastAsia" w:ascii="仿宋_GB2312" w:hAnsi="仿宋_GB2312" w:eastAsia="仿宋_GB2312" w:cs="仿宋_GB2312"/>
          <w:i w:val="0"/>
          <w:iCs w:val="0"/>
          <w:caps w:val="0"/>
          <w:color w:val="auto"/>
          <w:spacing w:val="8"/>
          <w:sz w:val="32"/>
          <w:szCs w:val="32"/>
          <w:lang w:val="en-US" w:eastAsia="zh-CN"/>
        </w:rPr>
        <w:t>附件：赞皇县第二批行政执法企业监测点名单</w:t>
      </w:r>
    </w:p>
    <w:p w14:paraId="108A0C2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firstLine="6048" w:firstLineChars="1800"/>
        <w:jc w:val="both"/>
        <w:rPr>
          <w:rFonts w:hint="eastAsia" w:ascii="仿宋_GB2312" w:hAnsi="仿宋_GB2312" w:eastAsia="仿宋_GB2312" w:cs="仿宋_GB2312"/>
          <w:i w:val="0"/>
          <w:iCs w:val="0"/>
          <w:caps w:val="0"/>
          <w:color w:val="auto"/>
          <w:spacing w:val="8"/>
          <w:sz w:val="32"/>
          <w:szCs w:val="32"/>
          <w:lang w:eastAsia="zh-CN"/>
        </w:rPr>
      </w:pPr>
    </w:p>
    <w:p w14:paraId="650B369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firstLine="5712" w:firstLineChars="1700"/>
        <w:jc w:val="both"/>
        <w:rPr>
          <w:rFonts w:hint="eastAsia" w:ascii="仿宋_GB2312" w:hAnsi="仿宋_GB2312" w:eastAsia="仿宋_GB2312" w:cs="仿宋_GB2312"/>
          <w:i w:val="0"/>
          <w:iCs w:val="0"/>
          <w:caps w:val="0"/>
          <w:color w:val="auto"/>
          <w:spacing w:val="8"/>
          <w:sz w:val="32"/>
          <w:szCs w:val="32"/>
          <w:lang w:eastAsia="zh-CN"/>
        </w:rPr>
      </w:pPr>
      <w:r>
        <w:rPr>
          <w:rFonts w:hint="eastAsia" w:ascii="仿宋_GB2312" w:hAnsi="仿宋_GB2312" w:eastAsia="仿宋_GB2312" w:cs="仿宋_GB2312"/>
          <w:i w:val="0"/>
          <w:iCs w:val="0"/>
          <w:caps w:val="0"/>
          <w:color w:val="auto"/>
          <w:spacing w:val="8"/>
          <w:sz w:val="32"/>
          <w:szCs w:val="32"/>
          <w:lang w:eastAsia="zh-CN"/>
        </w:rPr>
        <w:t>赞皇县司法局</w:t>
      </w:r>
    </w:p>
    <w:p w14:paraId="1B7F969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firstLine="1344" w:firstLineChars="400"/>
        <w:jc w:val="right"/>
        <w:rPr>
          <w:rFonts w:hint="eastAsia" w:ascii="仿宋_GB2312" w:hAnsi="仿宋_GB2312" w:eastAsia="仿宋_GB2312" w:cs="仿宋_GB2312"/>
          <w:i w:val="0"/>
          <w:iCs w:val="0"/>
          <w:caps w:val="0"/>
          <w:color w:val="auto"/>
          <w:spacing w:val="8"/>
          <w:sz w:val="32"/>
          <w:szCs w:val="32"/>
          <w:lang w:val="en-US" w:eastAsia="zh-CN"/>
        </w:rPr>
      </w:pPr>
      <w:r>
        <w:rPr>
          <w:rFonts w:hint="eastAsia" w:ascii="仿宋_GB2312" w:hAnsi="仿宋_GB2312" w:eastAsia="仿宋_GB2312" w:cs="仿宋_GB2312"/>
          <w:i w:val="0"/>
          <w:iCs w:val="0"/>
          <w:caps w:val="0"/>
          <w:color w:val="auto"/>
          <w:spacing w:val="8"/>
          <w:sz w:val="32"/>
          <w:szCs w:val="32"/>
          <w:lang w:val="en-US" w:eastAsia="zh-CN"/>
        </w:rPr>
        <w:t>2026年2月3日</w:t>
      </w:r>
    </w:p>
    <w:p w14:paraId="5F9BD40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91EE40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41C6757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2BF804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228CCE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26EC0B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034873D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9A51C4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3F21E8D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25783873">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7B24390B">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251A6B8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78495F6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329E5D1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119A32C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p w14:paraId="3DD8283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r>
        <w:rPr>
          <w:rFonts w:hint="eastAsia" w:ascii="仿宋_GB2312" w:hAnsi="仿宋_GB2312" w:eastAsia="仿宋_GB2312" w:cs="仿宋_GB2312"/>
          <w:i w:val="0"/>
          <w:iCs w:val="0"/>
          <w:caps w:val="0"/>
          <w:color w:val="auto"/>
          <w:spacing w:val="8"/>
          <w:sz w:val="32"/>
          <w:szCs w:val="32"/>
          <w:lang w:val="en-US" w:eastAsia="zh-CN"/>
        </w:rPr>
        <w:t>附件</w:t>
      </w:r>
    </w:p>
    <w:p w14:paraId="0CC7B51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方正小标宋简体" w:hAnsi="方正小标宋简体" w:eastAsia="方正小标宋简体" w:cs="方正小标宋简体"/>
          <w:i w:val="0"/>
          <w:iCs w:val="0"/>
          <w:caps w:val="0"/>
          <w:color w:val="auto"/>
          <w:spacing w:val="8"/>
          <w:sz w:val="44"/>
          <w:szCs w:val="44"/>
          <w:lang w:val="en-US" w:eastAsia="zh-CN"/>
        </w:rPr>
      </w:pPr>
    </w:p>
    <w:p w14:paraId="577EFA4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center"/>
        <w:rPr>
          <w:rFonts w:hint="eastAsia" w:ascii="方正小标宋简体" w:hAnsi="方正小标宋简体" w:eastAsia="方正小标宋简体" w:cs="方正小标宋简体"/>
          <w:i w:val="0"/>
          <w:iCs w:val="0"/>
          <w:caps w:val="0"/>
          <w:color w:val="auto"/>
          <w:spacing w:val="8"/>
          <w:sz w:val="44"/>
          <w:szCs w:val="44"/>
          <w:lang w:val="en-US" w:eastAsia="zh-CN"/>
        </w:rPr>
      </w:pPr>
      <w:r>
        <w:rPr>
          <w:rFonts w:hint="eastAsia" w:ascii="方正小标宋简体" w:hAnsi="方正小标宋简体" w:eastAsia="方正小标宋简体" w:cs="方正小标宋简体"/>
          <w:i w:val="0"/>
          <w:iCs w:val="0"/>
          <w:caps w:val="0"/>
          <w:color w:val="auto"/>
          <w:spacing w:val="8"/>
          <w:sz w:val="44"/>
          <w:szCs w:val="44"/>
          <w:lang w:val="en-US" w:eastAsia="zh-CN"/>
        </w:rPr>
        <w:t>赞皇县第二批行政执法企业监测点名单</w:t>
      </w:r>
    </w:p>
    <w:p w14:paraId="00987F3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70" w:lineRule="exact"/>
        <w:ind w:right="0"/>
        <w:jc w:val="both"/>
        <w:rPr>
          <w:rFonts w:hint="eastAsia" w:ascii="仿宋_GB2312" w:hAnsi="仿宋_GB2312" w:eastAsia="仿宋_GB2312" w:cs="仿宋_GB2312"/>
          <w:i w:val="0"/>
          <w:iCs w:val="0"/>
          <w:caps w:val="0"/>
          <w:color w:val="auto"/>
          <w:spacing w:val="8"/>
          <w:sz w:val="32"/>
          <w:szCs w:val="32"/>
          <w:lang w:val="en-US" w:eastAsia="zh-CN"/>
        </w:rPr>
      </w:pPr>
    </w:p>
    <w:tbl>
      <w:tblPr>
        <w:tblStyle w:val="8"/>
        <w:tblW w:w="8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24"/>
        <w:gridCol w:w="3391"/>
      </w:tblGrid>
      <w:tr w14:paraId="1C484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5324" w:type="dxa"/>
            <w:vAlign w:val="center"/>
          </w:tcPr>
          <w:p w14:paraId="0644342A">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b/>
                <w:i w:val="0"/>
                <w:iCs w:val="0"/>
                <w:caps w:val="0"/>
                <w:color w:val="auto"/>
                <w:spacing w:val="8"/>
                <w:sz w:val="32"/>
                <w:szCs w:val="32"/>
                <w:vertAlign w:val="baseline"/>
                <w:lang w:val="en-US" w:eastAsia="zh-CN"/>
              </w:rPr>
            </w:pPr>
            <w:r>
              <w:rPr>
                <w:rFonts w:hint="eastAsia" w:ascii="仿宋_GB2312" w:hAnsi="仿宋_GB2312" w:eastAsia="仿宋_GB2312" w:cs="仿宋_GB2312"/>
                <w:b/>
                <w:i w:val="0"/>
                <w:iCs w:val="0"/>
                <w:caps w:val="0"/>
                <w:color w:val="auto"/>
                <w:spacing w:val="8"/>
                <w:sz w:val="32"/>
                <w:szCs w:val="32"/>
                <w:vertAlign w:val="baseline"/>
                <w:lang w:val="en-US" w:eastAsia="zh-CN"/>
              </w:rPr>
              <w:t>名称</w:t>
            </w:r>
          </w:p>
        </w:tc>
        <w:tc>
          <w:tcPr>
            <w:tcW w:w="3391" w:type="dxa"/>
            <w:vAlign w:val="center"/>
          </w:tcPr>
          <w:p w14:paraId="78D5A843">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b/>
                <w:i w:val="0"/>
                <w:iCs w:val="0"/>
                <w:caps w:val="0"/>
                <w:color w:val="auto"/>
                <w:spacing w:val="8"/>
                <w:sz w:val="32"/>
                <w:szCs w:val="32"/>
                <w:vertAlign w:val="baseline"/>
                <w:lang w:val="en-US" w:eastAsia="zh-CN"/>
              </w:rPr>
            </w:pPr>
            <w:r>
              <w:rPr>
                <w:rFonts w:hint="eastAsia" w:ascii="仿宋_GB2312" w:hAnsi="仿宋_GB2312" w:eastAsia="仿宋_GB2312" w:cs="仿宋_GB2312"/>
                <w:b/>
                <w:i w:val="0"/>
                <w:iCs w:val="0"/>
                <w:caps w:val="0"/>
                <w:color w:val="auto"/>
                <w:spacing w:val="8"/>
                <w:sz w:val="32"/>
                <w:szCs w:val="32"/>
                <w:vertAlign w:val="baseline"/>
                <w:lang w:val="en-US" w:eastAsia="zh-CN"/>
              </w:rPr>
              <w:t>企业类别</w:t>
            </w:r>
          </w:p>
        </w:tc>
      </w:tr>
      <w:tr w14:paraId="233A7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1EFBC63F">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河北显丰包装材料有限公司</w:t>
            </w:r>
          </w:p>
        </w:tc>
        <w:tc>
          <w:tcPr>
            <w:tcW w:w="3391" w:type="dxa"/>
            <w:vAlign w:val="center"/>
          </w:tcPr>
          <w:p w14:paraId="23B83205">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纸制品</w:t>
            </w:r>
          </w:p>
        </w:tc>
      </w:tr>
      <w:tr w14:paraId="12295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66441187">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河北枣能元食品有限公司</w:t>
            </w:r>
          </w:p>
        </w:tc>
        <w:tc>
          <w:tcPr>
            <w:tcW w:w="3391" w:type="dxa"/>
            <w:vAlign w:val="center"/>
          </w:tcPr>
          <w:p w14:paraId="5E9DC9C6">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现代食品</w:t>
            </w:r>
          </w:p>
        </w:tc>
      </w:tr>
      <w:tr w14:paraId="3FBEB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24408193">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河北玖汇生物科技有限公司</w:t>
            </w:r>
          </w:p>
        </w:tc>
        <w:tc>
          <w:tcPr>
            <w:tcW w:w="3391" w:type="dxa"/>
            <w:vAlign w:val="center"/>
          </w:tcPr>
          <w:p w14:paraId="1946F923">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农贸</w:t>
            </w:r>
          </w:p>
        </w:tc>
      </w:tr>
      <w:tr w14:paraId="6F8AF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1522E9DE">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石家庄乾星科技有限公司</w:t>
            </w:r>
          </w:p>
        </w:tc>
        <w:tc>
          <w:tcPr>
            <w:tcW w:w="3391" w:type="dxa"/>
            <w:vAlign w:val="center"/>
          </w:tcPr>
          <w:p w14:paraId="4A4DFD3B">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高新技术</w:t>
            </w:r>
          </w:p>
        </w:tc>
      </w:tr>
      <w:tr w14:paraId="323BD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2CCA625F">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石家庄市乡村数字产业有限公司</w:t>
            </w:r>
          </w:p>
        </w:tc>
        <w:tc>
          <w:tcPr>
            <w:tcW w:w="3391" w:type="dxa"/>
            <w:vAlign w:val="center"/>
          </w:tcPr>
          <w:p w14:paraId="697D0173">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工贸</w:t>
            </w:r>
          </w:p>
        </w:tc>
      </w:tr>
      <w:tr w14:paraId="55E40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1F8B8692">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default" w:ascii="仿宋_GB2312" w:hAnsi="仿宋_GB2312" w:eastAsia="仿宋_GB2312" w:cs="仿宋_GB2312"/>
                <w:i w:val="0"/>
                <w:iCs w:val="0"/>
                <w:caps w:val="0"/>
                <w:color w:val="auto"/>
                <w:spacing w:val="8"/>
                <w:sz w:val="32"/>
                <w:szCs w:val="32"/>
                <w:vertAlign w:val="baseline"/>
                <w:lang w:eastAsia="zh-CN"/>
              </w:rPr>
            </w:pPr>
            <w:r>
              <w:rPr>
                <w:rFonts w:hint="default" w:ascii="仿宋_GB2312" w:hAnsi="仿宋_GB2312" w:eastAsia="仿宋_GB2312" w:cs="仿宋_GB2312"/>
                <w:i w:val="0"/>
                <w:iCs w:val="0"/>
                <w:caps w:val="0"/>
                <w:color w:val="auto"/>
                <w:spacing w:val="8"/>
                <w:sz w:val="32"/>
                <w:szCs w:val="32"/>
                <w:vertAlign w:val="baseline"/>
                <w:lang w:eastAsia="zh-CN"/>
              </w:rPr>
              <w:t>赞皇县万利福超</w:t>
            </w:r>
            <w:r>
              <w:rPr>
                <w:rFonts w:hint="eastAsia" w:ascii="仿宋_GB2312" w:hAnsi="仿宋_GB2312" w:eastAsia="仿宋_GB2312" w:cs="仿宋_GB2312"/>
                <w:i w:val="0"/>
                <w:iCs w:val="0"/>
                <w:caps w:val="0"/>
                <w:color w:val="auto"/>
                <w:spacing w:val="8"/>
                <w:sz w:val="32"/>
                <w:szCs w:val="32"/>
                <w:vertAlign w:val="baseline"/>
                <w:lang w:eastAsia="zh-CN"/>
              </w:rPr>
              <w:t>市</w:t>
            </w:r>
            <w:r>
              <w:rPr>
                <w:rFonts w:hint="default" w:ascii="仿宋_GB2312" w:hAnsi="仿宋_GB2312" w:eastAsia="仿宋_GB2312" w:cs="仿宋_GB2312"/>
                <w:i w:val="0"/>
                <w:iCs w:val="0"/>
                <w:caps w:val="0"/>
                <w:color w:val="auto"/>
                <w:spacing w:val="8"/>
                <w:sz w:val="32"/>
                <w:szCs w:val="32"/>
                <w:vertAlign w:val="baseline"/>
                <w:lang w:eastAsia="zh-CN"/>
              </w:rPr>
              <w:t xml:space="preserve"> </w:t>
            </w:r>
          </w:p>
        </w:tc>
        <w:tc>
          <w:tcPr>
            <w:tcW w:w="3391" w:type="dxa"/>
            <w:vAlign w:val="center"/>
          </w:tcPr>
          <w:p w14:paraId="0A75790B">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商超</w:t>
            </w:r>
          </w:p>
        </w:tc>
      </w:tr>
      <w:tr w14:paraId="5B380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14EF2F8C">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赞皇县雪芹棉产品有限公司</w:t>
            </w:r>
          </w:p>
        </w:tc>
        <w:tc>
          <w:tcPr>
            <w:tcW w:w="3391" w:type="dxa"/>
            <w:vAlign w:val="center"/>
          </w:tcPr>
          <w:p w14:paraId="1F5780A8">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农贸</w:t>
            </w:r>
          </w:p>
        </w:tc>
      </w:tr>
      <w:tr w14:paraId="5653E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3919BFD8">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石家庄中振环保科技有限公司</w:t>
            </w:r>
          </w:p>
        </w:tc>
        <w:tc>
          <w:tcPr>
            <w:tcW w:w="3391" w:type="dxa"/>
            <w:vAlign w:val="center"/>
          </w:tcPr>
          <w:p w14:paraId="4BBD96D7">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建材</w:t>
            </w:r>
          </w:p>
        </w:tc>
      </w:tr>
      <w:tr w14:paraId="3948A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49DE090E">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赞皇县华臣美妆化妆品店</w:t>
            </w:r>
          </w:p>
        </w:tc>
        <w:tc>
          <w:tcPr>
            <w:tcW w:w="3391" w:type="dxa"/>
            <w:vAlign w:val="center"/>
          </w:tcPr>
          <w:p w14:paraId="1DCFDDCB">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日化</w:t>
            </w:r>
          </w:p>
        </w:tc>
      </w:tr>
      <w:tr w14:paraId="3F7E7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7B4FABAA">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default" w:ascii="仿宋_GB2312" w:hAnsi="仿宋_GB2312" w:eastAsia="仿宋_GB2312" w:cs="仿宋_GB2312"/>
                <w:i w:val="0"/>
                <w:iCs w:val="0"/>
                <w:caps w:val="0"/>
                <w:color w:val="auto"/>
                <w:spacing w:val="8"/>
                <w:sz w:val="32"/>
                <w:szCs w:val="32"/>
                <w:vertAlign w:val="baseline"/>
                <w:lang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石家庄得众口腔医疗服务有限公司</w:t>
            </w:r>
          </w:p>
        </w:tc>
        <w:tc>
          <w:tcPr>
            <w:tcW w:w="3391" w:type="dxa"/>
            <w:vAlign w:val="center"/>
          </w:tcPr>
          <w:p w14:paraId="096ECB2B">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default" w:ascii="仿宋_GB2312" w:hAnsi="仿宋_GB2312" w:eastAsia="仿宋_GB2312" w:cs="仿宋_GB2312"/>
                <w:i w:val="0"/>
                <w:iCs w:val="0"/>
                <w:caps w:val="0"/>
                <w:color w:val="auto"/>
                <w:spacing w:val="8"/>
                <w:sz w:val="32"/>
                <w:szCs w:val="32"/>
                <w:vertAlign w:val="baseline"/>
                <w:lang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医疗服务</w:t>
            </w:r>
          </w:p>
        </w:tc>
      </w:tr>
      <w:tr w14:paraId="4AD7E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1059C012">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赞皇县国宾酒店</w:t>
            </w:r>
          </w:p>
        </w:tc>
        <w:tc>
          <w:tcPr>
            <w:tcW w:w="3391" w:type="dxa"/>
            <w:vAlign w:val="center"/>
          </w:tcPr>
          <w:p w14:paraId="279A7E39">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餐饮</w:t>
            </w:r>
          </w:p>
        </w:tc>
      </w:tr>
      <w:tr w14:paraId="19E53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4720F83C">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石家庄顺路食品有限公司</w:t>
            </w:r>
          </w:p>
        </w:tc>
        <w:tc>
          <w:tcPr>
            <w:tcW w:w="3391" w:type="dxa"/>
            <w:vAlign w:val="center"/>
          </w:tcPr>
          <w:p w14:paraId="18FBA378">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食品经营</w:t>
            </w:r>
          </w:p>
        </w:tc>
      </w:tr>
      <w:tr w14:paraId="615D1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08C0A673">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default" w:ascii="仿宋_GB2312" w:hAnsi="仿宋_GB2312" w:eastAsia="仿宋_GB2312" w:cs="仿宋_GB2312"/>
                <w:i w:val="0"/>
                <w:iCs w:val="0"/>
                <w:caps w:val="0"/>
                <w:color w:val="auto"/>
                <w:spacing w:val="8"/>
                <w:sz w:val="32"/>
                <w:szCs w:val="32"/>
                <w:vertAlign w:val="baseline"/>
                <w:lang w:eastAsia="zh-CN"/>
              </w:rPr>
            </w:pPr>
            <w:r>
              <w:rPr>
                <w:rFonts w:hint="default" w:ascii="仿宋_GB2312" w:hAnsi="仿宋_GB2312" w:eastAsia="仿宋_GB2312" w:cs="仿宋_GB2312"/>
                <w:i w:val="0"/>
                <w:iCs w:val="0"/>
                <w:caps w:val="0"/>
                <w:color w:val="auto"/>
                <w:spacing w:val="8"/>
                <w:sz w:val="32"/>
                <w:szCs w:val="32"/>
                <w:vertAlign w:val="baseline"/>
                <w:lang w:eastAsia="zh-CN"/>
              </w:rPr>
              <w:t>见守东</w:t>
            </w:r>
            <w:r>
              <w:rPr>
                <w:rFonts w:hint="eastAsia" w:ascii="仿宋_GB2312" w:hAnsi="仿宋_GB2312" w:eastAsia="仿宋_GB2312" w:cs="仿宋_GB2312"/>
                <w:i w:val="0"/>
                <w:iCs w:val="0"/>
                <w:caps w:val="0"/>
                <w:color w:val="auto"/>
                <w:spacing w:val="8"/>
                <w:sz w:val="32"/>
                <w:szCs w:val="32"/>
                <w:vertAlign w:val="baseline"/>
                <w:lang w:val="en-US" w:eastAsia="zh-CN"/>
              </w:rPr>
              <w:t>加油站</w:t>
            </w:r>
          </w:p>
        </w:tc>
        <w:tc>
          <w:tcPr>
            <w:tcW w:w="3391" w:type="dxa"/>
            <w:vAlign w:val="center"/>
          </w:tcPr>
          <w:p w14:paraId="5DDA571E">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default" w:ascii="仿宋_GB2312" w:hAnsi="仿宋_GB2312" w:eastAsia="仿宋_GB2312" w:cs="仿宋_GB2312"/>
                <w:i w:val="0"/>
                <w:iCs w:val="0"/>
                <w:caps w:val="0"/>
                <w:color w:val="auto"/>
                <w:spacing w:val="8"/>
                <w:sz w:val="32"/>
                <w:szCs w:val="32"/>
                <w:vertAlign w:val="baseline"/>
                <w:lang w:eastAsia="zh-CN"/>
              </w:rPr>
            </w:pPr>
            <w:r>
              <w:rPr>
                <w:rFonts w:hint="eastAsia" w:ascii="仿宋_GB2312" w:hAnsi="仿宋_GB2312" w:eastAsia="仿宋_GB2312" w:cs="仿宋_GB2312"/>
                <w:i w:val="0"/>
                <w:iCs w:val="0"/>
                <w:caps w:val="0"/>
                <w:color w:val="auto"/>
                <w:spacing w:val="8"/>
                <w:sz w:val="32"/>
                <w:szCs w:val="32"/>
                <w:vertAlign w:val="baseline"/>
                <w:lang w:eastAsia="zh-CN"/>
              </w:rPr>
              <w:t>化工</w:t>
            </w:r>
          </w:p>
        </w:tc>
      </w:tr>
      <w:tr w14:paraId="4E597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24" w:type="dxa"/>
            <w:vAlign w:val="center"/>
          </w:tcPr>
          <w:p w14:paraId="3F6AAC96">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赞皇县同源五金电料</w:t>
            </w:r>
          </w:p>
        </w:tc>
        <w:tc>
          <w:tcPr>
            <w:tcW w:w="3391" w:type="dxa"/>
            <w:vAlign w:val="center"/>
          </w:tcPr>
          <w:p w14:paraId="577808E4">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个体</w:t>
            </w:r>
          </w:p>
        </w:tc>
      </w:tr>
      <w:tr w14:paraId="265DC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24" w:type="dxa"/>
            <w:vAlign w:val="center"/>
          </w:tcPr>
          <w:p w14:paraId="7DF1FFD0">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赞皇县兴晟烟酒食品店</w:t>
            </w:r>
          </w:p>
        </w:tc>
        <w:tc>
          <w:tcPr>
            <w:tcW w:w="3391" w:type="dxa"/>
            <w:vAlign w:val="center"/>
          </w:tcPr>
          <w:p w14:paraId="336E4E20">
            <w:pPr>
              <w:pStyle w:val="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rPr>
                <w:rFonts w:hint="eastAsia" w:ascii="仿宋_GB2312" w:hAnsi="仿宋_GB2312" w:eastAsia="仿宋_GB2312" w:cs="仿宋_GB2312"/>
                <w:i w:val="0"/>
                <w:iCs w:val="0"/>
                <w:caps w:val="0"/>
                <w:color w:val="auto"/>
                <w:spacing w:val="8"/>
                <w:sz w:val="32"/>
                <w:szCs w:val="32"/>
                <w:vertAlign w:val="baseline"/>
                <w:lang w:val="en-US" w:eastAsia="zh-CN"/>
              </w:rPr>
            </w:pPr>
            <w:r>
              <w:rPr>
                <w:rFonts w:hint="eastAsia" w:ascii="仿宋_GB2312" w:hAnsi="仿宋_GB2312" w:eastAsia="仿宋_GB2312" w:cs="仿宋_GB2312"/>
                <w:i w:val="0"/>
                <w:iCs w:val="0"/>
                <w:caps w:val="0"/>
                <w:color w:val="auto"/>
                <w:spacing w:val="8"/>
                <w:sz w:val="32"/>
                <w:szCs w:val="32"/>
                <w:vertAlign w:val="baseline"/>
                <w:lang w:val="en-US" w:eastAsia="zh-CN"/>
              </w:rPr>
              <w:t>个体</w:t>
            </w:r>
          </w:p>
        </w:tc>
      </w:tr>
    </w:tbl>
    <w:p w14:paraId="0CC129D2">
      <w:pPr>
        <w:ind w:firstLine="382" w:firstLineChars="200"/>
        <w:rPr>
          <w:rFonts w:hint="eastAsia"/>
          <w:b/>
          <w:bCs/>
          <w:color w:val="FF0000"/>
          <w:spacing w:val="-15"/>
          <w:lang w:eastAsia="zh-CN"/>
        </w:rPr>
      </w:pPr>
    </w:p>
    <w:sectPr>
      <w:footerReference r:id="rId5" w:type="default"/>
      <w:pgSz w:w="11906" w:h="16838"/>
      <w:pgMar w:top="1440" w:right="1800" w:bottom="1440" w:left="1800" w:header="851" w:footer="1474" w:gutter="0"/>
      <w:pgNumType w:fmt="numberInDash"/>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46718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F48FD7">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24F48FD7">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1MDQ4OTQ3NmE3YTg3MzY1MzBkOGRiOWFmMWQ3OTUifQ=="/>
  </w:docVars>
  <w:rsids>
    <w:rsidRoot w:val="00000000"/>
    <w:rsid w:val="05364EE7"/>
    <w:rsid w:val="06053772"/>
    <w:rsid w:val="06907B51"/>
    <w:rsid w:val="069B0F61"/>
    <w:rsid w:val="0E274818"/>
    <w:rsid w:val="147655B5"/>
    <w:rsid w:val="158B1D69"/>
    <w:rsid w:val="187C1D1B"/>
    <w:rsid w:val="1C767E10"/>
    <w:rsid w:val="23626FB3"/>
    <w:rsid w:val="25130587"/>
    <w:rsid w:val="2BBD048E"/>
    <w:rsid w:val="2C97160D"/>
    <w:rsid w:val="334A3622"/>
    <w:rsid w:val="3607653D"/>
    <w:rsid w:val="3B0E41F5"/>
    <w:rsid w:val="3D6C7658"/>
    <w:rsid w:val="3D6F7995"/>
    <w:rsid w:val="3F686153"/>
    <w:rsid w:val="470B34B1"/>
    <w:rsid w:val="48BF7124"/>
    <w:rsid w:val="48EC16B1"/>
    <w:rsid w:val="4952365D"/>
    <w:rsid w:val="4A49144C"/>
    <w:rsid w:val="55C40E06"/>
    <w:rsid w:val="5724398D"/>
    <w:rsid w:val="59413418"/>
    <w:rsid w:val="5DD91A0F"/>
    <w:rsid w:val="5F4C3CB0"/>
    <w:rsid w:val="6B8B4ED3"/>
    <w:rsid w:val="71214C79"/>
    <w:rsid w:val="71A15ACA"/>
    <w:rsid w:val="7E0275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ar-SA"/>
    </w:rPr>
  </w:style>
  <w:style w:type="paragraph" w:styleId="2">
    <w:name w:val="heading 1"/>
    <w:basedOn w:val="1"/>
    <w:next w:val="1"/>
    <w:qFormat/>
    <w:uiPriority w:val="1"/>
    <w:pPr>
      <w:ind w:left="180"/>
      <w:outlineLvl w:val="1"/>
    </w:pPr>
    <w:rPr>
      <w:rFonts w:ascii="方正小标宋简体" w:hAnsi="方正小标宋简体" w:eastAsia="方正小标宋简体" w:cs="方正小标宋简体"/>
      <w:sz w:val="44"/>
      <w:szCs w:val="44"/>
    </w:rPr>
  </w:style>
  <w:style w:type="character" w:default="1" w:styleId="9">
    <w:name w:val="Default Paragraph Font"/>
    <w:semiHidden/>
    <w:unhideWhenUsed/>
    <w:qFormat/>
    <w:uiPriority w:val="1"/>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left="146"/>
    </w:pPr>
    <w:rPr>
      <w:rFonts w:ascii="仿宋" w:hAnsi="仿宋" w:eastAsia="仿宋" w:cs="仿宋"/>
      <w:sz w:val="32"/>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qFormat/>
    <w:uiPriority w:val="0"/>
    <w:rPr>
      <w:color w:val="0000FF"/>
      <w:u w:val="single"/>
    </w:r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style>
  <w:style w:type="paragraph" w:customStyle="1" w:styleId="13">
    <w:name w:val="Table Paragraph"/>
    <w:basedOn w:val="1"/>
    <w:qFormat/>
    <w:uiPriority w:val="1"/>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493db1af-3dd1-42e5-9a33-249623832bcd</errorID>
      <errorWord>。</errorWord>
      <group>L1_AI</group>
      <groupName>深度校对</groupName>
      <ability>L2_AI_Punc</ability>
      <abilityName>标点纠错</abilityName>
      <candidateList>
        <item>，</item>
      </candidateList>
      <explain/>
      <paraID>4D8E4231</paraID>
      <start>69</start>
      <end>70</end>
      <status>modified</status>
      <modifiedWord>，</modifiedWord>
      <trackRevisions>false</trackRevisions>
    </reviewItem>
    <reviewItem>
      <errorID>81c4545e-24d5-4dc5-a1aa-50b6579013c8</errorID>
      <errorWord>。</errorWord>
      <group>L1_AI</group>
      <groupName>深度校对</groupName>
      <ability>L2_AI_Punc</ability>
      <abilityName>标点纠错</abilityName>
      <candidateList>
        <item>，</item>
      </candidateList>
      <explain/>
      <paraID>4D8E4231</paraID>
      <start>91</start>
      <end>92</end>
      <status>modified</status>
      <modifiedWord>，</modifiedWord>
      <trackRevisions>false</trackRevisions>
    </reviewItem>
    <reviewItem>
      <errorID>bebba96b-c717-42c2-af92-17b64d9584c2</errorID>
      <errorWord>；</errorWord>
      <group>L1_AI</group>
      <groupName>深度校对</groupName>
      <ability>L2_AI_Punc</ability>
      <abilityName>标点纠错</abilityName>
      <candidateList>
        <item>。</item>
      </candidateList>
      <explain/>
      <paraID>5FF77CE5</paraID>
      <start>87</start>
      <end>88</end>
      <status>modified</status>
      <modifiedWord>。</modifiedWord>
      <trackRevisions>false</trackRevisions>
    </reviewItem>
    <reviewItem>
      <errorID>21f20ec1-9e0b-4112-9719-c64a4728e1eb</errorID>
      <errorWord>0311—84221011</errorWord>
      <group>L1_Punc</group>
      <groupName>标点问题</groupName>
      <ability>L2_Punc</ability>
      <abilityName>标点符号检查</abilityName>
      <candidateList>
        <item>0311-84221011</item>
      </candidateList>
      <explain>电话号码使用短横线。</explain>
      <paraID>4566D2F8</paraID>
      <start>5</start>
      <end>18</end>
      <status>modified</status>
      <modifiedWord>0311-84221011</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7540cb-e09d-434f-879a-9640a83b7fe9}">
  <ds:schemaRefs/>
</ds:datastoreItem>
</file>

<file path=docProps/app.xml><?xml version="1.0" encoding="utf-8"?>
<Properties xmlns="http://schemas.openxmlformats.org/officeDocument/2006/extended-properties" xmlns:vt="http://schemas.openxmlformats.org/officeDocument/2006/docPropsVTypes">
  <Template>Normal</Template>
  <Pages>3</Pages>
  <Words>686</Words>
  <Characters>726</Characters>
  <TotalTime>46</TotalTime>
  <ScaleCrop>false</ScaleCrop>
  <LinksUpToDate>false</LinksUpToDate>
  <CharactersWithSpaces>727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2021-03-09T01:04:00Z</dcterms:created>
  <dc:creator>lenovo</dc:creator>
  <cp:lastModifiedBy>韬</cp:lastModifiedBy>
  <cp:lastPrinted>2026-02-03T02:25:00Z</cp:lastPrinted>
  <dcterms:modified xsi:type="dcterms:W3CDTF">2026-02-09T03:21:37Z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2021-03-08T00:00:00Z</vt:filetime>
  </property>
  <property fmtid="{D5CDD505-2E9C-101B-9397-08002B2CF9AE}" pid="3" name="Creator">
    <vt:lpwstr>WPS Office</vt:lpwstr>
  </property>
  <property fmtid="{D5CDD505-2E9C-101B-9397-08002B2CF9AE}" pid="4" name="LastSaved">
    <vt:filetime>2021-03-09T00:00:00Z</vt:filetime>
  </property>
  <property fmtid="{D5CDD505-2E9C-101B-9397-08002B2CF9AE}" pid="5" name="KSOProductBuildVer">
    <vt:lpwstr>2052-12.1.0.24657</vt:lpwstr>
  </property>
  <property fmtid="{D5CDD505-2E9C-101B-9397-08002B2CF9AE}" pid="6" name="ICV">
    <vt:lpwstr>7EC1E87061DA46E8873A80384B65C04A_13</vt:lpwstr>
  </property>
  <property fmtid="{D5CDD505-2E9C-101B-9397-08002B2CF9AE}" pid="7" name="KSOTemplateDocerSaveRecord">
    <vt:lpwstr>eyJoZGlkIjoiNDAyMzk5YjAwNjBkMDdjNjAyMGUyZGZkY2Y0YWNkMjAiLCJ1c2VySWQiOiI1MTQ0NDYyNTIifQ==</vt:lpwstr>
  </property>
</Properties>
</file>