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26B0D4">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赞皇县应急管理局</w:t>
      </w:r>
    </w:p>
    <w:p w14:paraId="501AB067">
      <w:pPr>
        <w:pStyle w:val="2"/>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2025年度法治政府建设工作总结</w:t>
      </w:r>
    </w:p>
    <w:p w14:paraId="28230216">
      <w:pPr>
        <w:pStyle w:val="2"/>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方正小标宋简体" w:hAnsi="方正小标宋简体" w:eastAsia="方正小标宋简体" w:cs="方正小标宋简体"/>
          <w:b w:val="0"/>
          <w:bCs w:val="0"/>
          <w:sz w:val="44"/>
          <w:szCs w:val="44"/>
          <w:lang w:val="en-US" w:eastAsia="zh-CN"/>
        </w:rPr>
      </w:pPr>
    </w:p>
    <w:p w14:paraId="6A5C949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仿宋_GB2312" w:hAnsi="仿宋_GB2312" w:cs="仿宋_GB2312"/>
          <w:kern w:val="2"/>
          <w:sz w:val="32"/>
          <w:szCs w:val="32"/>
          <w:lang w:val="en-US" w:eastAsia="zh-CN" w:bidi="ar-SA"/>
        </w:rPr>
        <w:t>2025年，赞皇县应急管理局坚持以习近平新时代中国特色社会主义思想为指导，深入践行习近平法治思想，全面贯彻党的二十大、二十届历次全会精神，严格按照省、市法治政府建设工作部署及县委、县政府具体要求，紧密围绕全县应急管理中心任务，将法治理念全面融入安全生产、防灾减灾救灾和应急救援各环节，以提升执法规范化水平、增强依法行政能力为核心，扎实推进各项工作，为维护全县安全稳定大局提供了坚实的法治保障。现将本年度工作情况总结如下：</w:t>
      </w:r>
    </w:p>
    <w:p w14:paraId="242716C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一、强化政治引领，压实法治建设责任</w:t>
      </w:r>
    </w:p>
    <w:p w14:paraId="2BCEC5C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（一）加强组织领导部署</w:t>
      </w:r>
    </w:p>
    <w:p w14:paraId="50E8245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仿宋_GB2312" w:hAnsi="仿宋_GB2312" w:cs="仿宋_GB2312"/>
          <w:kern w:val="2"/>
          <w:sz w:val="32"/>
          <w:szCs w:val="32"/>
          <w:lang w:val="en-US" w:eastAsia="zh-CN" w:bidi="ar-SA"/>
        </w:rPr>
      </w:pPr>
      <w:r>
        <w:rPr>
          <w:rFonts w:hint="eastAsia" w:ascii="仿宋_GB2312" w:hAnsi="仿宋_GB2312" w:cs="仿宋_GB2312"/>
          <w:kern w:val="2"/>
          <w:sz w:val="32"/>
          <w:szCs w:val="32"/>
          <w:lang w:val="en-US" w:eastAsia="zh-CN" w:bidi="ar-SA"/>
        </w:rPr>
        <w:t>及时调整并充实局依法行政工作领导小组，由局长任组长，班子成员分工负责，各股室及下属单位负责人为成员。将法治建设纳入年度重点工作计划，与业务工作同部署、同推进、同考核。局党委全年专题研究法治建设工作4次，及时解决执法规范化、普法宣传、队伍建设等方面的重点难点问题，确保法治建设方向不偏、力度不减。</w:t>
      </w:r>
    </w:p>
    <w:p w14:paraId="1EDB271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（二）压实第一责任人职责</w:t>
      </w:r>
    </w:p>
    <w:p w14:paraId="49402F0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仿宋_GB2312" w:hAnsi="仿宋_GB2312" w:eastAsia="黑体" w:cs="仿宋_GB2312"/>
          <w:kern w:val="2"/>
          <w:sz w:val="32"/>
          <w:szCs w:val="32"/>
          <w:lang w:val="en-US" w:eastAsia="zh-CN" w:bidi="ar-SA"/>
        </w:rPr>
      </w:pPr>
      <w:r>
        <w:rPr>
          <w:rFonts w:hint="eastAsia" w:ascii="仿宋_GB2312" w:hAnsi="仿宋_GB2312" w:cs="仿宋_GB2312"/>
          <w:kern w:val="2"/>
          <w:sz w:val="32"/>
          <w:szCs w:val="32"/>
          <w:lang w:val="en-US" w:eastAsia="zh-CN" w:bidi="ar-SA"/>
        </w:rPr>
        <w:t>严格履行党政主要负责人推进法治建设第一责任人职责，坚持领导干部带头学法用法。将习近平法治思想及《安全生产法》《突发事件应对法》等核心法律法规纳入党委理论学习中心组学习计划和干部教育必修课，全年组织中心组专题学法研讨4次，全局干部职工集中学法12次，将法治建设履职情况纳入领导班子和干部年度述职报告，形成主要领导亲自抓、分管领导具体抓、各股室协同抓的工作格局。</w:t>
      </w:r>
    </w:p>
    <w:p w14:paraId="0CEA52B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（三）完善制度机制保障</w:t>
      </w:r>
    </w:p>
    <w:p w14:paraId="5BD27F0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仿宋_GB2312" w:hAnsi="仿宋_GB2312" w:cs="仿宋_GB2312"/>
          <w:kern w:val="2"/>
          <w:sz w:val="32"/>
          <w:szCs w:val="32"/>
          <w:lang w:val="en-US" w:eastAsia="zh-CN" w:bidi="ar-SA"/>
        </w:rPr>
      </w:pPr>
      <w:r>
        <w:rPr>
          <w:rFonts w:hint="eastAsia" w:ascii="仿宋_GB2312" w:hAnsi="仿宋_GB2312" w:cs="仿宋_GB2312"/>
          <w:kern w:val="2"/>
          <w:sz w:val="32"/>
          <w:szCs w:val="32"/>
          <w:lang w:val="en-US" w:eastAsia="zh-CN" w:bidi="ar-SA"/>
        </w:rPr>
        <w:t>修订完善《重大行政决策程序规定》《行政执法公示制度》《执法全过程记录制度》《重大执法决定法制审核制度》等各项制度，明确决策流程、执法规范和审核标准。聘请专业律师担任法律顾问，确保行政行为合法合规。严格执行规范性文件"三统一"制度，完成年度规范性文件清理工作，无违规文件留存。</w:t>
      </w:r>
    </w:p>
    <w:p w14:paraId="2501842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二、聚焦规范执法，提升依法行政效能</w:t>
      </w:r>
    </w:p>
    <w:p w14:paraId="53154A2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70" w:lineRule="exact"/>
        <w:ind w:right="0" w:righ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（一）优化执法监管模式</w:t>
      </w:r>
    </w:p>
    <w:p w14:paraId="3A909E15">
      <w:pPr>
        <w:pStyle w:val="10"/>
        <w:keepNext w:val="0"/>
        <w:keepLines w:val="0"/>
        <w:pageBreakBefore w:val="0"/>
        <w:widowControl w:val="0"/>
        <w:numPr>
          <w:ilvl w:val="0"/>
          <w:numId w:val="0"/>
        </w:numPr>
        <w:kinsoku/>
        <w:wordWrap/>
        <w:overflowPunct/>
        <w:topLinePunct w:val="0"/>
        <w:autoSpaceDE/>
        <w:autoSpaceDN/>
        <w:bidi w:val="0"/>
        <w:adjustRightInd/>
        <w:snapToGrid/>
        <w:spacing w:line="57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cs="仿宋_GB2312"/>
          <w:kern w:val="2"/>
          <w:sz w:val="32"/>
          <w:szCs w:val="32"/>
          <w:lang w:val="en-US" w:eastAsia="zh-CN" w:bidi="ar-SA"/>
        </w:rPr>
        <w:t>编制2025年度安全生产监督检查计划，经县政府批准、市应急局备案后严格实施，执法计划完成率100%。全面推行“双随机、一公开”监管，结合“互联网+执法”系统，实现检查对象、执法人员随机抽取，检查结果及时公示。针对危险化学品、非煤矿山、工贸企业等重点领域，</w:t>
      </w:r>
      <w:r>
        <w:rPr>
          <w:rFonts w:hint="eastAsia" w:ascii="仿宋_GB2312" w:hAnsi="仿宋_GB2312" w:cs="仿宋_GB2312"/>
          <w:color w:val="000000" w:themeColor="text1"/>
          <w:kern w:val="2"/>
          <w:sz w:val="32"/>
          <w:szCs w:val="32"/>
          <w:highlight w:val="none"/>
          <w:lang w:val="en-US" w:eastAsia="zh-CN" w:bidi="ar-SA"/>
          <w14:textFill>
            <w14:solidFill>
              <w14:schemeClr w14:val="tx1"/>
            </w14:solidFill>
          </w14:textFill>
        </w:rPr>
        <w:t>扎实</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开展安全生产大检查、安全生产重大事故隐患专项排查整治等活动。累积排查各类生产经营单位</w:t>
      </w:r>
      <w:r>
        <w:rPr>
          <w:rFonts w:hint="eastAsia" w:ascii="仿宋_GB2312" w:hAnsi="仿宋_GB2312" w:cs="仿宋_GB2312"/>
          <w:color w:val="000000" w:themeColor="text1"/>
          <w:kern w:val="2"/>
          <w:sz w:val="32"/>
          <w:szCs w:val="32"/>
          <w:highlight w:val="none"/>
          <w:lang w:val="en-US" w:eastAsia="zh-CN" w:bidi="ar-SA"/>
          <w14:textFill>
            <w14:solidFill>
              <w14:schemeClr w14:val="tx1"/>
            </w14:solidFill>
          </w14:textFill>
        </w:rPr>
        <w:t>168</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家，督促整改各类隐患6</w:t>
      </w:r>
      <w:r>
        <w:rPr>
          <w:rFonts w:hint="eastAsia" w:ascii="仿宋_GB2312" w:hAnsi="仿宋_GB2312" w:cs="仿宋_GB2312"/>
          <w:color w:val="000000" w:themeColor="text1"/>
          <w:kern w:val="2"/>
          <w:sz w:val="32"/>
          <w:szCs w:val="32"/>
          <w:highlight w:val="none"/>
          <w:lang w:val="en-US" w:eastAsia="zh-CN" w:bidi="ar-SA"/>
          <w14:textFill>
            <w14:solidFill>
              <w14:schemeClr w14:val="tx1"/>
            </w14:solidFill>
          </w14:textFill>
        </w:rPr>
        <w:t>12</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项，切实维护了</w:t>
      </w:r>
      <w:r>
        <w:rPr>
          <w:rFonts w:hint="eastAsia" w:ascii="仿宋_GB2312" w:hAnsi="仿宋_GB2312" w:cs="仿宋_GB2312"/>
          <w:color w:val="000000" w:themeColor="text1"/>
          <w:kern w:val="2"/>
          <w:sz w:val="32"/>
          <w:szCs w:val="32"/>
          <w:highlight w:val="none"/>
          <w:lang w:val="en-US" w:eastAsia="zh-CN" w:bidi="ar-SA"/>
          <w14:textFill>
            <w14:solidFill>
              <w14:schemeClr w14:val="tx1"/>
            </w14:solidFill>
          </w14:textFill>
        </w:rPr>
        <w:t>监管行业领域</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安全生产形势</w:t>
      </w:r>
      <w:r>
        <w:rPr>
          <w:rFonts w:hint="eastAsia" w:ascii="仿宋_GB2312" w:hAnsi="仿宋_GB2312" w:cs="仿宋_GB2312"/>
          <w:color w:val="000000" w:themeColor="text1"/>
          <w:kern w:val="2"/>
          <w:sz w:val="32"/>
          <w:szCs w:val="32"/>
          <w:highlight w:val="none"/>
          <w:lang w:val="en-US" w:eastAsia="zh-CN" w:bidi="ar-SA"/>
          <w14:textFill>
            <w14:solidFill>
              <w14:schemeClr w14:val="tx1"/>
            </w14:solidFill>
          </w14:textFill>
        </w:rPr>
        <w:t>稳定</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w:t>
      </w:r>
    </w:p>
    <w:p w14:paraId="465592A5">
      <w:pPr>
        <w:pStyle w:val="4"/>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right="0" w:rightChars="0" w:firstLine="640" w:firstLineChars="200"/>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强化基层应急管理组织体系建设</w:t>
      </w:r>
    </w:p>
    <w:p w14:paraId="6F9968DE">
      <w:pPr>
        <w:pStyle w:val="4"/>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为进一步理清我县有关部门安全生产工作责任，形成上下齐抓共管工作合力，制定印发了《赞皇县安全生产职责清单》，明确了县安委会成员单位共同职责12项以及32个成员单位223项具体职责；督促县交通运输、市场监管、水利等19个行业部门制定了27个《行业领域安全生产风险问题和管控措施清单》，每月编发&lt;安全风险提示函&gt;&lt;安全事故警示函&gt;，时刻提醒各单位加强安全防范，强化末端责任落实。</w:t>
      </w:r>
    </w:p>
    <w:p w14:paraId="17C5BFD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制定《赞皇县2025年秋冬季森林草原防火工作方案》《赞皇县森林草原火情处置指导手册》，对全县防火工作进行全面部署，调整县森林草原防灭火指挥部，推动落实属地、部门、经营单位和网格管护“四方责任”落实，形成县包乡、乡包村、村包片的层级责任制，明确任务分工。</w:t>
      </w:r>
    </w:p>
    <w:p w14:paraId="43235E6F">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结合防汛工作特点编制了《赞皇县防汛工作指导手册》，为防汛决策提供依据，汛期成立防汛专班，集中办公，强化风险会商研判，</w:t>
      </w:r>
      <w:r>
        <w:rPr>
          <w:rFonts w:hint="eastAsia" w:ascii="仿宋_GB2312" w:hAnsi="仿宋_GB2312" w:eastAsia="仿宋_GB2312" w:cs="仿宋_GB2312"/>
          <w:sz w:val="32"/>
          <w:szCs w:val="32"/>
          <w:lang w:val="en-US" w:eastAsia="zh-CN"/>
        </w:rPr>
        <w:t>健全完善了紧急避险“叫应”机制，</w:t>
      </w:r>
      <w:r>
        <w:rPr>
          <w:rFonts w:hint="eastAsia" w:ascii="仿宋_GB2312" w:hAnsi="仿宋_GB2312" w:eastAsia="仿宋_GB2312" w:cs="仿宋_GB2312"/>
          <w:sz w:val="32"/>
          <w:szCs w:val="32"/>
        </w:rPr>
        <w:t>实现了安全度汛。</w:t>
      </w:r>
    </w:p>
    <w:p w14:paraId="799DC4CD">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三、深化普法宣传，筑牢法治思想根基</w:t>
      </w:r>
    </w:p>
    <w:p w14:paraId="29B95661">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jc w:val="left"/>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（一）抓实重点节点宣传</w:t>
      </w:r>
    </w:p>
    <w:p w14:paraId="22A0B39D">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织开展“安全带回家，祥和过大年”集中宣传活动，宣贯1200余人；春节期间发送安全生产和森林防火安全提示短信7.5万条；组织368家企业收听收看“开工第一课”3229人次；组织开展“6·16全国安全宣传咨询日”活动，悬挂宣传条幅3条，设置宣传站台16个，吸引1300余人前来咨询。组建专项宣讲组，邀请省市专家及业务骨干对全县村（社区）党支部书记及重点人员开展《条例》与灾害防御专题培训，累计宣贯359场次、3万余人次，进一步提升了全民防范意识。</w:t>
      </w:r>
    </w:p>
    <w:p w14:paraId="033ED240">
      <w:pPr>
        <w:pStyle w:val="4"/>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Chars="200" w:right="0" w:rightChars="0"/>
        <w:textAlignment w:val="auto"/>
        <w:rPr>
          <w:rFonts w:hint="eastAsia" w:ascii="楷体_GB2312" w:hAnsi="楷体_GB2312" w:eastAsia="楷体_GB2312" w:cs="楷体_GB2312"/>
          <w:i w:val="0"/>
          <w:iCs w:val="0"/>
          <w:caps w:val="0"/>
          <w:color w:val="000000" w:themeColor="text1"/>
          <w:spacing w:val="0"/>
          <w:sz w:val="32"/>
          <w:szCs w:val="32"/>
          <w:highlight w:val="none"/>
          <w14:textFill>
            <w14:solidFill>
              <w14:schemeClr w14:val="tx1"/>
            </w14:solidFill>
          </w14:textFill>
        </w:rPr>
      </w:pPr>
      <w:r>
        <w:rPr>
          <w:rFonts w:hint="eastAsia" w:ascii="楷体_GB2312" w:hAnsi="楷体_GB2312" w:eastAsia="楷体_GB2312" w:cs="楷体_GB2312"/>
          <w:i w:val="0"/>
          <w:iCs w:val="0"/>
          <w:caps w:val="0"/>
          <w:color w:val="000000" w:themeColor="text1"/>
          <w:spacing w:val="0"/>
          <w:sz w:val="32"/>
          <w:szCs w:val="32"/>
          <w:highlight w:val="none"/>
          <w:lang w:eastAsia="zh-CN"/>
          <w14:textFill>
            <w14:solidFill>
              <w14:schemeClr w14:val="tx1"/>
            </w14:solidFill>
          </w14:textFill>
        </w:rPr>
        <w:t>（</w:t>
      </w:r>
      <w:r>
        <w:rPr>
          <w:rFonts w:hint="eastAsia" w:ascii="楷体_GB2312" w:hAnsi="楷体_GB2312" w:eastAsia="楷体_GB2312" w:cs="楷体_GB2312"/>
          <w:i w:val="0"/>
          <w:iCs w:val="0"/>
          <w:caps w:val="0"/>
          <w:color w:val="000000" w:themeColor="text1"/>
          <w:spacing w:val="0"/>
          <w:sz w:val="32"/>
          <w:szCs w:val="32"/>
          <w:highlight w:val="none"/>
          <w:lang w:val="en-US" w:eastAsia="zh-CN"/>
          <w14:textFill>
            <w14:solidFill>
              <w14:schemeClr w14:val="tx1"/>
            </w14:solidFill>
          </w14:textFill>
        </w:rPr>
        <w:t>二</w:t>
      </w:r>
      <w:r>
        <w:rPr>
          <w:rFonts w:hint="eastAsia" w:ascii="楷体_GB2312" w:hAnsi="楷体_GB2312" w:eastAsia="楷体_GB2312" w:cs="楷体_GB2312"/>
          <w:i w:val="0"/>
          <w:iCs w:val="0"/>
          <w:caps w:val="0"/>
          <w:color w:val="000000" w:themeColor="text1"/>
          <w:spacing w:val="0"/>
          <w:sz w:val="32"/>
          <w:szCs w:val="32"/>
          <w:highlight w:val="none"/>
          <w:lang w:eastAsia="zh-CN"/>
          <w14:textFill>
            <w14:solidFill>
              <w14:schemeClr w14:val="tx1"/>
            </w14:solidFill>
          </w14:textFill>
        </w:rPr>
        <w:t>）</w:t>
      </w:r>
      <w:r>
        <w:rPr>
          <w:rFonts w:hint="eastAsia" w:ascii="楷体_GB2312" w:hAnsi="楷体_GB2312" w:eastAsia="楷体_GB2312" w:cs="楷体_GB2312"/>
          <w:i w:val="0"/>
          <w:iCs w:val="0"/>
          <w:caps w:val="0"/>
          <w:color w:val="000000" w:themeColor="text1"/>
          <w:spacing w:val="0"/>
          <w:sz w:val="32"/>
          <w:szCs w:val="32"/>
          <w:highlight w:val="none"/>
          <w14:textFill>
            <w14:solidFill>
              <w14:schemeClr w14:val="tx1"/>
            </w14:solidFill>
          </w14:textFill>
        </w:rPr>
        <w:t>开展法治教育培训</w:t>
      </w:r>
    </w:p>
    <w:p w14:paraId="3393E8AF">
      <w:pPr>
        <w:pStyle w:val="4"/>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right="0" w:rightChars="0" w:firstLine="640" w:firstLineChars="200"/>
        <w:textAlignment w:val="auto"/>
        <w:rPr>
          <w:rFonts w:hint="eastAsia" w:ascii="仿宋_GB2312" w:hAnsi="仿宋_GB2312" w:eastAsia="仿宋_GB2312" w:cs="仿宋_GB2312"/>
          <w:i w:val="0"/>
          <w:iCs w:val="0"/>
          <w:caps w:val="0"/>
          <w:color w:val="000000" w:themeColor="text1"/>
          <w:spacing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邀请省市专家</w:t>
      </w:r>
      <w:r>
        <w:rPr>
          <w:rFonts w:hint="eastAsia" w:ascii="仿宋_GB2312" w:hAnsi="仿宋_GB2312" w:eastAsia="仿宋_GB2312" w:cs="仿宋_GB2312"/>
          <w:i w:val="0"/>
          <w:iCs w:val="0"/>
          <w:caps w:val="0"/>
          <w:color w:val="000000" w:themeColor="text1"/>
          <w:spacing w:val="0"/>
          <w:sz w:val="32"/>
          <w:szCs w:val="32"/>
          <w:highlight w:val="none"/>
          <w:lang w:val="en-US" w:eastAsia="zh-CN"/>
          <w14:textFill>
            <w14:solidFill>
              <w14:schemeClr w14:val="tx1"/>
            </w14:solidFill>
          </w14:textFill>
        </w:rPr>
        <w:t>对局全体执法人员、企业主要负责人，开展安全生产教育政策专题宣讲培训，对《中华人民共和国安全生产法》、《河北省安全生产条例》、《中华人民共和国行政处罚法》等安全生产相关法律法规进行宣讲，培训人数300余人。</w:t>
      </w:r>
    </w:p>
    <w:p w14:paraId="49101830">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jc w:val="left"/>
        <w:textAlignment w:val="auto"/>
        <w:outlineLvl w:val="9"/>
        <w:rPr>
          <w:rFonts w:hint="default"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四、存在不足及下一步计划</w:t>
      </w:r>
    </w:p>
    <w:p w14:paraId="4B3C7644">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在总结成绩的同时，我们也清醒认识到当前工作中存在的一些不足：一是执法能力依然薄弱，监管覆盖存在盲区；二是事前预防和风险管控的主动性、创新性有待加强；三是部分小微企业法治意识淡薄，主体责任落实不到位现象依然存在；四是执法科技化、信息化应用水平有待深化，数据赋能智慧监管的潜力尚未充分释放。</w:t>
      </w:r>
    </w:p>
    <w:p w14:paraId="3169BE08">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下一步，我局将坚持问题导向，聚焦短板弱项，</w:t>
      </w:r>
      <w:r>
        <w:rPr>
          <w:rFonts w:hint="eastAsia" w:ascii="仿宋_GB2312" w:hAnsi="仿宋_GB2312" w:eastAsia="仿宋_GB2312" w:cs="仿宋_GB2312"/>
          <w:b/>
          <w:bCs/>
          <w:i w:val="0"/>
          <w:iCs w:val="0"/>
          <w:caps w:val="0"/>
          <w:color w:val="000000" w:themeColor="text1"/>
          <w:spacing w:val="0"/>
          <w:kern w:val="2"/>
          <w:sz w:val="32"/>
          <w:szCs w:val="32"/>
          <w:highlight w:val="none"/>
          <w:lang w:val="en-US" w:eastAsia="zh-CN" w:bidi="ar-SA"/>
          <w14:textFill>
            <w14:solidFill>
              <w14:schemeClr w14:val="tx1"/>
            </w14:solidFill>
          </w14:textFill>
        </w:rPr>
        <w:t>一是持续强化法治责任落实。</w:t>
      </w: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将法治政府建设纳入年度考核重点，细化责任清单，加强督导检查，推动各项任务落地见效。深化习近平法治思想学习教育，完善党委学法、干部学法制度，提升运用法治思维解决问题的能力。</w:t>
      </w:r>
      <w:r>
        <w:rPr>
          <w:rFonts w:hint="eastAsia" w:ascii="仿宋_GB2312" w:hAnsi="仿宋_GB2312" w:eastAsia="仿宋_GB2312" w:cs="仿宋_GB2312"/>
          <w:b/>
          <w:bCs/>
          <w:i w:val="0"/>
          <w:iCs w:val="0"/>
          <w:caps w:val="0"/>
          <w:color w:val="000000" w:themeColor="text1"/>
          <w:spacing w:val="0"/>
          <w:kern w:val="2"/>
          <w:sz w:val="32"/>
          <w:szCs w:val="32"/>
          <w:highlight w:val="none"/>
          <w:lang w:val="en-US" w:eastAsia="zh-CN" w:bidi="ar-SA"/>
          <w14:textFill>
            <w14:solidFill>
              <w14:schemeClr w14:val="tx1"/>
            </w14:solidFill>
          </w14:textFill>
        </w:rPr>
        <w:t>二是深化执法规范化建设。</w:t>
      </w: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健全执法程序标准，优化执法流程，加强执法全过程监督。加大基层执法力量投入，开展乡镇执法人员轮训，提升基层执法能力。推进执法信息化建设，深化"互联网+执法"系统应用，提高执法精准度和效率。</w:t>
      </w:r>
      <w:r>
        <w:rPr>
          <w:rFonts w:hint="eastAsia" w:ascii="仿宋_GB2312" w:hAnsi="仿宋_GB2312" w:eastAsia="仿宋_GB2312" w:cs="仿宋_GB2312"/>
          <w:b/>
          <w:bCs/>
          <w:i w:val="0"/>
          <w:iCs w:val="0"/>
          <w:caps w:val="0"/>
          <w:color w:val="000000" w:themeColor="text1"/>
          <w:spacing w:val="0"/>
          <w:kern w:val="2"/>
          <w:sz w:val="32"/>
          <w:szCs w:val="32"/>
          <w:highlight w:val="none"/>
          <w:lang w:val="en-US" w:eastAsia="zh-CN" w:bidi="ar-SA"/>
          <w14:textFill>
            <w14:solidFill>
              <w14:schemeClr w14:val="tx1"/>
            </w14:solidFill>
          </w14:textFill>
        </w:rPr>
        <w:t>三是创新普法宣传方式。</w:t>
      </w: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聚焦重点企业、重点人群，开展精准普法培训，增强企业负责人法治意识和责任担当。丰富普法载体，利用新媒体平台，提升普法宣传的趣味性和实效性。建立企业法治教育长效机制，推动安全生产主体责任落到实处。</w:t>
      </w:r>
    </w:p>
    <w:p w14:paraId="69681221">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2026年，赞皇县应急管理局将以问题为导向，补短板、强弱项，持续推进法治政府建设向纵深发展，不断提升应急管理法治化水平，为建设更高水平的平安赞皇、法治赞皇提供坚强保障。</w:t>
      </w:r>
    </w:p>
    <w:p w14:paraId="2FCE39D9">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p>
    <w:p w14:paraId="55805329">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rightChars="0" w:firstLine="640" w:firstLineChars="200"/>
        <w:jc w:val="right"/>
        <w:textAlignment w:val="auto"/>
        <w:rPr>
          <w:rFonts w:hint="default"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 xml:space="preserve">     赞皇县应急管理局     </w:t>
      </w:r>
    </w:p>
    <w:p w14:paraId="39DAF2E8">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rightChars="0" w:firstLine="640" w:firstLineChars="200"/>
        <w:jc w:val="right"/>
        <w:textAlignment w:val="auto"/>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 xml:space="preserve"> 2026年1月</w:t>
      </w:r>
      <w:r>
        <w:rPr>
          <w:rFonts w:hint="eastAsia" w:ascii="仿宋_GB2312" w:hAnsi="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9</w:t>
      </w:r>
      <w:bookmarkStart w:id="0" w:name="_GoBack"/>
      <w:bookmarkEnd w:id="0"/>
      <w:r>
        <w:rPr>
          <w:rFonts w:hint="eastAsia" w:ascii="仿宋_GB2312" w:hAnsi="仿宋_GB2312" w:eastAsia="仿宋_GB2312" w:cs="仿宋_GB2312"/>
          <w:i w:val="0"/>
          <w:iCs w:val="0"/>
          <w:caps w:val="0"/>
          <w:color w:val="000000" w:themeColor="text1"/>
          <w:spacing w:val="0"/>
          <w:kern w:val="2"/>
          <w:sz w:val="32"/>
          <w:szCs w:val="32"/>
          <w:highlight w:val="none"/>
          <w:lang w:val="en-US" w:eastAsia="zh-CN" w:bidi="ar-SA"/>
          <w14:textFill>
            <w14:solidFill>
              <w14:schemeClr w14:val="tx1"/>
            </w14:solidFill>
          </w14:textFill>
        </w:rPr>
        <w:t xml:space="preserve">日 </w:t>
      </w:r>
    </w:p>
    <w:p w14:paraId="0BF7C40F">
      <w:pPr>
        <w:keepNext w:val="0"/>
        <w:keepLines w:val="0"/>
        <w:pageBreakBefore w:val="0"/>
        <w:kinsoku/>
        <w:wordWrap/>
        <w:overflowPunct/>
        <w:topLinePunct w:val="0"/>
        <w:autoSpaceDE/>
        <w:autoSpaceDN/>
        <w:bidi w:val="0"/>
        <w:spacing w:line="570" w:lineRule="exact"/>
        <w:textAlignment w:val="auto"/>
        <w:rPr>
          <w:rFonts w:hint="eastAsia" w:eastAsia="宋体"/>
          <w:lang w:eastAsia="zh-CN"/>
        </w:rPr>
      </w:pPr>
    </w:p>
    <w:p w14:paraId="77589B6E">
      <w:pPr>
        <w:keepNext w:val="0"/>
        <w:keepLines w:val="0"/>
        <w:pageBreakBefore w:val="0"/>
        <w:kinsoku/>
        <w:wordWrap/>
        <w:overflowPunct/>
        <w:topLinePunct w:val="0"/>
        <w:autoSpaceDE/>
        <w:autoSpaceDN/>
        <w:bidi w:val="0"/>
        <w:spacing w:line="570" w:lineRule="exact"/>
        <w:textAlignment w:val="auto"/>
      </w:pPr>
    </w:p>
    <w:sectPr>
      <w:footerReference r:id="rId3" w:type="default"/>
      <w:pgSz w:w="11906" w:h="16838"/>
      <w:pgMar w:top="2098" w:right="1474" w:bottom="1984" w:left="1587" w:header="851" w:footer="1474"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FD729">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A7A5401">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4A7A5401">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F21A"/>
    <w:multiLevelType w:val="singleLevel"/>
    <w:tmpl w:val="BF78F21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F737DD"/>
    <w:rsid w:val="092403B3"/>
    <w:rsid w:val="0BCC2B19"/>
    <w:rsid w:val="0EDC59E2"/>
    <w:rsid w:val="19F737DD"/>
    <w:rsid w:val="1BE77B2D"/>
    <w:rsid w:val="1DF32187"/>
    <w:rsid w:val="23807CAB"/>
    <w:rsid w:val="27C04E47"/>
    <w:rsid w:val="2C262215"/>
    <w:rsid w:val="3BFA6BCE"/>
    <w:rsid w:val="3E3E487E"/>
    <w:rsid w:val="40920B61"/>
    <w:rsid w:val="509A2660"/>
    <w:rsid w:val="62E87549"/>
    <w:rsid w:val="6442489B"/>
    <w:rsid w:val="646A7FB1"/>
    <w:rsid w:val="736C5491"/>
    <w:rsid w:val="75EE509A"/>
    <w:rsid w:val="7E3351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6"/>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600" w:lineRule="exact"/>
    </w:pPr>
    <w:rPr>
      <w:rFonts w:ascii="仿宋_GB2312" w:eastAsia="仿宋_GB2312"/>
      <w:sz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rPr>
      <w:sz w:val="24"/>
    </w:rPr>
  </w:style>
  <w:style w:type="paragraph" w:customStyle="1" w:styleId="7">
    <w:name w:val="toa heading1"/>
    <w:basedOn w:val="1"/>
    <w:next w:val="1"/>
    <w:qFormat/>
    <w:uiPriority w:val="0"/>
    <w:pPr>
      <w:spacing w:before="120" w:beforeLines="0" w:beforeAutospacing="0"/>
    </w:pPr>
    <w:rPr>
      <w:rFonts w:ascii="Arial" w:hAnsi="Arial" w:eastAsia="宋体" w:cs="Times New Roman"/>
      <w:sz w:val="24"/>
    </w:rPr>
  </w:style>
  <w:style w:type="character" w:customStyle="1" w:styleId="8">
    <w:name w:val="NormalCharacter"/>
    <w:semiHidden/>
    <w:qFormat/>
    <w:uiPriority w:val="0"/>
    <w:rPr>
      <w:rFonts w:ascii="Times New Roman" w:hAnsi="Times New Roman" w:eastAsia="仿宋_GB2312" w:cs="Times New Roman"/>
      <w:kern w:val="2"/>
      <w:sz w:val="36"/>
      <w:szCs w:val="24"/>
      <w:lang w:val="en-US" w:eastAsia="zh-CN" w:bidi="ar-SA"/>
    </w:rPr>
  </w:style>
  <w:style w:type="paragraph" w:customStyle="1" w:styleId="9">
    <w:name w:val="正文缩进1"/>
    <w:qFormat/>
    <w:uiPriority w:val="0"/>
    <w:pPr>
      <w:widowControl w:val="0"/>
      <w:ind w:firstLine="420" w:firstLineChars="200"/>
      <w:jc w:val="both"/>
    </w:pPr>
    <w:rPr>
      <w:rFonts w:hint="eastAsia" w:ascii="Calibri" w:hAnsi="Calibri" w:eastAsia="宋体" w:cs="Times New Roman"/>
      <w:kern w:val="2"/>
      <w:sz w:val="21"/>
      <w:lang w:val="en-US" w:eastAsia="zh-CN" w:bidi="ar-SA"/>
    </w:rPr>
  </w:style>
  <w:style w:type="paragraph" w:customStyle="1" w:styleId="10">
    <w:name w:val="纯文本1"/>
    <w:basedOn w:val="1"/>
    <w:qFormat/>
    <w:uiPriority w:val="0"/>
    <w:rPr>
      <w:rFonts w:ascii="宋体" w:hAnsi="Courier New" w:cs="Courier New"/>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2303</Words>
  <Characters>2355</Characters>
  <Lines>0</Lines>
  <Paragraphs>0</Paragraphs>
  <TotalTime>1</TotalTime>
  <ScaleCrop>false</ScaleCrop>
  <LinksUpToDate>false</LinksUpToDate>
  <CharactersWithSpaces>2367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2026-01-08T01:06:00Z</dcterms:created>
  <dc:creator>懒小陌</dc:creator>
  <cp:lastModifiedBy>懒小陌</cp:lastModifiedBy>
  <dcterms:modified xsi:type="dcterms:W3CDTF">2026-01-09T06:58:43Z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1C0C7C2969ED4394B543F766560041E5_11</vt:lpwstr>
  </property>
  <property fmtid="{D5CDD505-2E9C-101B-9397-08002B2CF9AE}" pid="4" name="KSOTemplateDocerSaveRecord">
    <vt:lpwstr>eyJoZGlkIjoiMjM1NWYyNjA1ZTE2NzgwYmQxYjg4ZTViNDEzMmIzMWUiLCJ1c2VySWQiOiI2MTE3NjU5NTQifQ==</vt:lpwstr>
  </property>
</Properties>
</file>