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75F3A3">
      <w:pPr>
        <w:spacing w:after="0" w:line="560" w:lineRule="exact"/>
        <w:jc w:val="both"/>
        <w:rPr>
          <w:rFonts w:ascii="方正小标宋简体" w:eastAsia="方正小标宋简体"/>
          <w:sz w:val="44"/>
          <w:szCs w:val="44"/>
        </w:rPr>
      </w:pPr>
    </w:p>
    <w:p w14:paraId="604A706B">
      <w:pPr>
        <w:spacing w:after="0" w:line="560" w:lineRule="exact"/>
        <w:jc w:val="center"/>
        <w:rPr>
          <w:rFonts w:hint="eastAsia" w:ascii="方正小标宋简体" w:eastAsia="方正小标宋简体"/>
          <w:sz w:val="44"/>
          <w:szCs w:val="44"/>
        </w:rPr>
      </w:pPr>
      <w:r>
        <w:rPr>
          <w:rFonts w:hint="eastAsia" w:ascii="方正小标宋简体" w:eastAsia="方正小标宋简体"/>
          <w:sz w:val="44"/>
          <w:szCs w:val="44"/>
        </w:rPr>
        <w:t>检查标准</w:t>
      </w:r>
    </w:p>
    <w:p w14:paraId="2FA3B4F9">
      <w:pPr>
        <w:spacing w:after="0" w:line="560" w:lineRule="exact"/>
        <w:jc w:val="both"/>
        <w:rPr>
          <w:rFonts w:hint="eastAsia" w:ascii="仿宋_GB2312" w:eastAsia="仿宋_GB2312"/>
          <w:sz w:val="32"/>
          <w:szCs w:val="32"/>
        </w:rPr>
      </w:pPr>
    </w:p>
    <w:p w14:paraId="7189B1F7">
      <w:pPr>
        <w:spacing w:after="0" w:line="560" w:lineRule="exact"/>
        <w:jc w:val="both"/>
        <w:rPr>
          <w:rFonts w:hint="eastAsia" w:ascii="黑体" w:hAnsi="黑体" w:eastAsia="黑体"/>
          <w:sz w:val="32"/>
          <w:szCs w:val="32"/>
        </w:rPr>
      </w:pPr>
      <w:r>
        <w:rPr>
          <w:rFonts w:hint="eastAsia" w:ascii="黑体" w:hAnsi="黑体" w:eastAsia="黑体"/>
          <w:sz w:val="32"/>
          <w:szCs w:val="32"/>
        </w:rPr>
        <w:t>一、对土地估价行业的监督检查</w:t>
      </w:r>
    </w:p>
    <w:p w14:paraId="427204C1">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（一）土地估价专业的评估师监督检查</w:t>
      </w:r>
    </w:p>
    <w:p w14:paraId="382FE539">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私自接受委托从事业务、收取费用的；同时在两个以上评估机构从事业务的；采用欺骗、利诱、胁迫，或者贬损、诋毁其他土地评估专业人员等不正当手段招揽业务的；允许他人以本人名义从事业务，或者冒用他人名义从事业务的；签署本人未承担业务的评估报告、签署虚假评估报告或者有重大遗漏的评估报告的；索要、收受或者变相索要、收受合同约定以外的酬金、财物，或者谋取其他不正当利益的；其他违反法律、行政法规行为情况的。</w:t>
      </w:r>
    </w:p>
    <w:p w14:paraId="2079A0A3">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（二）土地估价机构监督检查</w:t>
      </w:r>
    </w:p>
    <w:p w14:paraId="35BEC0C1">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利用开展业务之便，谋取不正当利益的；允许其他机构以本机构名义开展业务，或者冒用其他机构名义开展业务的；以恶性压价、支付回扣、虚假宣传，或者贬损、诋毁其他评估机构等不正当手段招揽业务的；受理与自身有利害关系的业务的；分别接受利益冲突双方的委托，对同一评估对象进行评估的；出具虚假土地评估报告或有重大遗漏的土地评估报告的；未按规定的期限保存土地评估档案的；聘用或者指定不符合《中华人民共和国资产评估法》等规定的人员从事土地评估业务的；质量控制和内部管理制度不健全，对本机构的土地评估专业人员疏于管理，造成不良后果的。</w:t>
      </w:r>
    </w:p>
    <w:p w14:paraId="71F57E75">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（三）土地估价行业协会监督检查</w:t>
      </w:r>
    </w:p>
    <w:p w14:paraId="0F5B1C46">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协会对会员实行自律管理，相关评估执业准则和职业道德准则制定执行情况；开展会员继续教育情况；建立会员信用档案及信用档案管理情况；检查会员建立风险防范机制情况；受理对会员的投诉、举报和会员的申诉，调解会员执业纠纷情况；规范会员从业行为，定期对会员出具的评估报告进行检查，按照章程规定对会员给予奖惩，并将奖惩情况及时报告自然资源行政管理部门等情况；保障会员依法开展业务，维护会员合法权益情况。</w:t>
      </w:r>
    </w:p>
    <w:p w14:paraId="4A95A21D">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二、对城乡规划编制单位的行政检查</w:t>
      </w:r>
    </w:p>
    <w:p w14:paraId="5EBC6C2F">
      <w:pPr>
        <w:spacing w:after="0" w:line="560" w:lineRule="exact"/>
        <w:ind w:firstLine="640" w:firstLineChars="200"/>
        <w:jc w:val="both"/>
        <w:rPr>
          <w:rFonts w:ascii="仿宋_GB2312" w:eastAsia="仿宋_GB2312"/>
          <w:sz w:val="32"/>
          <w:szCs w:val="32"/>
        </w:rPr>
      </w:pPr>
      <w:r>
        <w:rPr>
          <w:rFonts w:hint="eastAsia" w:ascii="仿宋_GB2312" w:eastAsia="仿宋_GB2312"/>
          <w:sz w:val="32"/>
          <w:szCs w:val="32"/>
        </w:rPr>
        <w:t>我省对城乡规划乙级资质编制单位，主要检查规划编制单位法定代表人和主要技术负责人、注册规划师、专业技术人员和工作场所等有无变化，对申报技术人员的职称证书、注册证书、学历证书、社会保险证明等进行核验，检查是否符合乙级资质的规定条件，对法人资格及工作场所、专业技术人员（含注册规划师）材料、人证分离等情况进行核查；并填写城乡规划编制单位资质核查表。</w:t>
      </w:r>
    </w:p>
    <w:p w14:paraId="685EEA20">
      <w:pPr>
        <w:spacing w:after="0" w:line="560" w:lineRule="exact"/>
        <w:rPr>
          <w:rFonts w:hint="eastAsia" w:ascii="仿宋_GB2312" w:eastAsia="仿宋_GB2312"/>
          <w:sz w:val="32"/>
          <w:szCs w:val="32"/>
        </w:rPr>
      </w:pPr>
    </w:p>
    <w:p w14:paraId="2B784474">
      <w:pPr>
        <w:spacing w:after="0" w:line="560" w:lineRule="exact"/>
        <w:rPr>
          <w:rFonts w:ascii="仿宋_GB2312" w:eastAsia="仿宋_GB2312"/>
          <w:sz w:val="32"/>
          <w:szCs w:val="32"/>
        </w:rPr>
      </w:pPr>
    </w:p>
    <w:p w14:paraId="0DB7375F">
      <w:pPr>
        <w:spacing w:after="0" w:line="560" w:lineRule="exact"/>
        <w:rPr>
          <w:rFonts w:hint="eastAsia" w:ascii="仿宋_GB2312" w:eastAsia="仿宋_GB2312"/>
          <w:sz w:val="32"/>
          <w:szCs w:val="32"/>
        </w:rPr>
      </w:pPr>
    </w:p>
    <w:p w14:paraId="051E7B42">
      <w:pPr>
        <w:rPr>
          <w:rFonts w:hint="eastAsia" w:ascii="仿宋_GB2312" w:eastAsia="仿宋_GB2312"/>
          <w:sz w:val="32"/>
          <w:szCs w:val="32"/>
        </w:rPr>
      </w:pPr>
    </w:p>
    <w:p w14:paraId="17CB1E32">
      <w:pPr>
        <w:rPr>
          <w:rFonts w:hint="eastAsia" w:ascii="仿宋_GB2312" w:eastAsia="仿宋_GB2312"/>
          <w:sz w:val="32"/>
          <w:szCs w:val="32"/>
        </w:rPr>
      </w:pPr>
    </w:p>
    <w:p w14:paraId="764AC148">
      <w:pPr>
        <w:jc w:val="center"/>
        <w:rPr>
          <w:rFonts w:hint="eastAsia" w:ascii="仿宋_GB2312" w:eastAsia="仿宋_GB2312"/>
          <w:sz w:val="32"/>
          <w:szCs w:val="32"/>
        </w:rPr>
      </w:pPr>
    </w:p>
    <w:p w14:paraId="3FE6E8F0">
      <w:pPr>
        <w:rPr>
          <w:rFonts w:hint="eastAsia" w:ascii="仿宋_GB2312" w:eastAsia="仿宋_GB2312"/>
          <w:sz w:val="32"/>
          <w:szCs w:val="32"/>
        </w:rPr>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pPr>
    </w:p>
    <w:p w14:paraId="4DC91340">
      <w:pPr>
        <w:autoSpaceDN w:val="0"/>
        <w:spacing w:after="0" w:line="900" w:lineRule="exact"/>
        <w:jc w:val="center"/>
        <w:rPr>
          <w:rFonts w:hint="eastAsia" w:ascii="方正小标宋_GBK" w:hAnsi="Calibri" w:eastAsia="方正小标宋_GBK" w:cs="Times New Roman"/>
          <w:sz w:val="44"/>
          <w:szCs w:val="44"/>
          <w14:ligatures w14:val="none"/>
        </w:rPr>
      </w:pPr>
      <w:bookmarkStart w:id="0" w:name="OLE_LINK1"/>
      <w:r>
        <w:rPr>
          <w:rFonts w:hint="eastAsia" w:ascii="方正小标宋_GBK" w:hAnsi="Calibri" w:eastAsia="方正小标宋_GBK" w:cs="Times New Roman"/>
          <w:sz w:val="44"/>
          <w:szCs w:val="44"/>
          <w14:ligatures w14:val="none"/>
        </w:rPr>
        <w:t>城乡规划编制单位资质核查表</w:t>
      </w:r>
    </w:p>
    <w:p w14:paraId="35F46906">
      <w:pPr>
        <w:autoSpaceDN w:val="0"/>
        <w:spacing w:after="0" w:line="240" w:lineRule="auto"/>
        <w:rPr>
          <w:rFonts w:ascii="Calibri" w:hAnsi="Calibri" w:eastAsia="宋体" w:cs="Times New Roman"/>
          <w:sz w:val="21"/>
          <w14:ligatures w14:val="none"/>
        </w:rPr>
      </w:pPr>
      <w:r>
        <w:rPr>
          <w:rFonts w:hint="eastAsia" w:ascii="Times New Roman" w:hAnsi="Calibri" w:eastAsia="仿宋_GB2312" w:cs="Times New Roman"/>
          <w:sz w:val="30"/>
          <w:szCs w:val="30"/>
          <w14:ligatures w14:val="none"/>
        </w:rPr>
        <w:t>规划编制单位名称：</w:t>
      </w:r>
      <w:r>
        <w:rPr>
          <w:rFonts w:ascii="Times New Roman" w:hAnsi="Times New Roman" w:eastAsia="仿宋_GB2312" w:cs="Times New Roman"/>
          <w:sz w:val="30"/>
          <w:szCs w:val="30"/>
          <w:u w:val="single"/>
          <w14:ligatures w14:val="none"/>
        </w:rPr>
        <w:t xml:space="preserve">                    </w:t>
      </w:r>
      <w:r>
        <w:rPr>
          <w:rFonts w:ascii="Times New Roman" w:hAnsi="Times New Roman" w:eastAsia="仿宋_GB2312" w:cs="Times New Roman"/>
          <w:sz w:val="30"/>
          <w:szCs w:val="30"/>
          <w14:ligatures w14:val="none"/>
        </w:rPr>
        <w:t xml:space="preserve">              </w:t>
      </w:r>
      <w:r>
        <w:rPr>
          <w:rFonts w:hint="eastAsia" w:ascii="Times New Roman" w:hAnsi="Calibri" w:eastAsia="仿宋_GB2312" w:cs="Times New Roman"/>
          <w:sz w:val="30"/>
          <w:szCs w:val="30"/>
          <w14:ligatures w14:val="none"/>
        </w:rPr>
        <w:t>核查单位名称：</w:t>
      </w:r>
      <w:r>
        <w:rPr>
          <w:rFonts w:ascii="Times New Roman" w:hAnsi="Times New Roman" w:eastAsia="仿宋_GB2312" w:cs="Times New Roman"/>
          <w:sz w:val="30"/>
          <w:szCs w:val="30"/>
          <w:u w:val="single"/>
          <w14:ligatures w14:val="none"/>
        </w:rPr>
        <w:t xml:space="preserve">                       </w:t>
      </w:r>
      <w:r>
        <w:rPr>
          <w:rFonts w:ascii="Times New Roman" w:hAnsi="Times New Roman" w:eastAsia="仿宋_GB2312" w:cs="Times New Roman"/>
          <w:sz w:val="32"/>
          <w:szCs w:val="32"/>
          <w14:ligatures w14:val="none"/>
        </w:rPr>
        <w:t xml:space="preserve">    </w:t>
      </w:r>
    </w:p>
    <w:tbl>
      <w:tblPr>
        <w:tblStyle w:val="15"/>
        <w:tblW w:w="14739"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071"/>
        <w:gridCol w:w="9110"/>
        <w:gridCol w:w="1929"/>
        <w:gridCol w:w="2629"/>
      </w:tblGrid>
      <w:tr w14:paraId="5071E1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71"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7C6DDECC">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序</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号</w:t>
            </w:r>
          </w:p>
        </w:tc>
        <w:tc>
          <w:tcPr>
            <w:tcW w:w="9110" w:type="dxa"/>
            <w:tcBorders>
              <w:top w:val="single" w:color="auto" w:sz="4" w:space="0"/>
              <w:left w:val="single" w:color="auto" w:sz="4" w:space="0"/>
              <w:bottom w:val="single" w:color="auto" w:sz="4" w:space="0"/>
              <w:right w:val="single" w:color="auto" w:sz="4" w:space="0"/>
            </w:tcBorders>
            <w:vAlign w:val="center"/>
          </w:tcPr>
          <w:p w14:paraId="1E092D3A">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核</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查</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主</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要</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内</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容</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及</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要</w:t>
            </w:r>
            <w:r>
              <w:rPr>
                <w:rFonts w:ascii="Times New Roman" w:hAnsi="Times New Roman" w:eastAsia="黑体" w:cs="Times New Roman"/>
                <w:sz w:val="28"/>
                <w:szCs w:val="28"/>
                <w14:ligatures w14:val="none"/>
              </w:rPr>
              <w:t xml:space="preserve"> </w:t>
            </w:r>
            <w:r>
              <w:rPr>
                <w:rFonts w:hint="eastAsia" w:ascii="Times New Roman" w:hAnsi="黑体" w:eastAsia="黑体" w:cs="Times New Roman"/>
                <w:sz w:val="28"/>
                <w:szCs w:val="28"/>
                <w14:ligatures w14:val="none"/>
              </w:rPr>
              <w:t>点</w:t>
            </w:r>
          </w:p>
        </w:tc>
        <w:tc>
          <w:tcPr>
            <w:tcW w:w="1929" w:type="dxa"/>
            <w:tcBorders>
              <w:top w:val="single" w:color="auto" w:sz="4" w:space="0"/>
              <w:left w:val="single" w:color="auto" w:sz="4" w:space="0"/>
              <w:bottom w:val="single" w:color="auto" w:sz="4" w:space="0"/>
              <w:right w:val="single" w:color="auto" w:sz="4" w:space="0"/>
            </w:tcBorders>
            <w:vAlign w:val="center"/>
          </w:tcPr>
          <w:p w14:paraId="6118B9F3">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合格</w:t>
            </w:r>
            <w:r>
              <w:rPr>
                <w:rFonts w:ascii="Times New Roman" w:hAnsi="Times New Roman" w:eastAsia="黑体" w:cs="Times New Roman"/>
                <w:sz w:val="28"/>
                <w:szCs w:val="28"/>
                <w14:ligatures w14:val="none"/>
              </w:rPr>
              <w:t>/</w:t>
            </w:r>
            <w:r>
              <w:rPr>
                <w:rFonts w:hint="eastAsia" w:ascii="Times New Roman" w:hAnsi="黑体" w:eastAsia="黑体" w:cs="Times New Roman"/>
                <w:sz w:val="28"/>
                <w:szCs w:val="28"/>
                <w14:ligatures w14:val="none"/>
              </w:rPr>
              <w:t>不合格</w:t>
            </w:r>
          </w:p>
        </w:tc>
        <w:tc>
          <w:tcPr>
            <w:tcW w:w="2629" w:type="dxa"/>
            <w:tcBorders>
              <w:top w:val="single" w:color="auto" w:sz="4" w:space="0"/>
              <w:left w:val="single" w:color="auto" w:sz="4" w:space="0"/>
              <w:bottom w:val="single" w:color="auto" w:sz="4" w:space="0"/>
              <w:right w:val="single" w:color="auto" w:sz="4" w:space="0"/>
            </w:tcBorders>
            <w:vAlign w:val="center"/>
          </w:tcPr>
          <w:p w14:paraId="0CA27BBE">
            <w:pPr>
              <w:autoSpaceDN w:val="0"/>
              <w:spacing w:after="0" w:line="360" w:lineRule="exact"/>
              <w:jc w:val="center"/>
              <w:rPr>
                <w:rFonts w:ascii="Calibri" w:hAnsi="Calibri" w:eastAsia="宋体" w:cs="Times New Roman"/>
                <w:sz w:val="21"/>
                <w14:ligatures w14:val="none"/>
              </w:rPr>
            </w:pPr>
            <w:r>
              <w:rPr>
                <w:rFonts w:hint="eastAsia" w:ascii="Times New Roman" w:hAnsi="黑体" w:eastAsia="黑体" w:cs="Times New Roman"/>
                <w:sz w:val="28"/>
                <w:szCs w:val="28"/>
                <w14:ligatures w14:val="none"/>
              </w:rPr>
              <w:t>具体情况</w:t>
            </w:r>
          </w:p>
        </w:tc>
      </w:tr>
      <w:tr w14:paraId="332200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3BD3459A">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一、法人资格及工作场所</w:t>
            </w:r>
          </w:p>
        </w:tc>
      </w:tr>
      <w:tr w14:paraId="088BAB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3A71B41B">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1</w:t>
            </w:r>
          </w:p>
        </w:tc>
        <w:tc>
          <w:tcPr>
            <w:tcW w:w="9110" w:type="dxa"/>
            <w:tcBorders>
              <w:top w:val="single" w:color="auto" w:sz="4" w:space="0"/>
              <w:left w:val="single" w:color="auto" w:sz="4" w:space="0"/>
              <w:bottom w:val="single" w:color="auto" w:sz="4" w:space="0"/>
              <w:right w:val="single" w:color="auto" w:sz="4" w:space="0"/>
            </w:tcBorders>
            <w:vAlign w:val="center"/>
          </w:tcPr>
          <w:p w14:paraId="37174381">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法人资格证明材料或营业执照。</w:t>
            </w:r>
          </w:p>
        </w:tc>
        <w:tc>
          <w:tcPr>
            <w:tcW w:w="1929" w:type="dxa"/>
            <w:tcBorders>
              <w:top w:val="single" w:color="auto" w:sz="4" w:space="0"/>
              <w:left w:val="single" w:color="auto" w:sz="4" w:space="0"/>
              <w:bottom w:val="single" w:color="auto" w:sz="4" w:space="0"/>
              <w:right w:val="single" w:color="auto" w:sz="4" w:space="0"/>
            </w:tcBorders>
            <w:vAlign w:val="center"/>
          </w:tcPr>
          <w:p w14:paraId="12858196">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26C9032D">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20CB6A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6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71343CF6">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2</w:t>
            </w:r>
          </w:p>
        </w:tc>
        <w:tc>
          <w:tcPr>
            <w:tcW w:w="9110" w:type="dxa"/>
            <w:tcBorders>
              <w:top w:val="single" w:color="auto" w:sz="4" w:space="0"/>
              <w:left w:val="single" w:color="auto" w:sz="4" w:space="0"/>
              <w:bottom w:val="single" w:color="auto" w:sz="4" w:space="0"/>
              <w:right w:val="single" w:color="auto" w:sz="4" w:space="0"/>
            </w:tcBorders>
            <w:vAlign w:val="center"/>
          </w:tcPr>
          <w:p w14:paraId="7C139D5A">
            <w:pPr>
              <w:autoSpaceDN w:val="0"/>
              <w:spacing w:after="0" w:line="360" w:lineRule="exact"/>
              <w:jc w:val="both"/>
              <w:rPr>
                <w:rFonts w:ascii="Calibri" w:hAnsi="Calibri" w:eastAsia="宋体" w:cs="Times New Roman"/>
                <w:sz w:val="21"/>
                <w14:ligatures w14:val="none"/>
              </w:rPr>
            </w:pPr>
            <w:r>
              <w:rPr>
                <w:rFonts w:hint="eastAsia" w:ascii="仿宋_GB2312" w:hAnsi="Calibri" w:eastAsia="仿宋_GB2312" w:cs="仿宋_GB2312"/>
                <w:sz w:val="28"/>
                <w:szCs w:val="28"/>
                <w14:ligatures w14:val="none"/>
              </w:rPr>
              <w:t>有200平方米以上的固定工作场所，并与资质证书场所一致</w:t>
            </w:r>
            <w:r>
              <w:rPr>
                <w:rFonts w:hint="eastAsia" w:ascii="楷体_GB2312" w:hAnsi="Calibri" w:eastAsia="楷体_GB2312" w:cs="楷体_GB2312"/>
                <w:sz w:val="28"/>
                <w:szCs w:val="28"/>
                <w14:ligatures w14:val="none"/>
              </w:rPr>
              <w:t>（如不一致，需提供新的办公场所房屋租赁合同或产权证等原件，并在行业管理系统“资质证书信息”变更模块进行变更）</w:t>
            </w:r>
            <w:r>
              <w:rPr>
                <w:rFonts w:hint="eastAsia" w:ascii="Times New Roman" w:hAnsi="Calibri" w:eastAsia="仿宋_GB2312" w:cs="Times New Roman"/>
                <w:sz w:val="28"/>
                <w:szCs w:val="28"/>
                <w14:ligatures w14:val="none"/>
              </w:rPr>
              <w:t>。</w:t>
            </w:r>
          </w:p>
        </w:tc>
        <w:tc>
          <w:tcPr>
            <w:tcW w:w="1929" w:type="dxa"/>
            <w:tcBorders>
              <w:top w:val="single" w:color="auto" w:sz="4" w:space="0"/>
              <w:left w:val="single" w:color="auto" w:sz="4" w:space="0"/>
              <w:bottom w:val="single" w:color="auto" w:sz="4" w:space="0"/>
              <w:right w:val="single" w:color="auto" w:sz="4" w:space="0"/>
            </w:tcBorders>
            <w:vAlign w:val="center"/>
          </w:tcPr>
          <w:p w14:paraId="17888CCB">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6C8E0E67">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346DB7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82"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36B8C5CA">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3</w:t>
            </w:r>
          </w:p>
        </w:tc>
        <w:tc>
          <w:tcPr>
            <w:tcW w:w="9110" w:type="dxa"/>
            <w:tcBorders>
              <w:top w:val="single" w:color="auto" w:sz="4" w:space="0"/>
              <w:left w:val="single" w:color="auto" w:sz="4" w:space="0"/>
              <w:bottom w:val="single" w:color="auto" w:sz="4" w:space="0"/>
              <w:right w:val="single" w:color="auto" w:sz="4" w:space="0"/>
            </w:tcBorders>
            <w:vAlign w:val="center"/>
          </w:tcPr>
          <w:p w14:paraId="69889F5C">
            <w:pPr>
              <w:autoSpaceDN w:val="0"/>
              <w:spacing w:after="0" w:line="360" w:lineRule="exact"/>
              <w:jc w:val="both"/>
              <w:rPr>
                <w:rFonts w:ascii="Calibri" w:hAnsi="Calibri" w:eastAsia="宋体" w:cs="Times New Roman"/>
                <w:sz w:val="21"/>
                <w14:ligatures w14:val="none"/>
              </w:rPr>
            </w:pPr>
            <w:r>
              <w:rPr>
                <w:rFonts w:hint="eastAsia" w:ascii="仿宋_GB2312" w:hAnsi="Calibri" w:eastAsia="仿宋_GB2312" w:cs="仿宋_GB2312"/>
                <w:sz w:val="28"/>
                <w:szCs w:val="28"/>
                <w14:ligatures w14:val="none"/>
              </w:rPr>
              <w:t>技术、质量、安全、保密、档案、财务管理制度是否完备</w:t>
            </w:r>
            <w:r>
              <w:rPr>
                <w:rFonts w:hint="eastAsia" w:ascii="楷体_GB2312" w:hAnsi="Calibri" w:eastAsia="楷体_GB2312" w:cs="楷体_GB2312"/>
                <w:sz w:val="28"/>
                <w:szCs w:val="28"/>
                <w14:ligatures w14:val="none"/>
              </w:rPr>
              <w:t>（要求查阅安全、保密等制度文件，并询问相关制度落实情况）</w:t>
            </w:r>
            <w:r>
              <w:rPr>
                <w:rFonts w:hint="eastAsia" w:ascii="仿宋_GB2312" w:hAnsi="Calibri" w:eastAsia="仿宋_GB2312" w:cs="仿宋_GB2312"/>
                <w:sz w:val="28"/>
                <w:szCs w:val="28"/>
                <w14:ligatures w14:val="none"/>
              </w:rPr>
              <w:t>。</w:t>
            </w:r>
          </w:p>
        </w:tc>
        <w:tc>
          <w:tcPr>
            <w:tcW w:w="1929" w:type="dxa"/>
            <w:tcBorders>
              <w:top w:val="single" w:color="auto" w:sz="4" w:space="0"/>
              <w:left w:val="single" w:color="auto" w:sz="4" w:space="0"/>
              <w:bottom w:val="single" w:color="auto" w:sz="4" w:space="0"/>
              <w:right w:val="single" w:color="auto" w:sz="4" w:space="0"/>
            </w:tcBorders>
            <w:vAlign w:val="center"/>
          </w:tcPr>
          <w:p w14:paraId="3956897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47E4ED3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102E27D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7015D235">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二、专业技术人员（</w:t>
            </w:r>
            <w:r>
              <w:rPr>
                <w:rFonts w:hint="eastAsia" w:ascii="Times New Roman" w:hAnsi="黑体" w:eastAsia="黑体" w:cs="Times New Roman"/>
                <w:color w:val="000000"/>
                <w:sz w:val="28"/>
                <w:szCs w:val="28"/>
                <w14:ligatures w14:val="none"/>
              </w:rPr>
              <w:t>含</w:t>
            </w:r>
            <w:r>
              <w:rPr>
                <w:rFonts w:hint="eastAsia" w:ascii="Times New Roman" w:hAnsi="黑体" w:eastAsia="黑体" w:cs="Times New Roman"/>
                <w:sz w:val="28"/>
                <w:szCs w:val="28"/>
                <w14:ligatures w14:val="none"/>
              </w:rPr>
              <w:t>注册规划师）材料</w:t>
            </w:r>
          </w:p>
        </w:tc>
      </w:tr>
      <w:tr w14:paraId="58542A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55BAAB22">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4</w:t>
            </w:r>
          </w:p>
        </w:tc>
        <w:tc>
          <w:tcPr>
            <w:tcW w:w="9110" w:type="dxa"/>
            <w:tcBorders>
              <w:top w:val="single" w:color="auto" w:sz="4" w:space="0"/>
              <w:left w:val="single" w:color="auto" w:sz="4" w:space="0"/>
              <w:bottom w:val="single" w:color="auto" w:sz="4" w:space="0"/>
              <w:right w:val="single" w:color="auto" w:sz="4" w:space="0"/>
            </w:tcBorders>
            <w:vAlign w:val="center"/>
          </w:tcPr>
          <w:p w14:paraId="75441D40">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主要技术负责人身份证明、任职证明、学历（位）证书、职称证书等原件。</w:t>
            </w:r>
          </w:p>
        </w:tc>
        <w:tc>
          <w:tcPr>
            <w:tcW w:w="1929" w:type="dxa"/>
            <w:tcBorders>
              <w:top w:val="single" w:color="auto" w:sz="4" w:space="0"/>
              <w:left w:val="single" w:color="auto" w:sz="4" w:space="0"/>
              <w:bottom w:val="single" w:color="auto" w:sz="4" w:space="0"/>
              <w:right w:val="single" w:color="auto" w:sz="4" w:space="0"/>
            </w:tcBorders>
            <w:vAlign w:val="center"/>
          </w:tcPr>
          <w:p w14:paraId="512321A7">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4BCED1D1">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52E531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90"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2FDEEB01">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5</w:t>
            </w:r>
          </w:p>
        </w:tc>
        <w:tc>
          <w:tcPr>
            <w:tcW w:w="9110" w:type="dxa"/>
            <w:tcBorders>
              <w:top w:val="single" w:color="auto" w:sz="4" w:space="0"/>
              <w:left w:val="single" w:color="auto" w:sz="4" w:space="0"/>
              <w:bottom w:val="single" w:color="auto" w:sz="4" w:space="0"/>
              <w:right w:val="single" w:color="auto" w:sz="4" w:space="0"/>
            </w:tcBorders>
            <w:vAlign w:val="center"/>
          </w:tcPr>
          <w:p w14:paraId="15EA3F83">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专业技术人员学历（位）证书、职称证书、原任职单位离职证明等原件是否与申报材料一致。</w:t>
            </w:r>
          </w:p>
        </w:tc>
        <w:tc>
          <w:tcPr>
            <w:tcW w:w="1929" w:type="dxa"/>
            <w:tcBorders>
              <w:top w:val="single" w:color="auto" w:sz="4" w:space="0"/>
              <w:left w:val="single" w:color="auto" w:sz="4" w:space="0"/>
              <w:bottom w:val="single" w:color="auto" w:sz="4" w:space="0"/>
              <w:right w:val="single" w:color="auto" w:sz="4" w:space="0"/>
            </w:tcBorders>
            <w:vAlign w:val="center"/>
          </w:tcPr>
          <w:p w14:paraId="56933644">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6895B8F3">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1A58CF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29"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3DB61711">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6</w:t>
            </w:r>
          </w:p>
        </w:tc>
        <w:tc>
          <w:tcPr>
            <w:tcW w:w="9110" w:type="dxa"/>
            <w:tcBorders>
              <w:top w:val="single" w:color="auto" w:sz="4" w:space="0"/>
              <w:left w:val="single" w:color="auto" w:sz="4" w:space="0"/>
              <w:bottom w:val="single" w:color="auto" w:sz="4" w:space="0"/>
              <w:right w:val="single" w:color="auto" w:sz="4" w:space="0"/>
            </w:tcBorders>
            <w:vAlign w:val="center"/>
          </w:tcPr>
          <w:p w14:paraId="0D9FBAB9">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核验不少于</w:t>
            </w:r>
            <w:r>
              <w:rPr>
                <w:rFonts w:ascii="Times New Roman" w:hAnsi="Times New Roman" w:eastAsia="仿宋_GB2312" w:cs="Times New Roman"/>
                <w:sz w:val="28"/>
                <w:szCs w:val="28"/>
                <w14:ligatures w14:val="none"/>
              </w:rPr>
              <w:t>3</w:t>
            </w:r>
            <w:r>
              <w:rPr>
                <w:rFonts w:hint="eastAsia" w:ascii="Times New Roman" w:hAnsi="Calibri" w:eastAsia="仿宋_GB2312" w:cs="Times New Roman"/>
                <w:sz w:val="28"/>
                <w:szCs w:val="28"/>
                <w14:ligatures w14:val="none"/>
              </w:rPr>
              <w:t>名</w:t>
            </w:r>
            <w:r>
              <w:rPr>
                <w:rFonts w:hint="eastAsia" w:ascii="仿宋_GB2312" w:hAnsi="Calibri" w:eastAsia="仿宋_GB2312" w:cs="仿宋_GB2312"/>
                <w:sz w:val="28"/>
                <w:szCs w:val="28"/>
                <w14:ligatures w14:val="none"/>
              </w:rPr>
              <w:t>注册规划师资格证。</w:t>
            </w:r>
            <w:r>
              <w:rPr>
                <w:rFonts w:hint="eastAsia" w:ascii="楷体_GB2312" w:hAnsi="Calibri" w:eastAsia="楷体_GB2312" w:cs="楷体_GB2312"/>
                <w:sz w:val="28"/>
                <w:szCs w:val="28"/>
                <w14:ligatures w14:val="none"/>
              </w:rPr>
              <w:t>（通过“行业管理系统”—“人员管理”进行查询，仍未查到的，查看证书原件并在此表具体情况</w:t>
            </w:r>
            <w:r>
              <w:rPr>
                <w:rFonts w:hint="eastAsia" w:ascii="楷体_GB2312" w:hAnsi="Calibri" w:eastAsia="楷体_GB2312" w:cs="楷体_GB2312"/>
                <w:color w:val="000000"/>
                <w:sz w:val="28"/>
                <w:szCs w:val="28"/>
                <w14:ligatures w14:val="none"/>
              </w:rPr>
              <w:t>栏</w:t>
            </w:r>
            <w:r>
              <w:rPr>
                <w:rFonts w:hint="eastAsia" w:ascii="楷体_GB2312" w:hAnsi="Calibri" w:eastAsia="楷体_GB2312" w:cs="楷体_GB2312"/>
                <w:sz w:val="28"/>
                <w:szCs w:val="28"/>
                <w14:ligatures w14:val="none"/>
              </w:rPr>
              <w:t>记录）</w:t>
            </w:r>
          </w:p>
        </w:tc>
        <w:tc>
          <w:tcPr>
            <w:tcW w:w="1929" w:type="dxa"/>
            <w:tcBorders>
              <w:top w:val="single" w:color="auto" w:sz="4" w:space="0"/>
              <w:left w:val="single" w:color="auto" w:sz="4" w:space="0"/>
              <w:bottom w:val="single" w:color="auto" w:sz="4" w:space="0"/>
              <w:right w:val="single" w:color="auto" w:sz="4" w:space="0"/>
            </w:tcBorders>
            <w:vAlign w:val="center"/>
          </w:tcPr>
          <w:p w14:paraId="43CB12FD">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60A44E3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624720E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48"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5C22D3F7">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7</w:t>
            </w:r>
          </w:p>
        </w:tc>
        <w:tc>
          <w:tcPr>
            <w:tcW w:w="9110" w:type="dxa"/>
            <w:tcBorders>
              <w:top w:val="single" w:color="auto" w:sz="4" w:space="0"/>
              <w:left w:val="single" w:color="auto" w:sz="4" w:space="0"/>
              <w:bottom w:val="single" w:color="auto" w:sz="4" w:space="0"/>
              <w:right w:val="single" w:color="auto" w:sz="4" w:space="0"/>
            </w:tcBorders>
            <w:vAlign w:val="center"/>
          </w:tcPr>
          <w:p w14:paraId="3F2AA191">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核查之日起回溯近</w:t>
            </w:r>
            <w:r>
              <w:rPr>
                <w:rFonts w:ascii="Times New Roman" w:hAnsi="Times New Roman" w:eastAsia="仿宋_GB2312" w:cs="Times New Roman"/>
                <w:sz w:val="28"/>
                <w:szCs w:val="28"/>
                <w14:ligatures w14:val="none"/>
              </w:rPr>
              <w:t>3</w:t>
            </w:r>
            <w:r>
              <w:rPr>
                <w:rFonts w:hint="eastAsia" w:ascii="Times New Roman" w:hAnsi="Calibri" w:eastAsia="仿宋_GB2312" w:cs="Times New Roman"/>
                <w:sz w:val="28"/>
                <w:szCs w:val="28"/>
                <w14:ligatures w14:val="none"/>
              </w:rPr>
              <w:t>个月社保缴纳情况。</w:t>
            </w:r>
            <w:r>
              <w:rPr>
                <w:rFonts w:hint="eastAsia" w:ascii="楷体_GB2312" w:hAnsi="Calibri" w:eastAsia="楷体_GB2312" w:cs="楷体_GB2312"/>
                <w:sz w:val="28"/>
                <w:szCs w:val="28"/>
                <w14:ligatures w14:val="none"/>
              </w:rPr>
              <w:t>（具备网上查询条件的，可</w:t>
            </w:r>
            <w:r>
              <w:rPr>
                <w:rFonts w:hint="eastAsia" w:ascii="楷体_GB2312" w:hAnsi="Calibri" w:eastAsia="楷体_GB2312" w:cs="楷体_GB2312"/>
                <w:color w:val="000000"/>
                <w:sz w:val="28"/>
                <w:szCs w:val="28"/>
                <w14:ligatures w14:val="none"/>
              </w:rPr>
              <w:t>登录</w:t>
            </w:r>
            <w:r>
              <w:rPr>
                <w:rFonts w:hint="eastAsia" w:ascii="楷体_GB2312" w:hAnsi="Calibri" w:eastAsia="楷体_GB2312" w:cs="楷体_GB2312"/>
                <w:sz w:val="28"/>
                <w:szCs w:val="28"/>
                <w14:ligatures w14:val="none"/>
              </w:rPr>
              <w:t>人社部门网站直接查询；不具备网络查询条件的，需提供原件）</w:t>
            </w:r>
          </w:p>
        </w:tc>
        <w:tc>
          <w:tcPr>
            <w:tcW w:w="1929" w:type="dxa"/>
            <w:tcBorders>
              <w:top w:val="single" w:color="auto" w:sz="4" w:space="0"/>
              <w:left w:val="single" w:color="auto" w:sz="4" w:space="0"/>
              <w:bottom w:val="single" w:color="auto" w:sz="4" w:space="0"/>
              <w:right w:val="single" w:color="auto" w:sz="4" w:space="0"/>
            </w:tcBorders>
            <w:vAlign w:val="center"/>
          </w:tcPr>
          <w:p w14:paraId="618514A9">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49768131">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30E70CF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5DC6DBB1">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三、人证分离核查</w:t>
            </w:r>
          </w:p>
        </w:tc>
      </w:tr>
      <w:tr w14:paraId="7839CE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57"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2AE91648">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8</w:t>
            </w:r>
          </w:p>
        </w:tc>
        <w:tc>
          <w:tcPr>
            <w:tcW w:w="9110" w:type="dxa"/>
            <w:tcBorders>
              <w:top w:val="single" w:color="auto" w:sz="4" w:space="0"/>
              <w:left w:val="single" w:color="auto" w:sz="4" w:space="0"/>
              <w:bottom w:val="single" w:color="auto" w:sz="4" w:space="0"/>
              <w:right w:val="single" w:color="auto" w:sz="4" w:space="0"/>
            </w:tcBorders>
            <w:vAlign w:val="center"/>
          </w:tcPr>
          <w:p w14:paraId="4B08849F">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对高级技术职称专业人员等进行重点核查。</w:t>
            </w:r>
          </w:p>
        </w:tc>
        <w:tc>
          <w:tcPr>
            <w:tcW w:w="1929" w:type="dxa"/>
            <w:tcBorders>
              <w:top w:val="single" w:color="auto" w:sz="4" w:space="0"/>
              <w:left w:val="single" w:color="auto" w:sz="4" w:space="0"/>
              <w:bottom w:val="single" w:color="auto" w:sz="4" w:space="0"/>
              <w:right w:val="single" w:color="auto" w:sz="4" w:space="0"/>
            </w:tcBorders>
            <w:vAlign w:val="center"/>
          </w:tcPr>
          <w:p w14:paraId="20D4B80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vAlign w:val="center"/>
          </w:tcPr>
          <w:p w14:paraId="1BA3DBF4">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290CBE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5CA4603C">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四、资质条件具备情况</w:t>
            </w:r>
          </w:p>
        </w:tc>
      </w:tr>
      <w:tr w14:paraId="0F20D0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9" w:hRule="atLeast"/>
          <w:jc w:val="center"/>
        </w:trPr>
        <w:tc>
          <w:tcPr>
            <w:tcW w:w="1071" w:type="dxa"/>
            <w:tcBorders>
              <w:top w:val="single" w:color="auto" w:sz="4" w:space="0"/>
              <w:left w:val="single" w:color="auto" w:sz="4" w:space="0"/>
              <w:bottom w:val="single" w:color="auto" w:sz="4" w:space="0"/>
              <w:right w:val="single" w:color="auto" w:sz="4" w:space="0"/>
            </w:tcBorders>
            <w:vAlign w:val="center"/>
          </w:tcPr>
          <w:p w14:paraId="6901AD78">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9</w:t>
            </w:r>
          </w:p>
        </w:tc>
        <w:tc>
          <w:tcPr>
            <w:tcW w:w="9110" w:type="dxa"/>
            <w:tcBorders>
              <w:top w:val="single" w:color="auto" w:sz="4" w:space="0"/>
              <w:left w:val="single" w:color="auto" w:sz="4" w:space="0"/>
              <w:bottom w:val="single" w:color="auto" w:sz="4" w:space="0"/>
              <w:right w:val="single" w:color="auto" w:sz="4" w:space="0"/>
            </w:tcBorders>
            <w:vAlign w:val="center"/>
          </w:tcPr>
          <w:p w14:paraId="0068C85D">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是否存在取得资质后，不再符合相应资质条件情况。</w:t>
            </w:r>
            <w:r>
              <w:rPr>
                <w:rFonts w:hint="eastAsia" w:ascii="方正楷体简体" w:hAnsi="Calibri" w:eastAsia="方正楷体简体" w:cs="Times New Roman"/>
                <w:sz w:val="28"/>
                <w:szCs w:val="28"/>
                <w14:ligatures w14:val="none"/>
              </w:rPr>
              <w:t>（如有，请列举）</w:t>
            </w:r>
          </w:p>
        </w:tc>
        <w:tc>
          <w:tcPr>
            <w:tcW w:w="1929" w:type="dxa"/>
            <w:tcBorders>
              <w:top w:val="single" w:color="auto" w:sz="4" w:space="0"/>
              <w:left w:val="single" w:color="auto" w:sz="4" w:space="0"/>
              <w:bottom w:val="single" w:color="auto" w:sz="4" w:space="0"/>
              <w:right w:val="single" w:color="auto" w:sz="4" w:space="0"/>
            </w:tcBorders>
            <w:vAlign w:val="center"/>
          </w:tcPr>
          <w:p w14:paraId="4EDB3D40">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4BC9933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6BD6CE6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2" w:hRule="atLeast"/>
          <w:jc w:val="center"/>
        </w:trPr>
        <w:tc>
          <w:tcPr>
            <w:tcW w:w="14739" w:type="dxa"/>
            <w:gridSpan w:val="4"/>
            <w:tcBorders>
              <w:top w:val="single" w:color="auto" w:sz="4" w:space="0"/>
              <w:left w:val="single" w:color="auto" w:sz="4" w:space="0"/>
              <w:bottom w:val="single" w:color="auto" w:sz="4" w:space="0"/>
              <w:right w:val="single" w:color="auto" w:sz="4" w:space="0"/>
            </w:tcBorders>
            <w:vAlign w:val="center"/>
          </w:tcPr>
          <w:p w14:paraId="78E45D28">
            <w:pPr>
              <w:autoSpaceDN w:val="0"/>
              <w:spacing w:after="0" w:line="360" w:lineRule="exact"/>
              <w:jc w:val="both"/>
              <w:rPr>
                <w:rFonts w:ascii="Calibri" w:hAnsi="Calibri" w:eastAsia="宋体" w:cs="Times New Roman"/>
                <w:sz w:val="21"/>
                <w14:ligatures w14:val="none"/>
              </w:rPr>
            </w:pPr>
            <w:r>
              <w:rPr>
                <w:rFonts w:hint="eastAsia" w:ascii="Times New Roman" w:hAnsi="黑体" w:eastAsia="黑体" w:cs="Times New Roman"/>
                <w:sz w:val="28"/>
                <w:szCs w:val="28"/>
                <w14:ligatures w14:val="none"/>
              </w:rPr>
              <w:t>五、其他情况</w:t>
            </w:r>
          </w:p>
        </w:tc>
      </w:tr>
      <w:tr w14:paraId="1A8280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2" w:hRule="atLeast"/>
          <w:jc w:val="center"/>
        </w:trPr>
        <w:tc>
          <w:tcPr>
            <w:tcW w:w="1071" w:type="dxa"/>
            <w:vMerge w:val="restart"/>
            <w:tcBorders>
              <w:top w:val="single" w:color="auto" w:sz="4" w:space="0"/>
              <w:left w:val="single" w:color="auto" w:sz="4" w:space="0"/>
              <w:bottom w:val="single" w:color="auto" w:sz="4" w:space="0"/>
              <w:right w:val="single" w:color="auto" w:sz="4" w:space="0"/>
            </w:tcBorders>
            <w:vAlign w:val="center"/>
          </w:tcPr>
          <w:p w14:paraId="2AB91D76">
            <w:pPr>
              <w:autoSpaceDN w:val="0"/>
              <w:spacing w:after="0" w:line="360" w:lineRule="exact"/>
              <w:jc w:val="center"/>
              <w:rPr>
                <w:rFonts w:ascii="Calibri" w:hAnsi="Calibri" w:eastAsia="宋体" w:cs="Times New Roman"/>
                <w:sz w:val="21"/>
                <w14:ligatures w14:val="none"/>
              </w:rPr>
            </w:pPr>
            <w:r>
              <w:rPr>
                <w:rFonts w:ascii="Times New Roman" w:hAnsi="Times New Roman" w:eastAsia="仿宋_GB2312" w:cs="Times New Roman"/>
                <w:sz w:val="28"/>
                <w:szCs w:val="28"/>
                <w14:ligatures w14:val="none"/>
              </w:rPr>
              <w:t>10</w:t>
            </w:r>
          </w:p>
        </w:tc>
        <w:tc>
          <w:tcPr>
            <w:tcW w:w="9110" w:type="dxa"/>
            <w:tcBorders>
              <w:top w:val="single" w:color="auto" w:sz="4" w:space="0"/>
              <w:left w:val="single" w:color="auto" w:sz="4" w:space="0"/>
              <w:bottom w:val="single" w:color="auto" w:sz="4" w:space="0"/>
              <w:right w:val="single" w:color="auto" w:sz="4" w:space="0"/>
            </w:tcBorders>
            <w:vAlign w:val="center"/>
          </w:tcPr>
          <w:p w14:paraId="1AABFBD4">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是否存在规划编制单位发生分立、重组、合并变更，未重新申请核定资质情况。</w:t>
            </w:r>
          </w:p>
        </w:tc>
        <w:tc>
          <w:tcPr>
            <w:tcW w:w="1929" w:type="dxa"/>
            <w:tcBorders>
              <w:top w:val="single" w:color="auto" w:sz="4" w:space="0"/>
              <w:left w:val="single" w:color="auto" w:sz="4" w:space="0"/>
              <w:bottom w:val="single" w:color="auto" w:sz="4" w:space="0"/>
              <w:right w:val="single" w:color="auto" w:sz="4" w:space="0"/>
            </w:tcBorders>
          </w:tcPr>
          <w:p w14:paraId="52E8C430">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46BB4CE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2C2982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34"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1B98EEB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550AF4E4">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是否存在资质证书有效期内，单位名称、地址、法定代表人等资质证书信息发生变更而未及时申请变更情况。</w:t>
            </w:r>
          </w:p>
        </w:tc>
        <w:tc>
          <w:tcPr>
            <w:tcW w:w="1929" w:type="dxa"/>
            <w:tcBorders>
              <w:top w:val="single" w:color="auto" w:sz="4" w:space="0"/>
              <w:left w:val="single" w:color="auto" w:sz="4" w:space="0"/>
              <w:bottom w:val="single" w:color="auto" w:sz="4" w:space="0"/>
              <w:right w:val="single" w:color="auto" w:sz="4" w:space="0"/>
            </w:tcBorders>
          </w:tcPr>
          <w:p w14:paraId="2061A5D2">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5D233EB5">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392C1D5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4F78373C">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51EBD748">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是否有涂改、倒卖、出租、出借或者以其他形式非法转让资质证书情况。</w:t>
            </w:r>
          </w:p>
        </w:tc>
        <w:tc>
          <w:tcPr>
            <w:tcW w:w="1929" w:type="dxa"/>
            <w:tcBorders>
              <w:top w:val="single" w:color="auto" w:sz="4" w:space="0"/>
              <w:left w:val="single" w:color="auto" w:sz="4" w:space="0"/>
              <w:bottom w:val="single" w:color="auto" w:sz="4" w:space="0"/>
              <w:right w:val="single" w:color="auto" w:sz="4" w:space="0"/>
            </w:tcBorders>
          </w:tcPr>
          <w:p w14:paraId="5FAEC0DE">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4E29EB13">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4B414C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8"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6C6F03A6">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79EBDE1A">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是否发现未落实安全生产主体责任情况。</w:t>
            </w:r>
          </w:p>
        </w:tc>
        <w:tc>
          <w:tcPr>
            <w:tcW w:w="1929" w:type="dxa"/>
            <w:tcBorders>
              <w:top w:val="single" w:color="auto" w:sz="4" w:space="0"/>
              <w:left w:val="single" w:color="auto" w:sz="4" w:space="0"/>
              <w:bottom w:val="single" w:color="auto" w:sz="4" w:space="0"/>
              <w:right w:val="single" w:color="auto" w:sz="4" w:space="0"/>
            </w:tcBorders>
          </w:tcPr>
          <w:p w14:paraId="68B493BD">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7294A315">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43CB3E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4"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2317E5C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66D70704">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是否发现失、泄密安全隐患。</w:t>
            </w:r>
          </w:p>
        </w:tc>
        <w:tc>
          <w:tcPr>
            <w:tcW w:w="1929" w:type="dxa"/>
            <w:tcBorders>
              <w:top w:val="single" w:color="auto" w:sz="4" w:space="0"/>
              <w:left w:val="single" w:color="auto" w:sz="4" w:space="0"/>
              <w:bottom w:val="single" w:color="auto" w:sz="4" w:space="0"/>
              <w:right w:val="single" w:color="auto" w:sz="4" w:space="0"/>
            </w:tcBorders>
          </w:tcPr>
          <w:p w14:paraId="62350AB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27E97F74">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176C4F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19"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672DCCB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6313BE2E">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是否发现规划编制质量及其他违法违规问题。</w:t>
            </w:r>
          </w:p>
        </w:tc>
        <w:tc>
          <w:tcPr>
            <w:tcW w:w="1929" w:type="dxa"/>
            <w:tcBorders>
              <w:top w:val="single" w:color="auto" w:sz="4" w:space="0"/>
              <w:left w:val="single" w:color="auto" w:sz="4" w:space="0"/>
              <w:bottom w:val="single" w:color="auto" w:sz="4" w:space="0"/>
              <w:right w:val="single" w:color="auto" w:sz="4" w:space="0"/>
            </w:tcBorders>
          </w:tcPr>
          <w:p w14:paraId="0773D6E9">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02086737">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r w14:paraId="561B7C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7" w:hRule="atLeast"/>
          <w:jc w:val="center"/>
        </w:trPr>
        <w:tc>
          <w:tcPr>
            <w:tcW w:w="14739" w:type="dxa"/>
            <w:vMerge w:val="continue"/>
            <w:tcBorders>
              <w:top w:val="single" w:color="auto" w:sz="4" w:space="0"/>
              <w:left w:val="single" w:color="auto" w:sz="4" w:space="0"/>
              <w:bottom w:val="single" w:color="auto" w:sz="4" w:space="0"/>
              <w:right w:val="single" w:color="auto" w:sz="4" w:space="0"/>
            </w:tcBorders>
            <w:vAlign w:val="center"/>
          </w:tcPr>
          <w:p w14:paraId="313DFC09">
            <w:pPr>
              <w:widowControl/>
              <w:spacing w:after="0" w:line="240" w:lineRule="auto"/>
              <w:rPr>
                <w:rFonts w:ascii="Calibri" w:hAnsi="Calibri" w:eastAsia="宋体" w:cs="Times New Roman"/>
                <w:sz w:val="21"/>
                <w14:ligatures w14:val="none"/>
              </w:rPr>
            </w:pPr>
          </w:p>
        </w:tc>
        <w:tc>
          <w:tcPr>
            <w:tcW w:w="9110" w:type="dxa"/>
            <w:tcBorders>
              <w:top w:val="single" w:color="auto" w:sz="4" w:space="0"/>
              <w:left w:val="single" w:color="auto" w:sz="4" w:space="0"/>
              <w:bottom w:val="single" w:color="auto" w:sz="4" w:space="0"/>
              <w:right w:val="single" w:color="auto" w:sz="4" w:space="0"/>
            </w:tcBorders>
            <w:vAlign w:val="center"/>
          </w:tcPr>
          <w:p w14:paraId="31FAB538">
            <w:pPr>
              <w:autoSpaceDN w:val="0"/>
              <w:spacing w:after="0" w:line="360" w:lineRule="exact"/>
              <w:jc w:val="both"/>
              <w:rPr>
                <w:rFonts w:ascii="Calibri" w:hAnsi="Calibri" w:eastAsia="宋体" w:cs="Times New Roman"/>
                <w:sz w:val="21"/>
                <w14:ligatures w14:val="none"/>
              </w:rPr>
            </w:pPr>
            <w:r>
              <w:rPr>
                <w:rFonts w:hint="eastAsia" w:ascii="Times New Roman" w:hAnsi="Calibri" w:eastAsia="仿宋_GB2312" w:cs="Times New Roman"/>
                <w:sz w:val="28"/>
                <w:szCs w:val="28"/>
                <w14:ligatures w14:val="none"/>
              </w:rPr>
              <w:t>其他重大情况（如有，请记录）。</w:t>
            </w:r>
          </w:p>
        </w:tc>
        <w:tc>
          <w:tcPr>
            <w:tcW w:w="1929" w:type="dxa"/>
            <w:tcBorders>
              <w:top w:val="single" w:color="auto" w:sz="4" w:space="0"/>
              <w:left w:val="single" w:color="auto" w:sz="4" w:space="0"/>
              <w:bottom w:val="single" w:color="auto" w:sz="4" w:space="0"/>
              <w:right w:val="single" w:color="auto" w:sz="4" w:space="0"/>
            </w:tcBorders>
          </w:tcPr>
          <w:p w14:paraId="7A06F7E9">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c>
          <w:tcPr>
            <w:tcW w:w="2629" w:type="dxa"/>
            <w:tcBorders>
              <w:top w:val="single" w:color="auto" w:sz="4" w:space="0"/>
              <w:left w:val="single" w:color="auto" w:sz="4" w:space="0"/>
              <w:bottom w:val="single" w:color="auto" w:sz="4" w:space="0"/>
              <w:right w:val="single" w:color="auto" w:sz="4" w:space="0"/>
            </w:tcBorders>
          </w:tcPr>
          <w:p w14:paraId="7861AC4A">
            <w:pPr>
              <w:autoSpaceDN w:val="0"/>
              <w:spacing w:after="0" w:line="360" w:lineRule="exact"/>
              <w:jc w:val="both"/>
              <w:rPr>
                <w:rFonts w:ascii="Calibri" w:hAnsi="Calibri" w:eastAsia="宋体" w:cs="Times New Roman"/>
                <w:sz w:val="21"/>
                <w14:ligatures w14:val="none"/>
              </w:rPr>
            </w:pPr>
            <w:r>
              <w:rPr>
                <w:rFonts w:ascii="Times New Roman" w:hAnsi="Times New Roman" w:eastAsia="仿宋_GB2312" w:cs="Times New Roman"/>
                <w:sz w:val="28"/>
                <w:szCs w:val="28"/>
                <w14:ligatures w14:val="none"/>
              </w:rPr>
              <w:t> </w:t>
            </w:r>
          </w:p>
        </w:tc>
      </w:tr>
    </w:tbl>
    <w:p w14:paraId="77826BCB">
      <w:pPr>
        <w:autoSpaceDN w:val="0"/>
        <w:spacing w:after="0" w:line="240" w:lineRule="auto"/>
        <w:rPr>
          <w:rFonts w:ascii="Times New Roman" w:hAnsi="Times New Roman" w:eastAsia="仿宋_GB2312" w:cs="Times New Roman"/>
          <w:sz w:val="32"/>
          <w:szCs w:val="32"/>
          <w14:ligatures w14:val="none"/>
        </w:rPr>
      </w:pPr>
      <w:r>
        <w:rPr>
          <w:rFonts w:hint="eastAsia" w:ascii="楷体_GB2312" w:hAnsi="Calibri" w:eastAsia="楷体_GB2312" w:cs="楷体_GB2312"/>
          <w:sz w:val="30"/>
          <w:szCs w:val="30"/>
          <w14:ligatures w14:val="none"/>
        </w:rPr>
        <w:t>规划编制单位负责人签字：          核查人签字（至少两人）：            核查日期：  年   月  日</w:t>
      </w:r>
      <w:bookmarkEnd w:id="0"/>
    </w:p>
    <w:p w14:paraId="6EAB9F08">
      <w:pPr>
        <w:spacing w:after="0" w:line="560" w:lineRule="exact"/>
        <w:rPr>
          <w:rFonts w:hint="eastAsia" w:ascii="仿宋_GB2312" w:eastAsia="仿宋_GB2312"/>
          <w:sz w:val="32"/>
          <w:szCs w:val="32"/>
        </w:rPr>
        <w:sectPr>
          <w:footerReference r:id="rId11" w:type="default"/>
          <w:pgSz w:w="16838" w:h="11906" w:orient="landscape"/>
          <w:pgMar w:top="1588" w:right="1474" w:bottom="1474" w:left="1474" w:header="851" w:footer="992" w:gutter="0"/>
          <w:cols w:space="425" w:num="1"/>
          <w:docGrid w:type="lines" w:linePitch="312" w:charSpace="0"/>
        </w:sectPr>
      </w:pPr>
    </w:p>
    <w:p w14:paraId="045B244C">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三、对采矿权人履行矿山地质环境保护与土地复垦义务情况的行政检查</w:t>
      </w:r>
    </w:p>
    <w:p w14:paraId="5D2A6BDB">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（一）方案编报与备案情况。</w:t>
      </w:r>
      <w:r>
        <w:rPr>
          <w:rFonts w:hint="eastAsia" w:ascii="仿宋_GB2312" w:eastAsia="仿宋_GB2312"/>
          <w:sz w:val="32"/>
          <w:szCs w:val="32"/>
        </w:rPr>
        <w:t>采矿权人是否按规定编制方案，方案是否已通过具有相应权限的自然资源主管部门审查，方案是否在适用期内，采矿权人是否按要求报矿山所在地县级自然资源主管部门备案。</w:t>
      </w:r>
    </w:p>
    <w:p w14:paraId="3F78A8D2">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（二）矿山地质环境治理恢复基金制度落实情况。</w:t>
      </w:r>
      <w:r>
        <w:rPr>
          <w:rFonts w:hint="eastAsia" w:ascii="仿宋_GB2312" w:eastAsia="仿宋_GB2312"/>
          <w:sz w:val="32"/>
          <w:szCs w:val="32"/>
        </w:rPr>
        <w:t>采矿权人是否按规定设立基金账户，采矿权人是否按规定足额计提基金。</w:t>
      </w:r>
    </w:p>
    <w:p w14:paraId="12F14839">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（三）预存土地复垦费用情况。</w:t>
      </w:r>
      <w:r>
        <w:rPr>
          <w:rFonts w:hint="eastAsia" w:ascii="仿宋_GB2312" w:eastAsia="仿宋_GB2312"/>
          <w:sz w:val="32"/>
          <w:szCs w:val="32"/>
        </w:rPr>
        <w:t>采矿权人是否签订土地复垦费用三方监管协议，采矿权人是否足额预存土地复垦费用。</w:t>
      </w:r>
    </w:p>
    <w:p w14:paraId="76BD6639">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（四）方案落实情况。</w:t>
      </w:r>
      <w:r>
        <w:rPr>
          <w:rFonts w:hint="eastAsia" w:ascii="仿宋_GB2312" w:eastAsia="仿宋_GB2312"/>
          <w:sz w:val="32"/>
          <w:szCs w:val="32"/>
        </w:rPr>
        <w:t>采矿权人是否按照方案开展治理复垦工作，是否完成年度或阶段性目标任务，已实施的治理工程是否按照方案设置，已复垦地块位置、面积、地类是否与批复方案一致，是否达到设计标准。</w:t>
      </w:r>
    </w:p>
    <w:p w14:paraId="4C3D2314">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四、对建设项目土地复垦义务人履行土地复垦义务情况的检查</w:t>
      </w:r>
    </w:p>
    <w:p w14:paraId="267E1BC2">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（一）方案编报与备案情况。</w:t>
      </w:r>
      <w:r>
        <w:rPr>
          <w:rFonts w:hint="eastAsia" w:ascii="仿宋_GB2312" w:eastAsia="仿宋_GB2312"/>
          <w:sz w:val="32"/>
          <w:szCs w:val="32"/>
        </w:rPr>
        <w:t>土地复垦义务人是否按规定编制方案，方案是否已通过具有相应权限的自然资源主管部门审查，土地复垦义务人是否按要求报项目损毁所在地县级自然资源主管部门备案。</w:t>
      </w:r>
    </w:p>
    <w:p w14:paraId="4EFB9746">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（二）预存土地复垦费用情况。</w:t>
      </w:r>
      <w:r>
        <w:rPr>
          <w:rFonts w:hint="eastAsia" w:ascii="仿宋_GB2312" w:eastAsia="仿宋_GB2312"/>
          <w:sz w:val="32"/>
          <w:szCs w:val="32"/>
        </w:rPr>
        <w:t>土地复垦义务人是否签订土地复垦费用三方监管协议，是否足额预存土地复垦费用。</w:t>
      </w:r>
    </w:p>
    <w:p w14:paraId="24E7424E">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（三）方案落实情况。</w:t>
      </w:r>
      <w:r>
        <w:rPr>
          <w:rFonts w:hint="eastAsia" w:ascii="仿宋_GB2312" w:eastAsia="仿宋_GB2312"/>
          <w:sz w:val="32"/>
          <w:szCs w:val="32"/>
        </w:rPr>
        <w:t>土地复垦义务人是否按照土地复垦方案开展复垦工作，对已复垦地块位置、面积、复垦方向是否与批复方案一致，是否达到设计标准。</w:t>
      </w:r>
    </w:p>
    <w:p w14:paraId="7FF8067D">
      <w:pPr>
        <w:spacing w:after="0" w:line="560" w:lineRule="exact"/>
        <w:ind w:firstLine="640" w:firstLineChars="200"/>
        <w:jc w:val="both"/>
        <w:rPr>
          <w:rFonts w:ascii="黑体" w:hAnsi="黑体" w:eastAsia="黑体"/>
          <w:sz w:val="32"/>
          <w:szCs w:val="32"/>
        </w:rPr>
      </w:pPr>
      <w:r>
        <w:rPr>
          <w:rFonts w:hint="eastAsia" w:ascii="黑体" w:hAnsi="黑体" w:eastAsia="黑体"/>
          <w:sz w:val="32"/>
          <w:szCs w:val="32"/>
        </w:rPr>
        <w:t>五、年度地质勘查行业“双随机、一公开”监督检查</w:t>
      </w:r>
    </w:p>
    <w:p w14:paraId="3EBF720C">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（一）事项名称。</w:t>
      </w:r>
      <w:r>
        <w:rPr>
          <w:rFonts w:hint="eastAsia" w:ascii="仿宋_GB2312" w:eastAsia="仿宋_GB2312"/>
          <w:sz w:val="32"/>
          <w:szCs w:val="32"/>
        </w:rPr>
        <w:t>年度地质勘查行业“双随机、一公开”监督检查</w:t>
      </w:r>
    </w:p>
    <w:p w14:paraId="182AC35D">
      <w:pPr>
        <w:spacing w:after="0" w:line="560" w:lineRule="exact"/>
        <w:ind w:firstLine="640" w:firstLineChars="200"/>
        <w:jc w:val="both"/>
        <w:rPr>
          <w:rFonts w:hint="eastAsia" w:ascii="仿宋_GB2312" w:eastAsia="仿宋_GB2312"/>
          <w:sz w:val="32"/>
          <w:szCs w:val="32"/>
        </w:rPr>
      </w:pPr>
      <w:r>
        <w:rPr>
          <w:rFonts w:hint="eastAsia" w:ascii="楷体_GB2312" w:eastAsia="楷体_GB2312"/>
          <w:sz w:val="32"/>
          <w:szCs w:val="32"/>
        </w:rPr>
        <w:t>（二）实施依据。</w:t>
      </w:r>
      <w:r>
        <w:rPr>
          <w:rFonts w:hint="eastAsia" w:ascii="仿宋_GB2312" w:eastAsia="仿宋_GB2312"/>
          <w:sz w:val="32"/>
          <w:szCs w:val="32"/>
        </w:rPr>
        <w:t>1.《地质灾害防治单位资质管理办法》（中华人民共和国自然资源部令第8号）第二十六条：“省级人民政府自然资源主管部门应当按照“双随机、一公开”监管要求，采取随机摇号的方式，按照不低于百分之十的比例确定抽查的地质灾害防治单位，组织对地质灾害防治单位资质情况和从事地质灾害防治活动情况进行监督检查。”2.《国务院关于取消一批行政许可事项的决定》（国发〔2017〕46号）：“取消审批后，国土资源部通过以下措施加强事中事后监管”。3.《国土资源部关于取消地质勘查资质审批后加强事中事后监管的公告》（国土资源部公告2017年第32号）：“国土资源部统筹指导全国地质勘查单位勘查活动的事中事后监管工作”。</w:t>
      </w:r>
    </w:p>
    <w:p w14:paraId="2AABE4C6">
      <w:pPr>
        <w:spacing w:after="0" w:line="560" w:lineRule="exact"/>
        <w:ind w:firstLine="640" w:firstLineChars="200"/>
        <w:jc w:val="both"/>
        <w:rPr>
          <w:rFonts w:ascii="仿宋_GB2312" w:eastAsia="仿宋_GB2312"/>
          <w:sz w:val="32"/>
          <w:szCs w:val="32"/>
        </w:rPr>
      </w:pPr>
      <w:r>
        <w:rPr>
          <w:rFonts w:hint="eastAsia" w:ascii="楷体_GB2312" w:eastAsia="楷体_GB2312"/>
          <w:sz w:val="32"/>
          <w:szCs w:val="32"/>
        </w:rPr>
        <w:t>（三）检查标准。</w:t>
      </w:r>
      <w:r>
        <w:rPr>
          <w:rFonts w:hint="eastAsia" w:ascii="仿宋_GB2312" w:eastAsia="仿宋_GB2312"/>
          <w:sz w:val="32"/>
          <w:szCs w:val="32"/>
        </w:rPr>
        <w:t>遵守有关地质勘查法律法规、标准规范情况；质量和安全内部管理制度建设及落实情况；地质勘查活动诚实守信情况；信息公示情况；地质勘查活动投诉举报等其他事项；地质灾害防治单位资质情况和从事地质灾害防治活动情况。</w:t>
      </w:r>
    </w:p>
    <w:p w14:paraId="15D9AF21">
      <w:pPr>
        <w:spacing w:after="0" w:line="560" w:lineRule="exact"/>
        <w:ind w:firstLine="640" w:firstLineChars="200"/>
        <w:jc w:val="both"/>
        <w:rPr>
          <w:rFonts w:ascii="黑体" w:hAnsi="黑体" w:eastAsia="黑体"/>
          <w:sz w:val="32"/>
          <w:szCs w:val="32"/>
        </w:rPr>
      </w:pPr>
    </w:p>
    <w:p w14:paraId="432F0886">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六、矿业权人勘查开采信息随机抽查</w:t>
      </w:r>
    </w:p>
    <w:p w14:paraId="2BAE4EE7">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（一）探矿权核查内容</w:t>
      </w:r>
    </w:p>
    <w:p w14:paraId="5915AE2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1.基本信息。核查探矿权人提供的勘查许可证合法性和有效性，办理探矿权延续、变更手续情况。</w:t>
      </w:r>
    </w:p>
    <w:p w14:paraId="2FC653BA">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勘查实施方案。核查勘查实施方案编制审查、调整和执行情况，对比勘查年度工作计划与实施完成情况。查阅年度勘查工作总结或地质勘查报告及审查意见，登记的勘查矿种，发现矿种的估算资源储量，共伴生矿产综合勘查和综合评价情况。对已完成勘查工作的，核查地质资料汇交情况和汇交凭证。</w:t>
      </w:r>
    </w:p>
    <w:p w14:paraId="6686C655">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实物工作量。按照不低于10%比例随机抽取核查年度信息表中实物工作量，包括地质研究，勘查测量，地质槽探、浅井、钻探、坑探、填图，水文、工程和环境地质，物化探，样品加工、测试与鉴定，测试样品的副样，试油试气，查阅相关成果报告、分析测试报告、实物岩芯等，核实其他实物工作量是否在公示年度内。</w:t>
      </w:r>
    </w:p>
    <w:p w14:paraId="5B739AD2">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4.项目开工或备案情况。查验县级及以上自然资源主管部门出具的项目开工或备案证明。</w:t>
      </w:r>
    </w:p>
    <w:p w14:paraId="7D07525C">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在批准范围内勘查情况。查阅勘查实施方案、实际材料图、探矿工程编录资料和油气探井测井曲线等，重点抽查探矿权边界附近的探矿工程(槽探、浅井、钻探、坑探)情况，核对探矿工程位置信息(包括地表位置与地下位置)与探矿权中勘查范围的一致性。</w:t>
      </w:r>
    </w:p>
    <w:p w14:paraId="1CEF9F17">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擅自进行滚动勘探开发、边探边采或者试采情况。对比遥感卫星影像资料，对疑似采场、中转场地、尾矿堆积场地等场所进行现场踏勘，确认是否存在未经批准，擅自进行滚动勘探开发、边探边采或者试采情况。</w:t>
      </w:r>
    </w:p>
    <w:p w14:paraId="2FB6FF0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7.封(填)井(孔)、地质环境恢复与土地复垦情况。现场核查至少1个探矿工程(槽探、浅井、钻探、坑探),查看封(填)井(孔)地质环境恢复与土地复垦情况，查验地质环境恢复与土地复垦验收材料。</w:t>
      </w:r>
    </w:p>
    <w:p w14:paraId="1A61DEC6">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8.自然资源领域相关行政处罚和整改情况。对于受到自然资源主管部门行政处罚的探矿权人，查看行政处罚通知书及整改情况，核对与信息公示填报内容的一致性。</w:t>
      </w:r>
    </w:p>
    <w:p w14:paraId="37AC0CC0">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（二）采矿权实地核查内容</w:t>
      </w:r>
    </w:p>
    <w:p w14:paraId="5E71EBC7">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1.基本信息。核查采矿权人提供的采矿许可证合法性和有效性，办理采矿权延续、变更手续情况。</w:t>
      </w:r>
    </w:p>
    <w:p w14:paraId="536F1CD0">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开发利用方案。查看生产现场，查阅相关资料，核查开采矿种是否与采矿许可证登记矿种一致。查阅开发利用方案编制审查、调整和执行情况。查阅采掘工程平面图(开采现状图或井位布置图)等材料，核查是否采用国家禁止使用的开采方法、开采顺序、矿石加工选冶工艺和采选设备。属于开采总量控制的矿种，查阅生产台账和储量年报，通过与核定生产能力对比，核查是否与信息公示填报内容一致。</w:t>
      </w:r>
    </w:p>
    <w:p w14:paraId="68B14A80">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3.标识制度落实情况。进行现场实地调查，核查采矿权标识牌设置情况，露天矿山现场随机抽查至少2根界桩。</w:t>
      </w:r>
    </w:p>
    <w:p w14:paraId="748402C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开发利用情况。非油气采矿权：查阅生产台账、开采方式、采矿方法、已开采年限、剩余服务年限、设计采矿能力、实际采矿能力、矿石采出量、年损失矿石量、年消耗地质储量、矿山资源储量年度变化表、设计开采回采率、核定开采回采率、矿石地质品位、采出矿石地质品位、设计选厂规模、实际入选矿石量、设计选矿回收率、实际选矿回收率、精矿年产量、精矿品位、原矿入选品位、尾矿品位、综合利用情况等，实际开采回采率和选矿回收率等指标与信息公示填报内容的一致性，开采回采率等指标是否达到有关标准要求。</w:t>
      </w:r>
    </w:p>
    <w:p w14:paraId="076AF31F">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5.在批准范围内开采情况。查阅开发利用方案、井上井下工程对照图、测井曲线、矿山储量年报和遥感卫星影像等资料，重点抽查采矿工程(井、巷、硐等)最远控制点，核查是否可能存在超越批准范围开采情况。</w:t>
      </w:r>
    </w:p>
    <w:p w14:paraId="2CFD9E8A">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矿山储量年度管理制度落实情况。查阅矿山资源储量台账及生产设计图件等有关资料，核查年度矿山动用资源储量估算表和资源储量平衡表编制情况；动用的资源储量是否估算了储量；是否按要求完整编制矿山储量年度报告或矿山、油田、气田资源储量年度变化表。对于油气矿产在探采矿期间探明地质储量、其他矿产在采矿期间资源量发生重大变化的(变化量超过30%或达到中型规模以上的),是否编制矿产资源储量报告并评审备案；矿山资源储量年度变化表与矿山储量年报是否一致并在信息公示系统公示。</w:t>
      </w:r>
    </w:p>
    <w:p w14:paraId="18B7E967">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矿山地质环境保护与土地复垦情况。实地核查矿山地质环境保护与土地复垦方案及年度计划设定的阶段修复目标及任务完成情况、实施效果等。查阅矿山地质环境保护与土地复垦方案编制审查情况、年度计划编制及报备情况、矿山地质环境治理恢复基金计提使用情况、矿山地质环境治理与土地复垦阶段验收情况。</w:t>
      </w:r>
    </w:p>
    <w:p w14:paraId="6281E304">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8.自然资源领域相关行政处罚和整改情况。对于受到自然资源主管部门行政处罚的采矿权人，查看行政处罚通知书及整改情况，核对与公示信息的一致性。</w:t>
      </w:r>
    </w:p>
    <w:p w14:paraId="6C4BD5DC">
      <w:pPr>
        <w:spacing w:after="156" w:afterLines="5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七、对本级审批用海项目是否依批准用海进行监督检查</w:t>
      </w:r>
    </w:p>
    <w:tbl>
      <w:tblPr>
        <w:tblStyle w:val="36"/>
        <w:tblW w:w="81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6"/>
        <w:gridCol w:w="2551"/>
        <w:gridCol w:w="2410"/>
        <w:gridCol w:w="2339"/>
      </w:tblGrid>
      <w:tr w14:paraId="39A43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846" w:type="dxa"/>
            <w:vAlign w:val="center"/>
          </w:tcPr>
          <w:p w14:paraId="5BA4CF15">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序号</w:t>
            </w:r>
          </w:p>
        </w:tc>
        <w:tc>
          <w:tcPr>
            <w:tcW w:w="2551" w:type="dxa"/>
            <w:vAlign w:val="center"/>
          </w:tcPr>
          <w:p w14:paraId="0FD0D082">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检查内容</w:t>
            </w:r>
          </w:p>
        </w:tc>
        <w:tc>
          <w:tcPr>
            <w:tcW w:w="2410" w:type="dxa"/>
            <w:vAlign w:val="center"/>
          </w:tcPr>
          <w:p w14:paraId="58DBD076">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工作标准</w:t>
            </w:r>
          </w:p>
        </w:tc>
        <w:tc>
          <w:tcPr>
            <w:tcW w:w="2339" w:type="dxa"/>
            <w:vAlign w:val="center"/>
          </w:tcPr>
          <w:p w14:paraId="03D9126B">
            <w:pPr>
              <w:spacing w:after="0" w:line="360" w:lineRule="exact"/>
              <w:jc w:val="center"/>
              <w:rPr>
                <w:rFonts w:hint="eastAsia" w:ascii="黑体" w:hAnsi="黑体" w:eastAsia="黑体" w:cs="Times New Roman"/>
                <w:bCs/>
                <w:kern w:val="0"/>
                <w:sz w:val="28"/>
                <w:szCs w:val="28"/>
                <w14:ligatures w14:val="none"/>
              </w:rPr>
            </w:pPr>
            <w:r>
              <w:rPr>
                <w:rFonts w:hint="eastAsia" w:ascii="黑体" w:hAnsi="黑体" w:eastAsia="黑体" w:cs="Times New Roman"/>
                <w:bCs/>
                <w:kern w:val="0"/>
                <w:sz w:val="28"/>
                <w:szCs w:val="28"/>
                <w14:ligatures w14:val="none"/>
              </w:rPr>
              <w:t>主要依据</w:t>
            </w:r>
          </w:p>
        </w:tc>
      </w:tr>
      <w:tr w14:paraId="5FBA5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8" w:hRule="atLeast"/>
          <w:jc w:val="center"/>
        </w:trPr>
        <w:tc>
          <w:tcPr>
            <w:tcW w:w="846" w:type="dxa"/>
            <w:vAlign w:val="center"/>
          </w:tcPr>
          <w:p w14:paraId="0D980087">
            <w:pPr>
              <w:widowControl/>
              <w:spacing w:after="0" w:line="360" w:lineRule="exact"/>
              <w:jc w:val="center"/>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1</w:t>
            </w:r>
          </w:p>
        </w:tc>
        <w:tc>
          <w:tcPr>
            <w:tcW w:w="2551" w:type="dxa"/>
            <w:vAlign w:val="center"/>
          </w:tcPr>
          <w:p w14:paraId="48DCCE1A">
            <w:pPr>
              <w:widowControl/>
              <w:spacing w:after="0" w:line="360" w:lineRule="exact"/>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对本级审批用海项目是否依批准用海进行监督检查。</w:t>
            </w:r>
          </w:p>
        </w:tc>
        <w:tc>
          <w:tcPr>
            <w:tcW w:w="2410" w:type="dxa"/>
            <w:vAlign w:val="center"/>
          </w:tcPr>
          <w:p w14:paraId="59DBA278">
            <w:pPr>
              <w:spacing w:after="0" w:line="360" w:lineRule="exact"/>
              <w:jc w:val="both"/>
              <w:rPr>
                <w:rFonts w:hint="eastAsia" w:ascii="仿宋_GB2312" w:hAnsi="等线" w:eastAsia="仿宋_GB2312" w:cs="Times New Roman"/>
                <w:kern w:val="0"/>
                <w:sz w:val="28"/>
                <w:szCs w:val="28"/>
                <w14:ligatures w14:val="none"/>
              </w:rPr>
            </w:pPr>
            <w:r>
              <w:rPr>
                <w:rFonts w:hint="eastAsia" w:ascii="仿宋_GB2312" w:hAnsi="等线" w:eastAsia="仿宋_GB2312" w:cs="Times New Roman"/>
                <w:kern w:val="0"/>
                <w:sz w:val="28"/>
                <w:szCs w:val="28"/>
                <w14:ligatures w14:val="none"/>
              </w:rPr>
              <w:t>对用海主体是否按用海批复要求使用海域进行监督检查。</w:t>
            </w:r>
          </w:p>
        </w:tc>
        <w:tc>
          <w:tcPr>
            <w:tcW w:w="2339" w:type="dxa"/>
            <w:vAlign w:val="center"/>
          </w:tcPr>
          <w:p w14:paraId="59F4CC6E">
            <w:pPr>
              <w:widowControl/>
              <w:spacing w:after="0" w:line="360" w:lineRule="exact"/>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1.《中华人民共和国海域使用管理法》</w:t>
            </w:r>
          </w:p>
          <w:p w14:paraId="1F5374F3">
            <w:pPr>
              <w:widowControl/>
              <w:spacing w:after="0" w:line="360" w:lineRule="exact"/>
              <w:jc w:val="both"/>
              <w:rPr>
                <w:rFonts w:hint="eastAsia" w:ascii="仿宋_GB2312" w:hAnsi="等线" w:eastAsia="仿宋_GB2312" w:cs="Times New Roman"/>
                <w:color w:val="000000"/>
                <w:kern w:val="0"/>
                <w:sz w:val="28"/>
                <w:szCs w:val="28"/>
                <w14:ligatures w14:val="none"/>
              </w:rPr>
            </w:pPr>
            <w:r>
              <w:rPr>
                <w:rFonts w:hint="eastAsia" w:ascii="仿宋_GB2312" w:hAnsi="等线" w:eastAsia="仿宋_GB2312" w:cs="Times New Roman"/>
                <w:color w:val="000000"/>
                <w:kern w:val="0"/>
                <w:sz w:val="28"/>
                <w:szCs w:val="28"/>
                <w14:ligatures w14:val="none"/>
              </w:rPr>
              <w:t>2.《河北省海域使用管理条例》</w:t>
            </w:r>
          </w:p>
        </w:tc>
      </w:tr>
    </w:tbl>
    <w:p w14:paraId="672BC705">
      <w:pPr>
        <w:spacing w:after="0" w:line="560" w:lineRule="exact"/>
        <w:ind w:firstLine="640" w:firstLineChars="200"/>
        <w:jc w:val="both"/>
        <w:rPr>
          <w:rFonts w:hint="eastAsia" w:ascii="黑体" w:hAnsi="黑体" w:eastAsia="黑体"/>
          <w:sz w:val="32"/>
          <w:szCs w:val="32"/>
        </w:rPr>
      </w:pPr>
      <w:r>
        <w:rPr>
          <w:rFonts w:hint="eastAsia" w:ascii="黑体" w:hAnsi="黑体" w:eastAsia="黑体"/>
          <w:sz w:val="32"/>
          <w:szCs w:val="32"/>
        </w:rPr>
        <w:t>八、对测绘行业的行政检查</w:t>
      </w:r>
    </w:p>
    <w:p w14:paraId="5FB337E1">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（一）测绘行业“双随机、一公开”监督检查</w:t>
      </w:r>
    </w:p>
    <w:p w14:paraId="797392DE">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1.测绘资质。单位专业技术人员、技术装备、相关制度等测绘资质情况是否符合当前测绘资质等级和业务范围。</w:t>
      </w:r>
    </w:p>
    <w:p w14:paraId="61D6509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2.测绘行业安全生产（含消防安全）。单位是否有健全的安全生产（含消防安全）制度，安全生产制度是否有效执行。</w:t>
      </w:r>
    </w:p>
    <w:p w14:paraId="75DDF00A">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3.测绘质量。单位质量管理体系建立及运行、质量管理职责及落实、生产过程的质量管理情况。</w:t>
      </w:r>
    </w:p>
    <w:p w14:paraId="5E4EAB4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4.测绘项目备案登记。单位是否建立项目合同登记本，是否有测绘管理部门出具的备案登记材料，项目备案登记与项目合同是否对应，备案登记是否及时有效。</w:t>
      </w:r>
    </w:p>
    <w:p w14:paraId="0B0D1E75">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5.测绘航空摄影活动。单位是否开展测绘航空摄影项目，是否具备备案登记、空域申请、成果保密等资料。</w:t>
      </w:r>
    </w:p>
    <w:p w14:paraId="11561E50">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6.相对独立的平面坐标系统。单位是否使用全国统一的测绘基准和坐标系统，是否参与建设相对独立的平面坐标系统，是否得到批准。</w:t>
      </w:r>
    </w:p>
    <w:p w14:paraId="2FD59232">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7.外国的组织或者个人来华测绘。单位是否参与外国组织或者个人来华测绘项目，是否按照管理要求开展项目。</w:t>
      </w:r>
    </w:p>
    <w:p w14:paraId="2F56454F">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8.测绘地理信息行业信用信息。单位是否有不良信用信息，发生的不良信用信息是否录入测绘地理信息行业信用管理平台。</w:t>
      </w:r>
    </w:p>
    <w:p w14:paraId="1BADA392">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9.卫星导航定位基准站建设和运行维护。单位是否建设卫星导航定位基准站，建设卫星导航定位基准站是否向测绘地理信息主管部门备案，卫星导航定位基准站的建设和运行维护是否符合国家标准和要求。</w:t>
      </w:r>
    </w:p>
    <w:p w14:paraId="6F68D088">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10.注册测绘师制度的实施。单位注册测绘师是否依法进行注册，是否按要求完成继续教育。</w:t>
      </w:r>
    </w:p>
    <w:p w14:paraId="2314EFF6">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11.测绘市场的监督。单位在测绘市场活动中是否有违法行为，是否在资质等级和业务范围内从事测绘活动，是否非法转包测绘项目，是否将测绘项目发包给不具有相应资质等级的测绘单位，是否有不正当竞争行为。</w:t>
      </w:r>
    </w:p>
    <w:p w14:paraId="75468243">
      <w:pPr>
        <w:spacing w:after="0" w:line="560" w:lineRule="exact"/>
        <w:ind w:firstLine="640" w:firstLineChars="200"/>
        <w:jc w:val="both"/>
        <w:rPr>
          <w:rFonts w:hint="eastAsia" w:ascii="仿宋_GB2312" w:eastAsia="仿宋_GB2312"/>
          <w:sz w:val="32"/>
          <w:szCs w:val="32"/>
        </w:rPr>
      </w:pPr>
      <w:r>
        <w:rPr>
          <w:rFonts w:hint="eastAsia" w:ascii="仿宋_GB2312" w:eastAsia="仿宋_GB2312"/>
          <w:sz w:val="32"/>
          <w:szCs w:val="32"/>
        </w:rPr>
        <w:t>12.测绘地理信息统计。单位是否明确专人负责测绘地理信息统计工作，是否按要求报送测绘地理信息统计年报。</w:t>
      </w:r>
    </w:p>
    <w:p w14:paraId="2D0032A3">
      <w:pPr>
        <w:spacing w:after="0" w:line="560" w:lineRule="exact"/>
        <w:ind w:firstLine="640" w:firstLineChars="200"/>
        <w:jc w:val="both"/>
        <w:rPr>
          <w:rFonts w:hint="eastAsia" w:ascii="楷体_GB2312" w:eastAsia="楷体_GB2312"/>
          <w:sz w:val="32"/>
          <w:szCs w:val="32"/>
        </w:rPr>
      </w:pPr>
      <w:r>
        <w:rPr>
          <w:rFonts w:hint="eastAsia" w:ascii="楷体_GB2312" w:eastAsia="楷体_GB2312"/>
          <w:sz w:val="32"/>
          <w:szCs w:val="32"/>
        </w:rPr>
        <w:t>（二）测绘质量监督检验</w:t>
      </w:r>
    </w:p>
    <w:p w14:paraId="32B9C131">
      <w:pPr>
        <w:spacing w:after="0" w:line="560" w:lineRule="exact"/>
        <w:ind w:firstLine="640" w:firstLineChars="200"/>
        <w:jc w:val="both"/>
        <w:rPr>
          <w:rFonts w:hint="eastAsia" w:ascii="仿宋_GB2312" w:eastAsia="仿宋_GB2312"/>
          <w:sz w:val="32"/>
          <w:szCs w:val="32"/>
        </w:rPr>
        <w:sectPr>
          <w:pgSz w:w="11906" w:h="16838"/>
          <w:pgMar w:top="1440" w:right="1800" w:bottom="1440" w:left="1800" w:header="851" w:footer="992" w:gutter="0"/>
          <w:cols w:space="425" w:num="1"/>
          <w:docGrid w:type="lines" w:linePitch="312" w:charSpace="0"/>
        </w:sectPr>
      </w:pPr>
      <w:r>
        <w:rPr>
          <w:rFonts w:hint="eastAsia" w:ascii="仿宋_GB2312" w:eastAsia="仿宋_GB2312"/>
          <w:sz w:val="32"/>
          <w:szCs w:val="32"/>
        </w:rPr>
        <w:t>委托省测绘产品质量监督检验站，根据《测绘成果质量检查与验收》（GB/T 24356-2023），检查测绘项目成果质量是否合格。</w:t>
      </w:r>
    </w:p>
    <w:p w14:paraId="354F6266">
      <w:pPr>
        <w:spacing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九、对地图编制、出版、展示、登载和互联网地图服务的行政检查</w:t>
      </w:r>
    </w:p>
    <w:tbl>
      <w:tblPr>
        <w:tblStyle w:val="15"/>
        <w:tblW w:w="1317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1"/>
      </w:tblGrid>
      <w:tr w14:paraId="256C18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9"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617AC7E7">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14:paraId="3E53E00E">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14:paraId="32C74B95">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1" w:type="dxa"/>
            <w:tcBorders>
              <w:top w:val="single" w:color="auto" w:sz="4" w:space="0"/>
              <w:left w:val="single" w:color="auto" w:sz="4" w:space="0"/>
              <w:bottom w:val="single" w:color="auto" w:sz="4" w:space="0"/>
              <w:right w:val="single" w:color="auto" w:sz="4" w:space="0"/>
            </w:tcBorders>
            <w:vAlign w:val="center"/>
          </w:tcPr>
          <w:p w14:paraId="22AB6C72">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14:paraId="0A2B32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11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3EFB4E5C">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tcBorders>
              <w:top w:val="single" w:color="auto" w:sz="4" w:space="0"/>
              <w:left w:val="single" w:color="auto" w:sz="4" w:space="0"/>
              <w:bottom w:val="single" w:color="auto" w:sz="4" w:space="0"/>
              <w:right w:val="single" w:color="auto" w:sz="4" w:space="0"/>
            </w:tcBorders>
            <w:vAlign w:val="center"/>
          </w:tcPr>
          <w:p w14:paraId="49F9EB06">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对地图编制、出版、展示、登载和互联网地图服务的行政检查</w:t>
            </w:r>
          </w:p>
        </w:tc>
        <w:tc>
          <w:tcPr>
            <w:tcW w:w="1984" w:type="dxa"/>
            <w:tcBorders>
              <w:top w:val="single" w:color="auto" w:sz="4" w:space="0"/>
              <w:left w:val="single" w:color="auto" w:sz="4" w:space="0"/>
              <w:bottom w:val="single" w:color="auto" w:sz="4" w:space="0"/>
              <w:right w:val="single" w:color="auto" w:sz="4" w:space="0"/>
            </w:tcBorders>
            <w:vAlign w:val="center"/>
          </w:tcPr>
          <w:p w14:paraId="13BA2996">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地图审核通过件核查</w:t>
            </w:r>
          </w:p>
        </w:tc>
        <w:tc>
          <w:tcPr>
            <w:tcW w:w="7371" w:type="dxa"/>
            <w:tcBorders>
              <w:top w:val="single" w:color="auto" w:sz="4" w:space="0"/>
              <w:left w:val="single" w:color="auto" w:sz="4" w:space="0"/>
              <w:bottom w:val="single" w:color="auto" w:sz="4" w:space="0"/>
              <w:right w:val="single" w:color="auto" w:sz="4" w:space="0"/>
            </w:tcBorders>
            <w:vAlign w:val="center"/>
          </w:tcPr>
          <w:p w14:paraId="67DA2240">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1.上年度省级审核通过的地图，已向社会公开的，是否未按照审核要求修改。</w:t>
            </w:r>
          </w:p>
          <w:p w14:paraId="3660EB62">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2.是否弄虚作假、伪造申请材料骗取地图审核批准文件。</w:t>
            </w:r>
          </w:p>
          <w:p w14:paraId="3F32EB4A">
            <w:pPr>
              <w:autoSpaceDN w:val="0"/>
              <w:spacing w:after="0" w:line="360" w:lineRule="exact"/>
              <w:jc w:val="both"/>
              <w:rPr>
                <w:rFonts w:hint="eastAsia" w:ascii="仿宋_GB2312" w:hAnsi="Times New Roman" w:eastAsia="仿宋_GB2312" w:cs="Times New Roman"/>
                <w:sz w:val="28"/>
                <w:szCs w:val="28"/>
                <w14:ligatures w14:val="none"/>
              </w:rPr>
            </w:pPr>
            <w:r>
              <w:rPr>
                <w:rFonts w:hint="eastAsia" w:ascii="仿宋_GB2312" w:hAnsi="Times New Roman" w:eastAsia="仿宋_GB2312" w:cs="Times New Roman"/>
                <w:sz w:val="28"/>
                <w:szCs w:val="28"/>
                <w14:ligatures w14:val="none"/>
              </w:rPr>
              <w:t>3.是否伪造、冒用地图审核批准文件和审图号。</w:t>
            </w:r>
          </w:p>
          <w:p w14:paraId="1F7943D0">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4.是否未在地图的适当位置显著标注审图号。</w:t>
            </w:r>
          </w:p>
        </w:tc>
      </w:tr>
    </w:tbl>
    <w:p w14:paraId="7A612A4B">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十、对地理信息安全的行政检查</w:t>
      </w:r>
    </w:p>
    <w:tbl>
      <w:tblPr>
        <w:tblStyle w:val="15"/>
        <w:tblW w:w="1318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88"/>
        <w:gridCol w:w="2835"/>
        <w:gridCol w:w="1984"/>
        <w:gridCol w:w="7376"/>
      </w:tblGrid>
      <w:tr w14:paraId="2432EE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jc w:val="center"/>
        </w:trPr>
        <w:tc>
          <w:tcPr>
            <w:tcW w:w="988" w:type="dxa"/>
            <w:tcBorders>
              <w:top w:val="single" w:color="auto" w:sz="4" w:space="0"/>
              <w:left w:val="single" w:color="auto" w:sz="4" w:space="0"/>
              <w:bottom w:val="single" w:color="auto" w:sz="4" w:space="0"/>
              <w:right w:val="single" w:color="auto" w:sz="4" w:space="0"/>
            </w:tcBorders>
            <w:vAlign w:val="center"/>
          </w:tcPr>
          <w:p w14:paraId="1E169DE0">
            <w:pPr>
              <w:autoSpaceDN w:val="0"/>
              <w:spacing w:after="0" w:line="360" w:lineRule="exact"/>
              <w:jc w:val="center"/>
              <w:rPr>
                <w:rFonts w:ascii="黑体" w:hAnsi="黑体" w:eastAsia="黑体" w:cs="Arial"/>
                <w:sz w:val="28"/>
                <w:szCs w:val="28"/>
                <w14:ligatures w14:val="none"/>
              </w:rPr>
            </w:pPr>
            <w:r>
              <w:rPr>
                <w:rFonts w:hint="eastAsia" w:ascii="黑体" w:hAnsi="黑体" w:eastAsia="黑体" w:cs="Times New Roman"/>
                <w:sz w:val="28"/>
                <w:szCs w:val="28"/>
                <w14:ligatures w14:val="none"/>
              </w:rPr>
              <w:t>序号</w:t>
            </w:r>
          </w:p>
        </w:tc>
        <w:tc>
          <w:tcPr>
            <w:tcW w:w="2835" w:type="dxa"/>
            <w:tcBorders>
              <w:top w:val="single" w:color="auto" w:sz="4" w:space="0"/>
              <w:left w:val="single" w:color="auto" w:sz="4" w:space="0"/>
              <w:bottom w:val="single" w:color="auto" w:sz="4" w:space="0"/>
              <w:right w:val="single" w:color="auto" w:sz="4" w:space="0"/>
            </w:tcBorders>
            <w:vAlign w:val="center"/>
          </w:tcPr>
          <w:p w14:paraId="64B34D19">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14:paraId="4DA1B729">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76" w:type="dxa"/>
            <w:tcBorders>
              <w:top w:val="single" w:color="auto" w:sz="4" w:space="0"/>
              <w:left w:val="single" w:color="auto" w:sz="4" w:space="0"/>
              <w:bottom w:val="single" w:color="auto" w:sz="4" w:space="0"/>
              <w:right w:val="single" w:color="auto" w:sz="4" w:space="0"/>
            </w:tcBorders>
            <w:vAlign w:val="center"/>
          </w:tcPr>
          <w:p w14:paraId="4FFC7C21">
            <w:pPr>
              <w:autoSpaceDN w:val="0"/>
              <w:spacing w:after="0" w:line="360" w:lineRule="exact"/>
              <w:jc w:val="center"/>
              <w:rPr>
                <w:rFonts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14:paraId="64C9CD2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37" w:hRule="atLeast"/>
          <w:jc w:val="center"/>
        </w:trPr>
        <w:tc>
          <w:tcPr>
            <w:tcW w:w="988" w:type="dxa"/>
            <w:vMerge w:val="restart"/>
            <w:tcBorders>
              <w:top w:val="single" w:color="auto" w:sz="4" w:space="0"/>
              <w:left w:val="single" w:color="auto" w:sz="4" w:space="0"/>
              <w:bottom w:val="single" w:color="auto" w:sz="4" w:space="0"/>
              <w:right w:val="single" w:color="auto" w:sz="4" w:space="0"/>
            </w:tcBorders>
            <w:vAlign w:val="center"/>
          </w:tcPr>
          <w:p w14:paraId="510129FC">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5" w:type="dxa"/>
            <w:vMerge w:val="restart"/>
            <w:tcBorders>
              <w:top w:val="single" w:color="auto" w:sz="4" w:space="0"/>
              <w:left w:val="single" w:color="auto" w:sz="4" w:space="0"/>
              <w:bottom w:val="single" w:color="auto" w:sz="4" w:space="0"/>
              <w:right w:val="single" w:color="auto" w:sz="4" w:space="0"/>
            </w:tcBorders>
            <w:vAlign w:val="center"/>
          </w:tcPr>
          <w:p w14:paraId="34B482C3">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地理信息安全管理</w:t>
            </w:r>
          </w:p>
        </w:tc>
        <w:tc>
          <w:tcPr>
            <w:tcW w:w="1984" w:type="dxa"/>
            <w:tcBorders>
              <w:top w:val="single" w:color="auto" w:sz="4" w:space="0"/>
              <w:left w:val="single" w:color="auto" w:sz="4" w:space="0"/>
              <w:bottom w:val="single" w:color="auto" w:sz="4" w:space="0"/>
              <w:right w:val="single" w:color="auto" w:sz="4" w:space="0"/>
            </w:tcBorders>
            <w:vAlign w:val="center"/>
          </w:tcPr>
          <w:p w14:paraId="0C0940FE">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.档案管理</w:t>
            </w:r>
          </w:p>
        </w:tc>
        <w:tc>
          <w:tcPr>
            <w:tcW w:w="7376" w:type="dxa"/>
            <w:tcBorders>
              <w:top w:val="single" w:color="auto" w:sz="4" w:space="0"/>
              <w:left w:val="single" w:color="auto" w:sz="4" w:space="0"/>
              <w:bottom w:val="single" w:color="auto" w:sz="4" w:space="0"/>
              <w:right w:val="single" w:color="auto" w:sz="4" w:space="0"/>
            </w:tcBorders>
            <w:vAlign w:val="center"/>
          </w:tcPr>
          <w:p w14:paraId="5A0F150E">
            <w:pPr>
              <w:autoSpaceDN w:val="0"/>
              <w:spacing w:before="62" w:beforeLines="20"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.单位领导重视地理信息成果资料档案管理工作，明确分管领导，并列入单位领导议事日程。</w:t>
            </w:r>
          </w:p>
          <w:p w14:paraId="0FA7B08D">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.单位有专门的档案管理机构，配备了与工作相适应而且能胜任工作的档案人员，档案实现了集中统一管理。</w:t>
            </w:r>
          </w:p>
          <w:p w14:paraId="2F2CCB5E">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.建立了地理信息成果资料档案建档、归档、保管、借用、查阅、复制、汇交、销毁等制度。</w:t>
            </w:r>
          </w:p>
          <w:p w14:paraId="6482AD30">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.档案资料的保管库房应有房屋所有权证或房屋租赁协议等其他证明文件。</w:t>
            </w:r>
          </w:p>
          <w:p w14:paraId="043AF4B1">
            <w:pPr>
              <w:autoSpaceDN w:val="0"/>
              <w:spacing w:after="62" w:afterLines="2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.档案室具备防盗、防火、防光、防潮、防尘、防有害生物和污染等安全措施。</w:t>
            </w:r>
          </w:p>
        </w:tc>
      </w:tr>
      <w:tr w14:paraId="4193F7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35" w:hRule="atLeast"/>
          <w:jc w:val="center"/>
        </w:trPr>
        <w:tc>
          <w:tcPr>
            <w:tcW w:w="988" w:type="dxa"/>
            <w:vMerge w:val="continue"/>
            <w:tcBorders>
              <w:top w:val="single" w:color="auto" w:sz="4" w:space="0"/>
              <w:left w:val="single" w:color="auto" w:sz="4" w:space="0"/>
              <w:bottom w:val="single" w:color="auto" w:sz="4" w:space="0"/>
              <w:right w:val="single" w:color="auto" w:sz="4" w:space="0"/>
            </w:tcBorders>
            <w:vAlign w:val="center"/>
          </w:tcPr>
          <w:p w14:paraId="2CCFC9AD">
            <w:pPr>
              <w:widowControl/>
              <w:spacing w:after="0" w:line="360" w:lineRule="exact"/>
              <w:rPr>
                <w:rFonts w:ascii="等线" w:hAnsi="等线" w:eastAsia="等线" w:cs="Arial"/>
                <w:sz w:val="28"/>
                <w:szCs w:val="28"/>
                <w14:ligatures w14:val="none"/>
              </w:rPr>
            </w:pPr>
          </w:p>
        </w:tc>
        <w:tc>
          <w:tcPr>
            <w:tcW w:w="2835" w:type="dxa"/>
            <w:vMerge w:val="continue"/>
            <w:tcBorders>
              <w:top w:val="single" w:color="auto" w:sz="4" w:space="0"/>
              <w:left w:val="single" w:color="auto" w:sz="4" w:space="0"/>
              <w:bottom w:val="single" w:color="auto" w:sz="4" w:space="0"/>
              <w:right w:val="single" w:color="auto" w:sz="4" w:space="0"/>
            </w:tcBorders>
            <w:vAlign w:val="center"/>
          </w:tcPr>
          <w:p w14:paraId="3A78C565">
            <w:pPr>
              <w:widowControl/>
              <w:spacing w:after="0" w:line="360" w:lineRule="exact"/>
              <w:rPr>
                <w:rFonts w:ascii="等线" w:hAnsi="等线" w:eastAsia="等线"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14:paraId="46397B79">
            <w:pPr>
              <w:autoSpaceDN w:val="0"/>
              <w:spacing w:after="0" w:line="360" w:lineRule="exact"/>
              <w:jc w:val="both"/>
              <w:rPr>
                <w:rFonts w:ascii="等线" w:hAnsi="等线" w:eastAsia="等线"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保密管理</w:t>
            </w:r>
          </w:p>
        </w:tc>
        <w:tc>
          <w:tcPr>
            <w:tcW w:w="7376" w:type="dxa"/>
            <w:tcBorders>
              <w:top w:val="single" w:color="auto" w:sz="4" w:space="0"/>
              <w:left w:val="single" w:color="auto" w:sz="4" w:space="0"/>
              <w:bottom w:val="single" w:color="auto" w:sz="4" w:space="0"/>
              <w:right w:val="single" w:color="auto" w:sz="4" w:space="0"/>
            </w:tcBorders>
            <w:vAlign w:val="center"/>
          </w:tcPr>
          <w:p w14:paraId="2642AB3F">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单位领导重视保密工作，成立保密工作领导机构，确定本单位保密要害部门、部位。</w:t>
            </w:r>
          </w:p>
          <w:p w14:paraId="66B06501">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建立了地理信息成果资料登记与定密、复制与保存、借阅与传递、加工与利用、延期使用与销毁、涉密人员管理、涉密测绘地理信息系统和设施设备管理、保密要害部门（部位）管理、安全保密自查、保密培训和宣传等制度体系。</w:t>
            </w:r>
          </w:p>
          <w:p w14:paraId="181FBE64">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与涉密人员及时签订保密责任书。</w:t>
            </w:r>
          </w:p>
          <w:p w14:paraId="14D7D2CE">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4</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保密人员经过培训上岗，有明确的保密岗位职责。</w:t>
            </w:r>
          </w:p>
          <w:p w14:paraId="36BEDF76">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5</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每年至少开展二次保密教育活动且有记录，并积极参加自然资源、保密主管部门组织的保密培训。</w:t>
            </w:r>
          </w:p>
          <w:p w14:paraId="538F754D">
            <w:pPr>
              <w:autoSpaceDN w:val="0"/>
              <w:spacing w:after="0" w:line="360" w:lineRule="exact"/>
              <w:jc w:val="both"/>
              <w:rPr>
                <w:rFonts w:hint="eastAsia" w:ascii="等线" w:hAnsi="等线" w:eastAsia="仿宋_GB2312" w:cs="Arial"/>
                <w:sz w:val="28"/>
                <w:szCs w:val="28"/>
                <w14:ligatures w14:val="none"/>
              </w:rPr>
            </w:pPr>
            <w:r>
              <w:rPr>
                <w:rFonts w:hint="eastAsia" w:ascii="仿宋_GB2312" w:hAnsi="Times New Roman" w:eastAsia="仿宋_GB2312" w:cs="Times New Roman"/>
                <w:sz w:val="28"/>
                <w:szCs w:val="28"/>
                <w14:ligatures w14:val="none"/>
              </w:rPr>
              <w:t>6</w:t>
            </w:r>
            <w:r>
              <w:rPr>
                <w:rFonts w:hint="eastAsia" w:ascii="仿宋_GB2312" w:hAnsi="等线" w:eastAsia="仿宋_GB2312" w:cs="Times New Roman"/>
                <w:sz w:val="28"/>
                <w:szCs w:val="28"/>
                <w14:ligatures w14:val="none"/>
              </w:rPr>
              <w:t>.</w:t>
            </w:r>
            <w:r>
              <w:rPr>
                <w:rFonts w:hint="eastAsia" w:ascii="Times New Roman" w:hAnsi="等线" w:eastAsia="仿宋_GB2312" w:cs="Times New Roman"/>
                <w:sz w:val="28"/>
                <w:szCs w:val="28"/>
                <w14:ligatures w14:val="none"/>
              </w:rPr>
              <w:t>每季度至少开展一次保密自查且有自查记录。</w:t>
            </w:r>
          </w:p>
        </w:tc>
      </w:tr>
    </w:tbl>
    <w:p w14:paraId="38DF24A2">
      <w:pPr>
        <w:spacing w:before="156" w:beforeLines="50" w:after="156" w:afterLines="50" w:line="560" w:lineRule="exact"/>
        <w:ind w:firstLine="640" w:firstLineChars="200"/>
        <w:jc w:val="both"/>
        <w:rPr>
          <w:rFonts w:ascii="黑体" w:hAnsi="黑体" w:eastAsia="黑体"/>
          <w:sz w:val="32"/>
          <w:szCs w:val="32"/>
        </w:rPr>
      </w:pPr>
    </w:p>
    <w:p w14:paraId="37A78474">
      <w:pPr>
        <w:spacing w:before="156" w:beforeLines="50" w:after="156" w:afterLines="50" w:line="560" w:lineRule="exact"/>
        <w:ind w:firstLine="640" w:firstLineChars="200"/>
        <w:jc w:val="both"/>
        <w:rPr>
          <w:rFonts w:ascii="黑体" w:hAnsi="黑体" w:eastAsia="黑体"/>
          <w:sz w:val="32"/>
          <w:szCs w:val="32"/>
        </w:rPr>
      </w:pPr>
    </w:p>
    <w:p w14:paraId="4AAE7B97">
      <w:pPr>
        <w:spacing w:before="156" w:beforeLines="50" w:after="156" w:afterLines="50" w:line="560" w:lineRule="exact"/>
        <w:ind w:firstLine="640" w:firstLineChars="200"/>
        <w:jc w:val="both"/>
        <w:rPr>
          <w:rFonts w:ascii="黑体" w:hAnsi="黑体" w:eastAsia="黑体"/>
          <w:sz w:val="32"/>
          <w:szCs w:val="32"/>
        </w:rPr>
      </w:pPr>
    </w:p>
    <w:p w14:paraId="760DEB26">
      <w:pPr>
        <w:spacing w:before="156" w:beforeLines="50" w:after="156" w:afterLines="50" w:line="560" w:lineRule="exact"/>
        <w:ind w:firstLine="640" w:firstLineChars="200"/>
        <w:jc w:val="both"/>
        <w:rPr>
          <w:rFonts w:ascii="黑体" w:hAnsi="黑体" w:eastAsia="黑体"/>
          <w:sz w:val="32"/>
          <w:szCs w:val="32"/>
        </w:rPr>
      </w:pPr>
    </w:p>
    <w:p w14:paraId="031DB200">
      <w:pPr>
        <w:spacing w:before="156" w:beforeLines="50" w:after="156" w:afterLines="50" w:line="560" w:lineRule="exact"/>
        <w:ind w:firstLine="640" w:firstLineChars="200"/>
        <w:jc w:val="both"/>
        <w:rPr>
          <w:rFonts w:ascii="黑体" w:hAnsi="黑体" w:eastAsia="黑体"/>
          <w:sz w:val="32"/>
          <w:szCs w:val="32"/>
        </w:rPr>
      </w:pPr>
    </w:p>
    <w:p w14:paraId="7AF8264C">
      <w:pPr>
        <w:spacing w:before="156" w:beforeLines="50" w:after="156" w:afterLines="50" w:line="560" w:lineRule="exact"/>
        <w:ind w:firstLine="640" w:firstLineChars="200"/>
        <w:jc w:val="both"/>
        <w:rPr>
          <w:rFonts w:ascii="黑体" w:hAnsi="黑体" w:eastAsia="黑体"/>
          <w:sz w:val="32"/>
          <w:szCs w:val="32"/>
        </w:rPr>
      </w:pPr>
    </w:p>
    <w:p w14:paraId="181FFDA8">
      <w:pPr>
        <w:spacing w:before="156" w:beforeLines="50" w:after="156" w:afterLines="50" w:line="560" w:lineRule="exact"/>
        <w:ind w:firstLine="640" w:firstLineChars="200"/>
        <w:jc w:val="both"/>
        <w:rPr>
          <w:rFonts w:ascii="黑体" w:hAnsi="黑体" w:eastAsia="黑体"/>
          <w:sz w:val="32"/>
          <w:szCs w:val="32"/>
        </w:rPr>
      </w:pPr>
      <w:r>
        <w:rPr>
          <w:rFonts w:hint="eastAsia" w:ascii="黑体" w:hAnsi="黑体" w:eastAsia="黑体"/>
          <w:sz w:val="32"/>
          <w:szCs w:val="32"/>
        </w:rPr>
        <w:t>十一、对基础测绘成果使用情况的行政检查</w:t>
      </w:r>
    </w:p>
    <w:tbl>
      <w:tblPr>
        <w:tblStyle w:val="15"/>
        <w:tblW w:w="13205"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992"/>
        <w:gridCol w:w="2831"/>
        <w:gridCol w:w="1984"/>
        <w:gridCol w:w="7398"/>
      </w:tblGrid>
      <w:tr w14:paraId="21EC6A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4" w:hRule="atLeast"/>
          <w:jc w:val="center"/>
        </w:trPr>
        <w:tc>
          <w:tcPr>
            <w:tcW w:w="992" w:type="dxa"/>
            <w:tcBorders>
              <w:top w:val="single" w:color="auto" w:sz="4" w:space="0"/>
              <w:left w:val="single" w:color="auto" w:sz="4" w:space="0"/>
              <w:bottom w:val="single" w:color="auto" w:sz="4" w:space="0"/>
              <w:right w:val="single" w:color="auto" w:sz="4" w:space="0"/>
            </w:tcBorders>
            <w:vAlign w:val="center"/>
          </w:tcPr>
          <w:p w14:paraId="70772290">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序号</w:t>
            </w:r>
          </w:p>
        </w:tc>
        <w:tc>
          <w:tcPr>
            <w:tcW w:w="2831" w:type="dxa"/>
            <w:tcBorders>
              <w:top w:val="single" w:color="auto" w:sz="4" w:space="0"/>
              <w:left w:val="single" w:color="auto" w:sz="4" w:space="0"/>
              <w:bottom w:val="single" w:color="auto" w:sz="4" w:space="0"/>
              <w:right w:val="single" w:color="auto" w:sz="4" w:space="0"/>
            </w:tcBorders>
            <w:vAlign w:val="center"/>
          </w:tcPr>
          <w:p w14:paraId="2575D5A4">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内容</w:t>
            </w:r>
          </w:p>
        </w:tc>
        <w:tc>
          <w:tcPr>
            <w:tcW w:w="1984" w:type="dxa"/>
            <w:tcBorders>
              <w:top w:val="single" w:color="auto" w:sz="4" w:space="0"/>
              <w:left w:val="single" w:color="auto" w:sz="4" w:space="0"/>
              <w:bottom w:val="single" w:color="auto" w:sz="4" w:space="0"/>
              <w:right w:val="single" w:color="auto" w:sz="4" w:space="0"/>
            </w:tcBorders>
            <w:vAlign w:val="center"/>
          </w:tcPr>
          <w:p w14:paraId="3491BAA3">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Arial"/>
                <w:sz w:val="28"/>
                <w:szCs w:val="28"/>
                <w14:ligatures w14:val="none"/>
              </w:rPr>
              <w:t>类别</w:t>
            </w:r>
          </w:p>
        </w:tc>
        <w:tc>
          <w:tcPr>
            <w:tcW w:w="7398" w:type="dxa"/>
            <w:tcBorders>
              <w:top w:val="single" w:color="auto" w:sz="4" w:space="0"/>
              <w:left w:val="single" w:color="auto" w:sz="4" w:space="0"/>
              <w:bottom w:val="single" w:color="auto" w:sz="4" w:space="0"/>
              <w:right w:val="single" w:color="auto" w:sz="4" w:space="0"/>
            </w:tcBorders>
            <w:vAlign w:val="center"/>
          </w:tcPr>
          <w:p w14:paraId="55B1D2AF">
            <w:pPr>
              <w:autoSpaceDN w:val="0"/>
              <w:spacing w:after="0" w:line="360" w:lineRule="exact"/>
              <w:jc w:val="center"/>
              <w:rPr>
                <w:rFonts w:hint="eastAsia" w:ascii="黑体" w:hAnsi="黑体" w:eastAsia="黑体" w:cs="Arial"/>
                <w:sz w:val="28"/>
                <w:szCs w:val="28"/>
                <w14:ligatures w14:val="none"/>
              </w:rPr>
            </w:pPr>
            <w:r>
              <w:rPr>
                <w:rFonts w:hint="eastAsia" w:ascii="黑体" w:hAnsi="黑体" w:eastAsia="黑体" w:cs="Times New Roman"/>
                <w:sz w:val="28"/>
                <w:szCs w:val="28"/>
                <w14:ligatures w14:val="none"/>
              </w:rPr>
              <w:t>标准</w:t>
            </w:r>
          </w:p>
        </w:tc>
      </w:tr>
      <w:tr w14:paraId="1C4DE31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65" w:hRule="atLeast"/>
          <w:jc w:val="center"/>
        </w:trPr>
        <w:tc>
          <w:tcPr>
            <w:tcW w:w="992" w:type="dxa"/>
            <w:vMerge w:val="restart"/>
            <w:tcBorders>
              <w:top w:val="single" w:color="auto" w:sz="4" w:space="0"/>
              <w:left w:val="single" w:color="auto" w:sz="4" w:space="0"/>
              <w:bottom w:val="single" w:color="auto" w:sz="4" w:space="0"/>
              <w:right w:val="single" w:color="auto" w:sz="4" w:space="0"/>
            </w:tcBorders>
            <w:vAlign w:val="center"/>
          </w:tcPr>
          <w:p w14:paraId="05C8262A">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1</w:t>
            </w:r>
          </w:p>
        </w:tc>
        <w:tc>
          <w:tcPr>
            <w:tcW w:w="2831" w:type="dxa"/>
            <w:vMerge w:val="restart"/>
            <w:tcBorders>
              <w:top w:val="single" w:color="auto" w:sz="4" w:space="0"/>
              <w:left w:val="single" w:color="auto" w:sz="4" w:space="0"/>
              <w:bottom w:val="single" w:color="auto" w:sz="4" w:space="0"/>
              <w:right w:val="single" w:color="auto" w:sz="4" w:space="0"/>
            </w:tcBorders>
            <w:vAlign w:val="center"/>
          </w:tcPr>
          <w:p w14:paraId="6A6CC7A3">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基础测绘成果使用情况</w:t>
            </w:r>
          </w:p>
        </w:tc>
        <w:tc>
          <w:tcPr>
            <w:tcW w:w="1984" w:type="dxa"/>
            <w:tcBorders>
              <w:top w:val="single" w:color="auto" w:sz="4" w:space="0"/>
              <w:left w:val="single" w:color="auto" w:sz="4" w:space="0"/>
              <w:bottom w:val="single" w:color="auto" w:sz="4" w:space="0"/>
              <w:right w:val="single" w:color="auto" w:sz="4" w:space="0"/>
            </w:tcBorders>
            <w:vAlign w:val="center"/>
          </w:tcPr>
          <w:p w14:paraId="6A33A2C3">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.成果管理</w:t>
            </w:r>
          </w:p>
        </w:tc>
        <w:tc>
          <w:tcPr>
            <w:tcW w:w="7398" w:type="dxa"/>
            <w:tcBorders>
              <w:top w:val="single" w:color="auto" w:sz="4" w:space="0"/>
              <w:left w:val="single" w:color="auto" w:sz="4" w:space="0"/>
              <w:bottom w:val="single" w:color="auto" w:sz="4" w:space="0"/>
              <w:right w:val="single" w:color="auto" w:sz="4" w:space="0"/>
            </w:tcBorders>
            <w:vAlign w:val="center"/>
          </w:tcPr>
          <w:p w14:paraId="59F7F7EB">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.借用、查阅、复制及销毁地理信息成果资料手续齐全。</w:t>
            </w:r>
          </w:p>
          <w:p w14:paraId="18EECD7D">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2.地理信息成果资料来源明确，手续齐全、完整。</w:t>
            </w:r>
          </w:p>
        </w:tc>
      </w:tr>
      <w:tr w14:paraId="7A603B2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94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14:paraId="730DC969">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14:paraId="72F4BC19">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14:paraId="31E10E22">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.涉密设备管理</w:t>
            </w:r>
          </w:p>
        </w:tc>
        <w:tc>
          <w:tcPr>
            <w:tcW w:w="7398" w:type="dxa"/>
            <w:tcBorders>
              <w:top w:val="single" w:color="auto" w:sz="4" w:space="0"/>
              <w:left w:val="single" w:color="auto" w:sz="4" w:space="0"/>
              <w:bottom w:val="single" w:color="auto" w:sz="4" w:space="0"/>
              <w:right w:val="single" w:color="auto" w:sz="4" w:space="0"/>
            </w:tcBorders>
            <w:vAlign w:val="center"/>
          </w:tcPr>
          <w:p w14:paraId="21E7FC5B">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、涉密计算机、移动存储设备等涉密介质按照“统一购买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统一标识</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严格登记</w:t>
            </w:r>
            <w:r>
              <w:rPr>
                <w:rFonts w:hint="eastAsia" w:ascii="仿宋_GB2312" w:hAnsi="Times New Roman" w:eastAsia="仿宋_GB2312" w:cs="Times New Roman"/>
                <w:sz w:val="28"/>
                <w:szCs w:val="28"/>
                <w14:ligatures w14:val="none"/>
              </w:rPr>
              <w:t xml:space="preserve"> </w:t>
            </w:r>
            <w:r>
              <w:rPr>
                <w:rFonts w:hint="eastAsia" w:ascii="仿宋_GB2312" w:hAnsi="等线" w:eastAsia="仿宋_GB2312" w:cs="Times New Roman"/>
                <w:sz w:val="28"/>
                <w:szCs w:val="28"/>
                <w14:ligatures w14:val="none"/>
              </w:rPr>
              <w:t>集中管理”原则管理，统一编号，有标识、有台账.</w:t>
            </w:r>
          </w:p>
          <w:p w14:paraId="5BC8E5E8">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2、涉密计算机责任人明确，用户密码管理符合规定。</w:t>
            </w:r>
          </w:p>
          <w:p w14:paraId="4528CD9F">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3、安装了杀毒软件和内网安全管理软件。</w:t>
            </w:r>
          </w:p>
          <w:p w14:paraId="49652C85">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4、非涉密计算机无涉密信息。</w:t>
            </w:r>
          </w:p>
          <w:p w14:paraId="4969C966">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5、处理涉密数据的复印机、传真机、电话机、打印机、文字处理机等设备在本单位保密管理部门登记备案。</w:t>
            </w:r>
          </w:p>
        </w:tc>
      </w:tr>
      <w:tr w14:paraId="0C0FBCA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54" w:hRule="atLeast"/>
          <w:jc w:val="center"/>
        </w:trPr>
        <w:tc>
          <w:tcPr>
            <w:tcW w:w="992" w:type="dxa"/>
            <w:vMerge w:val="continue"/>
            <w:tcBorders>
              <w:top w:val="single" w:color="auto" w:sz="4" w:space="0"/>
              <w:left w:val="single" w:color="auto" w:sz="4" w:space="0"/>
              <w:bottom w:val="single" w:color="auto" w:sz="4" w:space="0"/>
              <w:right w:val="single" w:color="auto" w:sz="4" w:space="0"/>
            </w:tcBorders>
            <w:vAlign w:val="center"/>
          </w:tcPr>
          <w:p w14:paraId="58CA0CA0">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top w:val="single" w:color="auto" w:sz="4" w:space="0"/>
              <w:left w:val="single" w:color="auto" w:sz="4" w:space="0"/>
              <w:bottom w:val="single" w:color="auto" w:sz="4" w:space="0"/>
              <w:right w:val="single" w:color="auto" w:sz="4" w:space="0"/>
            </w:tcBorders>
            <w:vAlign w:val="center"/>
          </w:tcPr>
          <w:p w14:paraId="5A533EA6">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vAlign w:val="center"/>
          </w:tcPr>
          <w:p w14:paraId="46974F0E">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、涉密信息系统和涉密网络管理</w:t>
            </w:r>
          </w:p>
        </w:tc>
        <w:tc>
          <w:tcPr>
            <w:tcW w:w="7398" w:type="dxa"/>
            <w:tcBorders>
              <w:top w:val="single" w:color="auto" w:sz="4" w:space="0"/>
              <w:left w:val="single" w:color="auto" w:sz="4" w:space="0"/>
              <w:bottom w:val="single" w:color="auto" w:sz="4" w:space="0"/>
              <w:right w:val="single" w:color="auto" w:sz="4" w:space="0"/>
            </w:tcBorders>
            <w:vAlign w:val="center"/>
          </w:tcPr>
          <w:p w14:paraId="35C0A361">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、涉密信息系统实行物理隔离，未直接或间接连接互联网及其他任何网络。</w:t>
            </w:r>
          </w:p>
          <w:p w14:paraId="3A488B2B">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、涉密网络设施防盗、防火、防潮、防尘等措施完善，运行环境安全、整洁。</w:t>
            </w:r>
          </w:p>
        </w:tc>
      </w:tr>
      <w:tr w14:paraId="6E4471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9" w:hRule="atLeast"/>
          <w:jc w:val="center"/>
        </w:trPr>
        <w:tc>
          <w:tcPr>
            <w:tcW w:w="992" w:type="dxa"/>
            <w:vMerge w:val="restart"/>
            <w:tcBorders>
              <w:top w:val="single" w:color="auto" w:sz="4" w:space="0"/>
              <w:left w:val="single" w:color="auto" w:sz="4" w:space="0"/>
              <w:right w:val="single" w:color="auto" w:sz="4" w:space="0"/>
            </w:tcBorders>
            <w:shd w:val="clear" w:color="auto" w:fill="auto"/>
            <w:vAlign w:val="center"/>
          </w:tcPr>
          <w:p w14:paraId="52C5FA56">
            <w:pPr>
              <w:autoSpaceDN w:val="0"/>
              <w:spacing w:after="0" w:line="360" w:lineRule="exact"/>
              <w:jc w:val="center"/>
              <w:rPr>
                <w:rFonts w:hint="eastAsia" w:ascii="仿宋_GB2312" w:hAnsi="等线" w:eastAsia="仿宋_GB2312" w:cs="Arial"/>
                <w:sz w:val="28"/>
                <w:szCs w:val="28"/>
                <w14:ligatures w14:val="none"/>
              </w:rPr>
            </w:pPr>
            <w:r>
              <w:rPr>
                <w:rFonts w:hint="eastAsia" w:ascii="仿宋_GB2312" w:hAnsi="等线" w:eastAsia="仿宋_GB2312" w:cs="Arial"/>
                <w:sz w:val="28"/>
                <w:szCs w:val="28"/>
                <w14:ligatures w14:val="none"/>
              </w:rPr>
              <w:t>2</w:t>
            </w:r>
          </w:p>
        </w:tc>
        <w:tc>
          <w:tcPr>
            <w:tcW w:w="2831" w:type="dxa"/>
            <w:vMerge w:val="restart"/>
            <w:tcBorders>
              <w:top w:val="single" w:color="auto" w:sz="4" w:space="0"/>
              <w:left w:val="single" w:color="auto" w:sz="4" w:space="0"/>
              <w:right w:val="single" w:color="auto" w:sz="4" w:space="0"/>
            </w:tcBorders>
            <w:shd w:val="clear" w:color="auto" w:fill="auto"/>
            <w:vAlign w:val="center"/>
          </w:tcPr>
          <w:p w14:paraId="102185A5">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等线" w:eastAsia="仿宋_GB2312" w:cs="Times New Roman"/>
                <w:sz w:val="28"/>
                <w:szCs w:val="28"/>
                <w14:ligatures w14:val="none"/>
              </w:rPr>
              <w:t>成果汇交情况</w:t>
            </w: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14:paraId="7110BA98">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.汇交情况</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14:paraId="29D34724">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1</w:t>
            </w:r>
            <w:r>
              <w:rPr>
                <w:rFonts w:hint="eastAsia" w:ascii="仿宋_GB2312" w:hAnsi="等线" w:eastAsia="仿宋_GB2312" w:cs="Times New Roman"/>
                <w:sz w:val="28"/>
                <w:szCs w:val="28"/>
                <w14:ligatures w14:val="none"/>
              </w:rPr>
              <w:t>、测绘成果应汇交项目与实际汇交项目一致。</w:t>
            </w:r>
          </w:p>
          <w:p w14:paraId="295CF58A">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、汇交清单完整全面。</w:t>
            </w:r>
          </w:p>
        </w:tc>
      </w:tr>
      <w:tr w14:paraId="764F166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5" w:hRule="atLeast"/>
          <w:jc w:val="center"/>
        </w:trPr>
        <w:tc>
          <w:tcPr>
            <w:tcW w:w="992" w:type="dxa"/>
            <w:vMerge w:val="continue"/>
            <w:tcBorders>
              <w:left w:val="single" w:color="auto" w:sz="4" w:space="0"/>
              <w:bottom w:val="single" w:color="auto" w:sz="4" w:space="0"/>
              <w:right w:val="single" w:color="auto" w:sz="4" w:space="0"/>
            </w:tcBorders>
            <w:vAlign w:val="center"/>
          </w:tcPr>
          <w:p w14:paraId="52B85320">
            <w:pPr>
              <w:widowControl/>
              <w:spacing w:after="0" w:line="360" w:lineRule="exact"/>
              <w:rPr>
                <w:rFonts w:hint="eastAsia" w:ascii="仿宋_GB2312" w:hAnsi="等线" w:eastAsia="仿宋_GB2312" w:cs="Arial"/>
                <w:sz w:val="28"/>
                <w:szCs w:val="28"/>
                <w14:ligatures w14:val="none"/>
              </w:rPr>
            </w:pPr>
          </w:p>
        </w:tc>
        <w:tc>
          <w:tcPr>
            <w:tcW w:w="2831" w:type="dxa"/>
            <w:vMerge w:val="continue"/>
            <w:tcBorders>
              <w:left w:val="single" w:color="auto" w:sz="4" w:space="0"/>
              <w:bottom w:val="single" w:color="auto" w:sz="4" w:space="0"/>
              <w:right w:val="single" w:color="auto" w:sz="4" w:space="0"/>
            </w:tcBorders>
            <w:vAlign w:val="center"/>
          </w:tcPr>
          <w:p w14:paraId="0459CE1E">
            <w:pPr>
              <w:widowControl/>
              <w:spacing w:after="0" w:line="360" w:lineRule="exact"/>
              <w:rPr>
                <w:rFonts w:hint="eastAsia" w:ascii="仿宋_GB2312" w:hAnsi="等线" w:eastAsia="仿宋_GB2312" w:cs="Arial"/>
                <w:sz w:val="28"/>
                <w:szCs w:val="28"/>
                <w14:ligatures w14:val="none"/>
              </w:rPr>
            </w:pP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14:paraId="04450010">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2</w:t>
            </w:r>
            <w:r>
              <w:rPr>
                <w:rFonts w:hint="eastAsia" w:ascii="仿宋_GB2312" w:hAnsi="等线" w:eastAsia="仿宋_GB2312" w:cs="Times New Roman"/>
                <w:sz w:val="28"/>
                <w:szCs w:val="28"/>
                <w14:ligatures w14:val="none"/>
              </w:rPr>
              <w:t>.汇交凭证</w:t>
            </w:r>
          </w:p>
        </w:tc>
        <w:tc>
          <w:tcPr>
            <w:tcW w:w="7398" w:type="dxa"/>
            <w:tcBorders>
              <w:top w:val="single" w:color="auto" w:sz="4" w:space="0"/>
              <w:left w:val="single" w:color="auto" w:sz="4" w:space="0"/>
              <w:bottom w:val="single" w:color="auto" w:sz="4" w:space="0"/>
              <w:right w:val="single" w:color="auto" w:sz="4" w:space="0"/>
            </w:tcBorders>
            <w:shd w:val="clear" w:color="auto" w:fill="auto"/>
            <w:vAlign w:val="center"/>
          </w:tcPr>
          <w:p w14:paraId="66200AE6">
            <w:pPr>
              <w:autoSpaceDN w:val="0"/>
              <w:spacing w:after="0" w:line="360" w:lineRule="exact"/>
              <w:jc w:val="both"/>
              <w:rPr>
                <w:rFonts w:hint="eastAsia" w:ascii="仿宋_GB2312" w:hAnsi="等线" w:eastAsia="仿宋_GB2312" w:cs="Arial"/>
                <w:sz w:val="28"/>
                <w:szCs w:val="28"/>
                <w14:ligatures w14:val="none"/>
              </w:rPr>
            </w:pPr>
            <w:r>
              <w:rPr>
                <w:rFonts w:hint="eastAsia" w:ascii="仿宋_GB2312" w:hAnsi="Times New Roman" w:eastAsia="仿宋_GB2312" w:cs="Times New Roman"/>
                <w:sz w:val="28"/>
                <w:szCs w:val="28"/>
                <w14:ligatures w14:val="none"/>
              </w:rPr>
              <w:t>3</w:t>
            </w:r>
            <w:r>
              <w:rPr>
                <w:rFonts w:hint="eastAsia" w:ascii="仿宋_GB2312" w:hAnsi="等线" w:eastAsia="仿宋_GB2312" w:cs="Times New Roman"/>
                <w:sz w:val="28"/>
                <w:szCs w:val="28"/>
                <w14:ligatures w14:val="none"/>
              </w:rPr>
              <w:t>、汇交凭证齐全，保存完好。</w:t>
            </w:r>
          </w:p>
        </w:tc>
      </w:tr>
    </w:tbl>
    <w:p w14:paraId="54DA11F0">
      <w:pPr>
        <w:spacing w:after="0" w:line="560" w:lineRule="exact"/>
        <w:rPr>
          <w:rFonts w:hint="eastAsia" w:ascii="仿宋_GB2312" w:eastAsia="仿宋_GB2312"/>
          <w:sz w:val="32"/>
          <w:szCs w:val="32"/>
        </w:rPr>
        <w:sectPr>
          <w:pgSz w:w="16838" w:h="11906" w:orient="landscape"/>
          <w:pgMar w:top="1588" w:right="1474" w:bottom="1474" w:left="1474" w:header="851" w:footer="992" w:gutter="0"/>
          <w:cols w:space="425" w:num="1"/>
          <w:docGrid w:type="lines" w:linePitch="312" w:charSpace="0"/>
        </w:sectPr>
      </w:pPr>
    </w:p>
    <w:p w14:paraId="301F33FB">
      <w:pPr>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十二、安全生产日常检查</w:t>
      </w:r>
    </w:p>
    <w:p w14:paraId="04B22A48">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落实省级检查任务，开展安</w:t>
      </w:r>
      <w:bookmarkStart w:id="1" w:name="_GoBack"/>
      <w:bookmarkEnd w:id="1"/>
      <w:r>
        <w:rPr>
          <w:rFonts w:hint="eastAsia" w:ascii="仿宋_GB2312" w:hAnsi="仿宋_GB2312" w:eastAsia="仿宋_GB2312" w:cs="仿宋_GB2312"/>
          <w:sz w:val="32"/>
          <w:szCs w:val="32"/>
        </w:rPr>
        <w:t>全生产日常检查</w:t>
      </w:r>
      <w:r>
        <w:rPr>
          <w:rFonts w:hint="eastAsia" w:ascii="仿宋_GB2312" w:hAnsi="仿宋_GB2312" w:eastAsia="仿宋_GB2312" w:cs="仿宋_GB2312"/>
          <w:sz w:val="32"/>
          <w:szCs w:val="32"/>
          <w:lang w:eastAsia="zh-CN"/>
        </w:rPr>
        <w:t>。</w:t>
      </w:r>
    </w:p>
    <w:p w14:paraId="63E7B13F">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（一）对地勘、测绘行业生产经营单位安全生产教育培训方面的检查</w:t>
      </w:r>
    </w:p>
    <w:p w14:paraId="55A10AF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黑体" w:hAnsi="黑体" w:eastAsia="黑体"/>
          <w:sz w:val="32"/>
          <w:szCs w:val="32"/>
          <w:lang w:val="en-US" w:eastAsia="zh-CN"/>
        </w:rPr>
        <w:t>1.</w:t>
      </w:r>
      <w:r>
        <w:rPr>
          <w:rFonts w:hint="eastAsia" w:ascii="仿宋_GB2312" w:hAnsi="仿宋_GB2312" w:eastAsia="仿宋_GB2312" w:cs="仿宋_GB2312"/>
          <w:sz w:val="32"/>
          <w:szCs w:val="32"/>
          <w:lang w:val="en-US" w:eastAsia="zh-CN"/>
        </w:rPr>
        <w:t>是否定期对人员进行安全生产教育培训，建立安全生产教育培训台账。</w:t>
      </w:r>
    </w:p>
    <w:p w14:paraId="4F8FDE2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2.纳入培训的安全生产相关法规政策文件是否齐全，主管部门关于安全生产工作的提醒、要求和部署是否及时传达学习。</w:t>
      </w:r>
    </w:p>
    <w:p w14:paraId="27C2BCAF">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3.是否充分细化纳入培训的安全生产制度，是否充分涵盖安全生产管理规定、生产安全事故应急救援预案、消防应急预案、安全生产常识和操作规程等内容。</w:t>
      </w:r>
    </w:p>
    <w:p w14:paraId="6907397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4.是否定期组织开展安全生产应急演练。</w:t>
      </w:r>
    </w:p>
    <w:p w14:paraId="3CFCA900">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highlight w:val="none"/>
          <w:lang w:val="en-US" w:eastAsia="zh-CN"/>
        </w:rPr>
        <w:t>5.培训过程是否流于形式，生产人员能否掌握基本的安全应急处置技能。</w:t>
      </w:r>
    </w:p>
    <w:p w14:paraId="0F37F183">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（二）对地勘、测绘行业生产经营单位外业项目驻地安全方面</w:t>
      </w:r>
      <w:r>
        <w:rPr>
          <w:rFonts w:hint="eastAsia" w:ascii="楷体_GB2312" w:hAnsi="楷体_GB2312" w:eastAsia="楷体_GB2312" w:cs="楷体_GB2312"/>
          <w:sz w:val="32"/>
          <w:szCs w:val="32"/>
          <w:lang w:val="en-US" w:eastAsia="zh-CN"/>
        </w:rPr>
        <w:t>的检查</w:t>
      </w:r>
    </w:p>
    <w:p w14:paraId="3C85AAD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1.外业项目驻地是否存在滑坡、山洪、泥石流等自然灾害以及饮水、动物侵袭风险。</w:t>
      </w:r>
    </w:p>
    <w:p w14:paraId="424D747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default" w:ascii="仿宋_GB2312" w:hAnsi="仿宋_GB2312" w:eastAsia="仿宋_GB2312" w:cs="仿宋_GB2312"/>
          <w:sz w:val="32"/>
          <w:szCs w:val="32"/>
          <w:highlight w:val="none"/>
          <w:lang w:val="en-US" w:eastAsia="zh-CN"/>
        </w:rPr>
        <w:t>用电线路</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老化，</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使用铜铝等金属丝代替熔断丝</w:t>
      </w:r>
      <w:r>
        <w:rPr>
          <w:rFonts w:hint="eastAsia" w:ascii="仿宋_GB2312" w:hAnsi="仿宋_GB2312" w:eastAsia="仿宋_GB2312" w:cs="仿宋_GB2312"/>
          <w:sz w:val="32"/>
          <w:szCs w:val="32"/>
          <w:highlight w:val="none"/>
          <w:lang w:val="en-US" w:eastAsia="zh-CN"/>
        </w:rPr>
        <w:t>。</w:t>
      </w:r>
    </w:p>
    <w:p w14:paraId="10E7523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w:t>
      </w:r>
      <w:r>
        <w:rPr>
          <w:rFonts w:hint="default" w:ascii="仿宋_GB2312" w:hAnsi="仿宋_GB2312" w:eastAsia="仿宋_GB2312" w:cs="仿宋_GB2312"/>
          <w:sz w:val="32"/>
          <w:szCs w:val="32"/>
          <w:highlight w:val="none"/>
          <w:lang w:val="en-US" w:eastAsia="zh-CN"/>
        </w:rPr>
        <w:t>电源线、电源插板</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随意私拉摆放，</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存在易破损、易进水等漏电风险。</w:t>
      </w:r>
    </w:p>
    <w:p w14:paraId="6A07A75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w:t>
      </w:r>
      <w:r>
        <w:rPr>
          <w:rFonts w:hint="default" w:ascii="仿宋_GB2312" w:hAnsi="仿宋_GB2312" w:eastAsia="仿宋_GB2312" w:cs="仿宋_GB2312"/>
          <w:sz w:val="32"/>
          <w:szCs w:val="32"/>
          <w:highlight w:val="none"/>
          <w:lang w:val="en-US" w:eastAsia="zh-CN"/>
        </w:rPr>
        <w:t>配备灭火器，或灭火器</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过期失效，或灭火器的规格、质量</w:t>
      </w:r>
      <w:r>
        <w:rPr>
          <w:rFonts w:hint="eastAsia" w:ascii="仿宋_GB2312" w:hAnsi="仿宋_GB2312" w:eastAsia="仿宋_GB2312" w:cs="仿宋_GB2312"/>
          <w:sz w:val="32"/>
          <w:szCs w:val="32"/>
          <w:highlight w:val="none"/>
          <w:lang w:val="en-US" w:eastAsia="zh-CN"/>
        </w:rPr>
        <w:t>是否</w:t>
      </w:r>
      <w:r>
        <w:rPr>
          <w:rFonts w:hint="default" w:ascii="仿宋_GB2312" w:hAnsi="仿宋_GB2312" w:eastAsia="仿宋_GB2312" w:cs="仿宋_GB2312"/>
          <w:sz w:val="32"/>
          <w:szCs w:val="32"/>
          <w:highlight w:val="none"/>
          <w:lang w:val="en-US" w:eastAsia="zh-CN"/>
        </w:rPr>
        <w:t>符合要求。</w:t>
      </w:r>
    </w:p>
    <w:p w14:paraId="0FAF8AF4">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5.工具设备是否放于边坡外侧虚土之上，是否整齐摆放在靠山地面牢固一侧，是否存在滑落损毁的安全隐患。</w:t>
      </w:r>
    </w:p>
    <w:p w14:paraId="35EF0AF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6.有尖锐棱角的设备是否有防护罩（套），是否存在扎伤人员的安全隐患。</w:t>
      </w:r>
    </w:p>
    <w:p w14:paraId="409C2783">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（三）对地勘、测绘行业生产经营单位外业作业安全方面</w:t>
      </w:r>
    </w:p>
    <w:p w14:paraId="1AFBADD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1.是否与全部外业人员签订岗位安全生产责任书，落实安全生产责任制。</w:t>
      </w:r>
    </w:p>
    <w:p w14:paraId="0C95C8D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2.外业作业前，是否对作业人员进行安全知识和安全技能培训。</w:t>
      </w:r>
    </w:p>
    <w:p w14:paraId="3648F248">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3.是否在连日阴雨、矿区进山道路湿滑、路边陡坡处有滑塌等情况外出作业。</w:t>
      </w:r>
    </w:p>
    <w:p w14:paraId="2D8D703F">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4.在道路作业时是否设置明显安全警示标识。</w:t>
      </w:r>
    </w:p>
    <w:p w14:paraId="62957FD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5.外业作业是否聘用当地向导，是否提前调查作业区域高压线路、地下电缆、油气管道分布情况，是否识别判断地层稳定性、有毒气体赋存情况。</w:t>
      </w:r>
    </w:p>
    <w:p w14:paraId="32A28C6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6.油气钻井是否安装防喷器，钻井施工是否存在安全隐患。</w:t>
      </w:r>
    </w:p>
    <w:p w14:paraId="7E3CC05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7.是否探槽深度大于3米、宽度小于0.6米，两壁坡度过陡，土石堆放是否过近，是否存在坍塌风险。</w:t>
      </w:r>
    </w:p>
    <w:p w14:paraId="4A11AE1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8.爆破作业是否遵守有关技术规范指引，爆炸物品是否及时向公安等有关部门报备。</w:t>
      </w:r>
    </w:p>
    <w:p w14:paraId="6AAFA84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9.现场是否存在交叉作业情况，现场施工人员安全防护措施是否不当，基坑监测、边坡测量作业人员是否佩戴安全绳。</w:t>
      </w:r>
    </w:p>
    <w:p w14:paraId="0F53CF1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10.在无人区域、高风险区域野外作业时是否存在单人或单车承担任务的情况，首次参与野外作业人员是否与其他有经验人员结队同行。</w:t>
      </w:r>
    </w:p>
    <w:p w14:paraId="2AD105D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11.仪器与装备搬运过程中，作业人员是否佩戴手套和野外作业专用鞋。</w:t>
      </w:r>
    </w:p>
    <w:p w14:paraId="1841CE13">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12.是否按要求佩戴作业安全帽、穿戴反光背心，水上作业是否穿戴救生衣。</w:t>
      </w:r>
    </w:p>
    <w:p w14:paraId="29293FE0">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13.外业生产人员是否按要求配备通讯工具和定位装置，外业工作期间，是否做到每日报送安全情况。</w:t>
      </w:r>
    </w:p>
    <w:p w14:paraId="14ECE04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14.高温天气户外作业是否配备防暑降温药物，作业人员是否注意防暑降温，是否避开高温时段作业。</w:t>
      </w:r>
    </w:p>
    <w:p w14:paraId="147DA951">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15.是否及时向测区所在地行业主管部门通报备案。</w:t>
      </w:r>
    </w:p>
    <w:p w14:paraId="2DD49E5F">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（四）对地勘、测绘行业生产经营单位交通安全方面</w:t>
      </w:r>
    </w:p>
    <w:p w14:paraId="5440331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1.单位是否定期检查、保养、年检野外用车，外业作业前是否检查车况。</w:t>
      </w:r>
    </w:p>
    <w:p w14:paraId="34B6005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2.驾驶员是否存在超速、疲劳驾驶、酒驾醉驾等违法行为。</w:t>
      </w:r>
    </w:p>
    <w:p w14:paraId="7D8B404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3.外业作业行车过程中，车辆主副驾和后排人员位置是否系安全带，车内物品等是否过多，是否遮挡后视镜视线。</w:t>
      </w:r>
    </w:p>
    <w:p w14:paraId="60CD00F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4.是否在大风扬尘、暴雨、浓雾等极端恶劣天气进行野外行驶。</w:t>
      </w:r>
    </w:p>
    <w:p w14:paraId="7D16FA7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5.野外作业期间，是否能对车辆和人员的活动轨迹进行全程跟踪记录，是否实时了解其活动情况。</w:t>
      </w:r>
    </w:p>
    <w:p w14:paraId="447D4918">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（五）对地勘、测绘行业生产经营单位</w:t>
      </w:r>
      <w:r>
        <w:rPr>
          <w:rFonts w:hint="default" w:ascii="楷体_GB2312" w:eastAsia="楷体_GB2312"/>
          <w:sz w:val="32"/>
          <w:szCs w:val="32"/>
          <w:lang w:val="en-US" w:eastAsia="zh-CN"/>
        </w:rPr>
        <w:t>实验室、办公室、保密室（档案室）等室内安全</w:t>
      </w:r>
      <w:r>
        <w:rPr>
          <w:rFonts w:hint="eastAsia" w:ascii="楷体_GB2312" w:eastAsia="楷体_GB2312"/>
          <w:sz w:val="32"/>
          <w:szCs w:val="32"/>
          <w:lang w:val="en-US" w:eastAsia="zh-CN"/>
        </w:rPr>
        <w:t>方面</w:t>
      </w:r>
    </w:p>
    <w:p w14:paraId="17BE1841">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1.危险化学品储存、使用和处置等环节是否存在安全风险。</w:t>
      </w:r>
    </w:p>
    <w:p w14:paraId="059420C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2.实验室产生有毒有害气体场所是否有通风净化设施。</w:t>
      </w:r>
    </w:p>
    <w:p w14:paraId="1DB43992">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3.放射性仪器设备是否有防护装置。</w:t>
      </w:r>
    </w:p>
    <w:p w14:paraId="5C2B628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4.仪器设备的电池在充电过程中人员是否临时外出，无人值守，是否存在用电安全隐患。</w:t>
      </w:r>
    </w:p>
    <w:p w14:paraId="4BE56F5B">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5.下班是否关闭办公室门窗、电脑和取暖器等电器电源，电源插板是否随意私拉摆放。</w:t>
      </w:r>
    </w:p>
    <w:p w14:paraId="56E9B9F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6.是否存在线路及插座老化，或者连接超出线路负载的大功率电器，是否存在用电安全隐患。</w:t>
      </w:r>
    </w:p>
    <w:p w14:paraId="7537E2B1">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7.易燃易爆物品是否随意混淆摆放，是否摆放在规定的区域。</w:t>
      </w:r>
    </w:p>
    <w:p w14:paraId="1628693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8.堆放纸质材料等易燃助燃物过多，是否按有关规定配备消防设施，是否存在火灾安全隐患。</w:t>
      </w:r>
    </w:p>
    <w:p w14:paraId="507695B0">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9.是否定期或按时检查灭火器等消防设施、安全劳保用品是否过期，是否及时重新购置、更换。</w:t>
      </w:r>
    </w:p>
    <w:p w14:paraId="67B6EB23">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10.保密室（档案室）是否缺乏防虫、防潮措施，灭虫剂、吸水袋是否定期更换，是否缺少监控保密措施。</w:t>
      </w:r>
    </w:p>
    <w:p w14:paraId="4EF2678F">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eastAsia="楷体_GB2312"/>
          <w:sz w:val="32"/>
          <w:szCs w:val="32"/>
          <w:lang w:val="en-US" w:eastAsia="zh-CN"/>
        </w:rPr>
      </w:pPr>
      <w:r>
        <w:rPr>
          <w:rFonts w:hint="eastAsia" w:ascii="楷体_GB2312" w:eastAsia="楷体_GB2312"/>
          <w:sz w:val="32"/>
          <w:szCs w:val="32"/>
          <w:lang w:val="en-US" w:eastAsia="zh-CN"/>
        </w:rPr>
        <w:t>（六）对地勘、测绘行业生产经营单位</w:t>
      </w:r>
      <w:r>
        <w:rPr>
          <w:rFonts w:hint="default" w:ascii="楷体_GB2312" w:eastAsia="楷体_GB2312"/>
          <w:sz w:val="32"/>
          <w:szCs w:val="32"/>
          <w:lang w:val="en-US" w:eastAsia="zh-CN"/>
        </w:rPr>
        <w:t>安全</w:t>
      </w:r>
      <w:r>
        <w:rPr>
          <w:rFonts w:hint="eastAsia" w:ascii="楷体_GB2312" w:eastAsia="楷体_GB2312"/>
          <w:sz w:val="32"/>
          <w:szCs w:val="32"/>
          <w:lang w:val="en-US" w:eastAsia="zh-CN"/>
        </w:rPr>
        <w:t>装备方面</w:t>
      </w:r>
    </w:p>
    <w:p w14:paraId="0DF42F9A">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1.单位是否给外业作业人员、车辆、船舶和飞机配置北斗终端等报位设备，或报位设备是否正常工作。</w:t>
      </w:r>
    </w:p>
    <w:p w14:paraId="6A26762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2.在手机通讯信号未覆盖地区作业，单位是否给野外作业人员配备必要的卫星电话或卫星电话是否能使用。</w:t>
      </w:r>
    </w:p>
    <w:p w14:paraId="22BDAF8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3.在手机无信号或信号较弱区域、人员较少区域，单位是否禁止外业人员单人外出作业。</w:t>
      </w:r>
    </w:p>
    <w:p w14:paraId="0E59765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4.单位是否配发必要的通讯器材、防雨保温衣物、劳保装备、急救装备等。</w:t>
      </w:r>
    </w:p>
    <w:p w14:paraId="5093184D">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5.单位是否严格按照有关规定对仪器装备的安全性能等进行检查。</w:t>
      </w:r>
    </w:p>
    <w:p w14:paraId="416669F4">
      <w:pPr>
        <w:keepNext w:val="0"/>
        <w:keepLines w:val="0"/>
        <w:pageBreakBefore w:val="0"/>
        <w:widowControl w:val="0"/>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（七）对矿产资源开发利用的监督</w:t>
      </w:r>
      <w:r>
        <w:rPr>
          <w:rFonts w:hint="eastAsia" w:ascii="楷体_GB2312" w:hAnsi="楷体_GB2312" w:eastAsia="楷体_GB2312" w:cs="楷体_GB2312"/>
          <w:sz w:val="32"/>
          <w:szCs w:val="32"/>
          <w:lang w:val="en-US" w:eastAsia="zh-CN"/>
        </w:rPr>
        <w:t>检查</w:t>
      </w:r>
    </w:p>
    <w:p w14:paraId="3CFAD25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1.检查新建和改扩建产生新的基建工程的非煤矿山是否按要求编制非煤矿山建设工程设计文件，是否进行备案。</w:t>
      </w:r>
    </w:p>
    <w:p w14:paraId="512D6C1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2.对无采矿许可证、越界采矿被吊销采矿许可证、资源枯竭应当关闭退出等矿井的关闭工作及关闭是否到位情况进行检查。</w:t>
      </w:r>
    </w:p>
    <w:p w14:paraId="62EB73DC">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3.检查是否存在无证采矿、持证矿山违法采矿等行为，包括以工程项目、设施农业项目、生态修复项目、安全隐患治理项目等为名盗采矿产资源行为。</w:t>
      </w:r>
    </w:p>
    <w:p w14:paraId="25651583">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default" w:ascii="仿宋_GB2312" w:hAnsi="仿宋_GB2312" w:eastAsia="仿宋_GB2312" w:cs="仿宋_GB2312"/>
          <w:color w:val="auto"/>
          <w:sz w:val="32"/>
          <w:szCs w:val="32"/>
          <w:highlight w:val="none"/>
          <w:lang w:val="en-US" w:eastAsia="zh-CN"/>
        </w:rPr>
        <w:t>结合矿产资源“全链条”监管核查工作，对本市矿山企业落实矿山地质环境保护和土地复垦方案情况进行监督检查。</w:t>
      </w:r>
    </w:p>
    <w:p w14:paraId="28236145">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（八）对海域使用的监督检查</w:t>
      </w:r>
    </w:p>
    <w:p w14:paraId="110CEF66">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对本级审批用海项目是否依批准用海进行监督检查</w:t>
      </w:r>
      <w:r>
        <w:rPr>
          <w:rFonts w:hint="eastAsia" w:ascii="仿宋_GB2312" w:hAnsi="仿宋_GB2312" w:eastAsia="仿宋_GB2312" w:cs="仿宋_GB2312"/>
          <w:color w:val="auto"/>
          <w:sz w:val="32"/>
          <w:szCs w:val="32"/>
          <w:highlight w:val="none"/>
          <w:lang w:val="en-US" w:eastAsia="zh-CN"/>
        </w:rPr>
        <w:t>。</w:t>
      </w:r>
    </w:p>
    <w:p w14:paraId="3C016D6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楷体_GB2312" w:hAnsi="楷体_GB2312" w:eastAsia="楷体_GB2312" w:cs="楷体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（九）国土空间开发利用的监督检查</w:t>
      </w:r>
    </w:p>
    <w:p w14:paraId="3D63D36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对各市建设工程规划许可和规划核实工作开展督导检查。</w:t>
      </w:r>
    </w:p>
    <w:p w14:paraId="735CA7F9">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楷体_GB2312" w:hAnsi="楷体_GB2312" w:eastAsia="楷体_GB2312" w:cs="楷体_GB2312"/>
          <w:color w:val="auto"/>
          <w:sz w:val="32"/>
          <w:szCs w:val="32"/>
          <w:highlight w:val="none"/>
          <w:lang w:val="en-US" w:eastAsia="zh-CN"/>
        </w:rPr>
        <w:t>（十）对临时用地的监督检查</w:t>
      </w:r>
    </w:p>
    <w:p w14:paraId="5CF6688E">
      <w:pPr>
        <w:keepNext w:val="0"/>
        <w:keepLines w:val="0"/>
        <w:pageBreakBefore w:val="0"/>
        <w:widowControl w:val="0"/>
        <w:numPr>
          <w:ilvl w:val="0"/>
          <w:numId w:val="0"/>
        </w:numPr>
        <w:kinsoku/>
        <w:wordWrap/>
        <w:overflowPunct/>
        <w:topLinePunct w:val="0"/>
        <w:autoSpaceDE w:val="0"/>
        <w:autoSpaceDN w:val="0"/>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lang w:val="en-US" w:eastAsia="zh-CN"/>
        </w:rPr>
      </w:pPr>
      <w:r>
        <w:rPr>
          <w:rFonts w:hint="eastAsia" w:ascii="仿宋_GB2312" w:hAnsi="仿宋_GB2312" w:eastAsia="仿宋_GB2312" w:cs="仿宋_GB2312"/>
          <w:color w:val="auto"/>
          <w:sz w:val="32"/>
          <w:szCs w:val="32"/>
          <w:highlight w:val="none"/>
          <w:u w:val="none"/>
          <w:lang w:val="en-US" w:eastAsia="zh-CN"/>
        </w:rPr>
        <w:t>对临时用地土地复垦情况进行监督检查。</w:t>
      </w:r>
    </w:p>
    <w:p w14:paraId="54DC9332">
      <w:pPr>
        <w:keepNext w:val="0"/>
        <w:keepLines w:val="0"/>
        <w:pageBreakBefore w:val="0"/>
        <w:widowControl w:val="0"/>
        <w:kinsoku/>
        <w:wordWrap/>
        <w:overflowPunct/>
        <w:topLinePunct w:val="0"/>
        <w:bidi w:val="0"/>
        <w:adjustRightInd/>
        <w:snapToGrid/>
        <w:spacing w:after="0" w:line="560" w:lineRule="exact"/>
        <w:textAlignment w:val="auto"/>
        <w:rPr>
          <w:rFonts w:hint="eastAsia" w:ascii="仿宋_GB2312" w:eastAsia="仿宋_GB2312"/>
          <w:sz w:val="32"/>
          <w:szCs w:val="32"/>
        </w:rPr>
      </w:pPr>
    </w:p>
    <w:sectPr>
      <w:pgSz w:w="11906" w:h="16838"/>
      <w:pgMar w:top="1474" w:right="1474" w:bottom="1474"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楷体简体">
    <w:altName w:val="宋体"/>
    <w:panose1 w:val="00000000000000000000"/>
    <w:charset w:val="86"/>
    <w:family w:val="script"/>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433DD7">
    <w:pPr>
      <w:pStyle w:val="11"/>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32634">
    <w:pPr>
      <w:pStyle w:val="11"/>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F84A5">
    <w:pPr>
      <w:pStyle w:val="11"/>
      <w:rPr>
        <w:rFonts w:hint="eastAsi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6F7584">
    <w:pPr>
      <w:pStyle w:val="11"/>
      <w:rPr>
        <w:rFonts w:hint="eastAsi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EFC70">
    <w:pPr>
      <w:pStyle w:val="12"/>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E362E">
    <w:pPr>
      <w:pStyle w:val="12"/>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D9AD7">
    <w:pPr>
      <w:pStyle w:val="12"/>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473"/>
    <w:rsid w:val="00006189"/>
    <w:rsid w:val="0007264C"/>
    <w:rsid w:val="000C3B9E"/>
    <w:rsid w:val="001353B4"/>
    <w:rsid w:val="00142548"/>
    <w:rsid w:val="00151E35"/>
    <w:rsid w:val="001B296D"/>
    <w:rsid w:val="001B5693"/>
    <w:rsid w:val="00225B27"/>
    <w:rsid w:val="00233FFD"/>
    <w:rsid w:val="0025655A"/>
    <w:rsid w:val="00266946"/>
    <w:rsid w:val="003873C9"/>
    <w:rsid w:val="003E2667"/>
    <w:rsid w:val="0040269D"/>
    <w:rsid w:val="004747C5"/>
    <w:rsid w:val="004A6F7C"/>
    <w:rsid w:val="004B2E62"/>
    <w:rsid w:val="00530EBB"/>
    <w:rsid w:val="00531443"/>
    <w:rsid w:val="00566CF3"/>
    <w:rsid w:val="00571500"/>
    <w:rsid w:val="005B3F78"/>
    <w:rsid w:val="005C0F78"/>
    <w:rsid w:val="0060076B"/>
    <w:rsid w:val="006272A5"/>
    <w:rsid w:val="0063061D"/>
    <w:rsid w:val="006C40E3"/>
    <w:rsid w:val="007320B9"/>
    <w:rsid w:val="007623D4"/>
    <w:rsid w:val="007C4473"/>
    <w:rsid w:val="007F114C"/>
    <w:rsid w:val="00800D15"/>
    <w:rsid w:val="00802237"/>
    <w:rsid w:val="00843AAB"/>
    <w:rsid w:val="00860AA3"/>
    <w:rsid w:val="008863BE"/>
    <w:rsid w:val="008E6BE1"/>
    <w:rsid w:val="0092118C"/>
    <w:rsid w:val="00925054"/>
    <w:rsid w:val="00936679"/>
    <w:rsid w:val="00961807"/>
    <w:rsid w:val="009935A7"/>
    <w:rsid w:val="009A1F18"/>
    <w:rsid w:val="009E0B19"/>
    <w:rsid w:val="00A33E2A"/>
    <w:rsid w:val="00AA499B"/>
    <w:rsid w:val="00B14F23"/>
    <w:rsid w:val="00B20693"/>
    <w:rsid w:val="00B60EFE"/>
    <w:rsid w:val="00BB70DD"/>
    <w:rsid w:val="00BB7795"/>
    <w:rsid w:val="00BC0F31"/>
    <w:rsid w:val="00C46F9D"/>
    <w:rsid w:val="00C5058B"/>
    <w:rsid w:val="00C86CA2"/>
    <w:rsid w:val="00CA26B4"/>
    <w:rsid w:val="00CB6887"/>
    <w:rsid w:val="00CC5392"/>
    <w:rsid w:val="00CD0451"/>
    <w:rsid w:val="00CF5FCB"/>
    <w:rsid w:val="00D14678"/>
    <w:rsid w:val="00D86260"/>
    <w:rsid w:val="00DA1169"/>
    <w:rsid w:val="00E37985"/>
    <w:rsid w:val="00E43021"/>
    <w:rsid w:val="00E46B34"/>
    <w:rsid w:val="00E544FA"/>
    <w:rsid w:val="00E83A1F"/>
    <w:rsid w:val="00EB117C"/>
    <w:rsid w:val="00EE209C"/>
    <w:rsid w:val="00EE29E4"/>
    <w:rsid w:val="00F103BF"/>
    <w:rsid w:val="00F66F23"/>
    <w:rsid w:val="00F8406C"/>
    <w:rsid w:val="00F85DB9"/>
    <w:rsid w:val="00FD3CA1"/>
    <w:rsid w:val="27DC4A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1"/>
    <w:basedOn w:val="1"/>
    <w:next w:val="1"/>
    <w:link w:val="18"/>
    <w:qFormat/>
    <w:uiPriority w:val="9"/>
    <w:pPr>
      <w:keepNext/>
      <w:keepLines/>
      <w:spacing w:before="480" w:after="80"/>
      <w:outlineLvl w:val="0"/>
    </w:pPr>
    <w:rPr>
      <w:rFonts w:asciiTheme="majorHAnsi" w:hAnsiTheme="majorHAnsi" w:eastAsiaTheme="majorEastAsia" w:cstheme="majorBidi"/>
      <w:color w:val="104862" w:themeColor="accent1" w:themeShade="BF"/>
      <w:sz w:val="48"/>
      <w:szCs w:val="48"/>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40"/>
      <w:szCs w:val="40"/>
    </w:rPr>
  </w:style>
  <w:style w:type="paragraph" w:styleId="4">
    <w:name w:val="heading 3"/>
    <w:basedOn w:val="1"/>
    <w:next w:val="1"/>
    <w:link w:val="20"/>
    <w:semiHidden/>
    <w:unhideWhenUsed/>
    <w:qFormat/>
    <w:uiPriority w:val="9"/>
    <w:pPr>
      <w:keepNext/>
      <w:keepLines/>
      <w:spacing w:before="160" w:after="80"/>
      <w:outlineLvl w:val="2"/>
    </w:pPr>
    <w:rPr>
      <w:rFonts w:asciiTheme="majorHAnsi" w:hAnsiTheme="majorHAnsi" w:eastAsiaTheme="majorEastAsia" w:cstheme="majorBidi"/>
      <w:color w:val="104862" w:themeColor="accent1" w:themeShade="BF"/>
      <w:sz w:val="32"/>
      <w:szCs w:val="32"/>
    </w:rPr>
  </w:style>
  <w:style w:type="paragraph" w:styleId="5">
    <w:name w:val="heading 4"/>
    <w:basedOn w:val="1"/>
    <w:next w:val="1"/>
    <w:link w:val="21"/>
    <w:semiHidden/>
    <w:unhideWhenUsed/>
    <w:qFormat/>
    <w:uiPriority w:val="9"/>
    <w:pPr>
      <w:keepNext/>
      <w:keepLines/>
      <w:spacing w:before="80" w:after="40"/>
      <w:outlineLvl w:val="3"/>
    </w:pPr>
    <w:rPr>
      <w:rFonts w:cstheme="majorBidi"/>
      <w:color w:val="104862" w:themeColor="accent1" w:themeShade="BF"/>
      <w:sz w:val="28"/>
      <w:szCs w:val="28"/>
    </w:rPr>
  </w:style>
  <w:style w:type="paragraph" w:styleId="6">
    <w:name w:val="heading 5"/>
    <w:basedOn w:val="1"/>
    <w:next w:val="1"/>
    <w:link w:val="22"/>
    <w:semiHidden/>
    <w:unhideWhenUsed/>
    <w:qFormat/>
    <w:uiPriority w:val="9"/>
    <w:pPr>
      <w:keepNext/>
      <w:keepLines/>
      <w:spacing w:before="80" w:after="40"/>
      <w:outlineLvl w:val="4"/>
    </w:pPr>
    <w:rPr>
      <w:rFonts w:cstheme="majorBidi"/>
      <w:color w:val="104862" w:themeColor="accent1" w:themeShade="BF"/>
      <w:sz w:val="24"/>
    </w:rPr>
  </w:style>
  <w:style w:type="paragraph" w:styleId="7">
    <w:name w:val="heading 6"/>
    <w:basedOn w:val="1"/>
    <w:next w:val="1"/>
    <w:link w:val="23"/>
    <w:semiHidden/>
    <w:unhideWhenUsed/>
    <w:qFormat/>
    <w:uiPriority w:val="9"/>
    <w:pPr>
      <w:keepNext/>
      <w:keepLines/>
      <w:spacing w:before="40" w:after="0"/>
      <w:outlineLvl w:val="5"/>
    </w:pPr>
    <w:rPr>
      <w:rFonts w:cstheme="majorBidi"/>
      <w:b/>
      <w:bCs/>
      <w:color w:val="104862" w:themeColor="accent1" w:themeShade="BF"/>
    </w:rPr>
  </w:style>
  <w:style w:type="paragraph" w:styleId="8">
    <w:name w:val="heading 7"/>
    <w:basedOn w:val="1"/>
    <w:next w:val="1"/>
    <w:link w:val="24"/>
    <w:semiHidden/>
    <w:unhideWhenUsed/>
    <w:qFormat/>
    <w:uiPriority w:val="9"/>
    <w:pPr>
      <w:keepNext/>
      <w:keepLines/>
      <w:spacing w:before="40" w:after="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1">
    <w:name w:val="footer"/>
    <w:basedOn w:val="1"/>
    <w:link w:val="38"/>
    <w:unhideWhenUsed/>
    <w:qFormat/>
    <w:uiPriority w:val="99"/>
    <w:pPr>
      <w:tabs>
        <w:tab w:val="center" w:pos="4153"/>
        <w:tab w:val="right" w:pos="8306"/>
      </w:tabs>
      <w:snapToGrid w:val="0"/>
      <w:spacing w:line="240" w:lineRule="auto"/>
    </w:pPr>
    <w:rPr>
      <w:sz w:val="18"/>
      <w:szCs w:val="18"/>
    </w:rPr>
  </w:style>
  <w:style w:type="paragraph" w:styleId="12">
    <w:name w:val="header"/>
    <w:basedOn w:val="1"/>
    <w:link w:val="37"/>
    <w:unhideWhenUsed/>
    <w:qFormat/>
    <w:uiPriority w:val="99"/>
    <w:pPr>
      <w:tabs>
        <w:tab w:val="center" w:pos="4153"/>
        <w:tab w:val="right" w:pos="8306"/>
      </w:tabs>
      <w:snapToGrid w:val="0"/>
      <w:spacing w:line="240" w:lineRule="auto"/>
      <w:jc w:val="center"/>
    </w:pPr>
    <w:rPr>
      <w:sz w:val="18"/>
      <w:szCs w:val="18"/>
    </w:rPr>
  </w:style>
  <w:style w:type="paragraph" w:styleId="13">
    <w:name w:val="Subtitle"/>
    <w:basedOn w:val="1"/>
    <w:next w:val="1"/>
    <w:link w:val="28"/>
    <w:qFormat/>
    <w:uiPriority w:val="11"/>
    <w:pPr>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4">
    <w:name w:val="Title"/>
    <w:basedOn w:val="1"/>
    <w:next w:val="1"/>
    <w:link w:val="27"/>
    <w:qFormat/>
    <w:uiPriority w:val="10"/>
    <w:pPr>
      <w:spacing w:after="80" w:line="240" w:lineRule="auto"/>
      <w:contextualSpacing/>
      <w:jc w:val="center"/>
    </w:pPr>
    <w:rPr>
      <w:rFonts w:asciiTheme="majorHAnsi" w:hAnsiTheme="majorHAnsi" w:eastAsiaTheme="majorEastAsia" w:cstheme="majorBidi"/>
      <w:spacing w:val="-10"/>
      <w:kern w:val="28"/>
      <w:sz w:val="56"/>
      <w:szCs w:val="56"/>
    </w:rPr>
  </w:style>
  <w:style w:type="table" w:styleId="16">
    <w:name w:val="Table Grid"/>
    <w:basedOn w:val="15"/>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8">
    <w:name w:val="标题 1 字符"/>
    <w:basedOn w:val="17"/>
    <w:link w:val="2"/>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4"/>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3"/>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table" w:customStyle="1" w:styleId="36">
    <w:name w:val="网格型1"/>
    <w:basedOn w:val="15"/>
    <w:qFormat/>
    <w:uiPriority w:val="39"/>
    <w:pPr>
      <w:spacing w:after="0" w:line="240" w:lineRule="auto"/>
    </w:pPr>
    <w:rPr>
      <w:kern w:val="0"/>
      <w:sz w:val="20"/>
      <w:szCs w:val="2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7">
    <w:name w:val="页眉 字符"/>
    <w:basedOn w:val="17"/>
    <w:link w:val="12"/>
    <w:qFormat/>
    <w:uiPriority w:val="99"/>
    <w:rPr>
      <w:sz w:val="18"/>
      <w:szCs w:val="18"/>
    </w:rPr>
  </w:style>
  <w:style w:type="character" w:customStyle="1" w:styleId="38">
    <w:name w:val="页脚 字符"/>
    <w:basedOn w:val="17"/>
    <w:link w:val="11"/>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241A35-8A02-4968-A8F4-70B9BDF070AE}">
  <ds:schemaRefs/>
</ds:datastoreItem>
</file>

<file path=docProps/app.xml><?xml version="1.0" encoding="utf-8"?>
<Properties xmlns="http://schemas.openxmlformats.org/officeDocument/2006/extended-properties" xmlns:vt="http://schemas.openxmlformats.org/officeDocument/2006/docPropsVTypes">
  <Template>Normal</Template>
  <Pages>20</Pages>
  <Words>6392</Words>
  <Characters>6480</Characters>
  <Lines>48</Lines>
  <Paragraphs>13</Paragraphs>
  <TotalTime>2</TotalTime>
  <ScaleCrop>false</ScaleCrop>
  <LinksUpToDate>false</LinksUpToDate>
  <CharactersWithSpaces>6615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2025-03-02T05:49:00Z</dcterms:created>
  <dc:creator>志达 刘</dc:creator>
  <cp:lastModifiedBy>刘志达</cp:lastModifiedBy>
  <dcterms:modified xsi:type="dcterms:W3CDTF">2025-09-09T01:43:34Z</dcterms:modified>
  <cp:revision>496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eyJoZGlkIjoiYzIxNjgwYjA0YmVjOWNkN2E1ZDdiZjdiOTNjYjM3MjEiLCJ1c2VySWQiOiIyNTExODY4NzgifQ==</vt:lpwstr>
  </property>
  <property fmtid="{D5CDD505-2E9C-101B-9397-08002B2CF9AE}" pid="3" name="KSOProductBuildVer">
    <vt:lpwstr>2052-12.1.0.21915</vt:lpwstr>
  </property>
  <property fmtid="{D5CDD505-2E9C-101B-9397-08002B2CF9AE}" pid="4" name="ICV">
    <vt:lpwstr>65C53771814440C68E40F2B489627F79_12</vt:lpwstr>
  </property>
</Properties>
</file>