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F50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DC392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</w:pPr>
    </w:p>
    <w:p w14:paraId="68108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</w:pPr>
    </w:p>
    <w:p w14:paraId="1F397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</w:pPr>
    </w:p>
    <w:p w14:paraId="0499D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</w:pPr>
    </w:p>
    <w:p w14:paraId="350327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</w:pPr>
    </w:p>
    <w:p w14:paraId="7EBB6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  <w:t>赞资源和规划〔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eastAsia="zh-CN"/>
        </w:rPr>
        <w:t>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11号</w:t>
      </w:r>
    </w:p>
    <w:p w14:paraId="20D32F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eastAsia="zh-CN"/>
        </w:rPr>
      </w:pPr>
    </w:p>
    <w:p w14:paraId="4EF348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70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eastAsia="zh-CN"/>
        </w:rPr>
      </w:pPr>
    </w:p>
    <w:p w14:paraId="16AC5F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eastAsia="zh-CN"/>
        </w:rPr>
        <w:t>关于印发《赞皇县202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三十二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  <w:t>次跨部门</w:t>
      </w:r>
    </w:p>
    <w:p w14:paraId="1BCD30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  <w:t>“双随机、一公开”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eastAsia="zh-CN"/>
        </w:rPr>
        <w:t>联合抽查实施方案》的通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191919"/>
          <w:spacing w:val="0"/>
          <w:sz w:val="44"/>
          <w:szCs w:val="44"/>
          <w:shd w:val="clear" w:color="auto" w:fill="FFFFFF"/>
          <w:lang w:eastAsia="zh-CN"/>
        </w:rPr>
        <w:t>知</w:t>
      </w:r>
    </w:p>
    <w:p w14:paraId="11C919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 w14:paraId="286A1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各有关成员单位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2E50E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firstLine="640" w:firstLineChars="200"/>
        <w:textAlignment w:val="auto"/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现将《赞皇县202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三十二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次跨部门“双随机、一公开”</w:t>
      </w:r>
      <w:r>
        <w:rPr>
          <w:rFonts w:hint="eastAsia" w:ascii="仿宋_GB2312" w:hAnsi="仿宋_GB2312" w:eastAsia="仿宋_GB2312" w:cs="仿宋_GB2312"/>
          <w:sz w:val="32"/>
          <w:szCs w:val="32"/>
        </w:rPr>
        <w:t>联合抽查实施方案》印发给你们，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请结合本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地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本部门实际，认真组织实施。</w:t>
      </w:r>
    </w:p>
    <w:p w14:paraId="584A18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ind w:left="0" w:leftChars="0" w:firstLine="624" w:firstLineChars="200"/>
        <w:textAlignment w:val="auto"/>
        <w:rPr>
          <w:rFonts w:hint="eastAsia" w:eastAsia="仿宋"/>
          <w:lang w:val="en-US" w:eastAsia="zh-CN"/>
        </w:rPr>
      </w:pP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</w:rPr>
        <w:t>赞皇县202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三十二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次跨部门“双随机、一公开”</w:t>
      </w:r>
      <w:r>
        <w:rPr>
          <w:rFonts w:hint="eastAsia" w:ascii="仿宋_GB2312" w:hAnsi="仿宋_GB2312" w:eastAsia="仿宋_GB2312" w:cs="仿宋_GB2312"/>
          <w:sz w:val="32"/>
          <w:szCs w:val="32"/>
        </w:rPr>
        <w:t>联合抽查实施方案</w:t>
      </w:r>
    </w:p>
    <w:p w14:paraId="6B5EC1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53C85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780" w:firstLine="42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</w:t>
      </w:r>
    </w:p>
    <w:p w14:paraId="52623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right="0" w:rightChars="0" w:firstLine="4992" w:firstLineChars="1600"/>
        <w:jc w:val="both"/>
        <w:textAlignment w:val="auto"/>
        <w:outlineLvl w:val="9"/>
        <w:rPr>
          <w:rFonts w:hint="eastAsia"/>
          <w:color w:val="auto"/>
          <w:lang w:val="zh-CN" w:eastAsia="zh-CN"/>
        </w:rPr>
      </w:pP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</w:rPr>
        <w:t>年</w:t>
      </w: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</w:rPr>
        <w:t>月</w:t>
      </w: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napToGrid w:val="0"/>
          <w:color w:val="auto"/>
          <w:spacing w:val="-4"/>
          <w:sz w:val="32"/>
          <w:szCs w:val="32"/>
        </w:rPr>
        <w:t>日</w:t>
      </w:r>
    </w:p>
    <w:p w14:paraId="36CCC4E6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1984" w:right="1587" w:bottom="1984" w:left="1587" w:header="851" w:footer="992" w:gutter="0"/>
          <w:pgNumType w:fmt="numberInDash" w:start="1"/>
          <w:cols w:space="720" w:num="1"/>
          <w:rtlGutter w:val="0"/>
          <w:docGrid w:type="lines" w:linePitch="443" w:charSpace="0"/>
        </w:sectPr>
      </w:pPr>
    </w:p>
    <w:p w14:paraId="149F6EA3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color w:val="222222"/>
          <w:spacing w:val="0"/>
          <w:w w:val="100"/>
          <w:sz w:val="32"/>
          <w:szCs w:val="32"/>
          <w:lang w:val="en-US" w:eastAsia="zh-CN"/>
        </w:rPr>
        <w:sectPr>
          <w:pgSz w:w="11906" w:h="16838"/>
          <w:pgMar w:top="1984" w:right="1587" w:bottom="1984" w:left="1587" w:header="851" w:footer="992" w:gutter="0"/>
          <w:pgNumType w:fmt="numberInDash"/>
          <w:cols w:space="720" w:num="1"/>
          <w:rtlGutter w:val="0"/>
          <w:docGrid w:type="lines" w:linePitch="443" w:charSpace="0"/>
        </w:sectPr>
      </w:pPr>
      <w:r>
        <w:rPr>
          <w:rFonts w:hint="eastAsia" w:ascii="仿宋_GB2312" w:hAnsi="仿宋_GB2312" w:eastAsia="仿宋_GB2312" w:cs="仿宋_GB2312"/>
          <w:b w:val="0"/>
          <w:bCs/>
          <w:color w:val="222222"/>
          <w:spacing w:val="0"/>
          <w:w w:val="100"/>
          <w:sz w:val="32"/>
          <w:szCs w:val="32"/>
          <w:lang w:val="en-US" w:eastAsia="zh-CN"/>
        </w:rPr>
        <w:t>此页无正文</w:t>
      </w:r>
    </w:p>
    <w:p w14:paraId="487AD9B5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val="en-US" w:eastAsia="zh-CN"/>
        </w:rPr>
        <w:t>赞皇县2025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val="en-US"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pacing w:val="0"/>
          <w:w w:val="100"/>
          <w:sz w:val="44"/>
          <w:lang w:val="en-US" w:eastAsia="zh-CN"/>
        </w:rPr>
        <w:t>三十二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val="en-US"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</w:rPr>
        <w:t>跨部门</w:t>
      </w:r>
    </w:p>
    <w:p w14:paraId="6BD1AEFB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</w:rPr>
        <w:t>“双随机、一公开”联合抽查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222222"/>
          <w:spacing w:val="0"/>
          <w:w w:val="100"/>
          <w:sz w:val="44"/>
          <w:lang w:eastAsia="zh-CN"/>
        </w:rPr>
        <w:t>实施方案</w:t>
      </w:r>
    </w:p>
    <w:p w14:paraId="523B476A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70" w:lineRule="exact"/>
        <w:ind w:left="0" w:leftChars="0" w:right="0" w:rightChars="0"/>
        <w:jc w:val="both"/>
        <w:textAlignment w:val="auto"/>
        <w:rPr>
          <w:rFonts w:hint="eastAsia" w:ascii="仿宋_GB2312" w:hAnsi="仿宋_GB2312"/>
          <w:color w:val="222222"/>
          <w:spacing w:val="0"/>
          <w:w w:val="100"/>
          <w:sz w:val="32"/>
          <w:lang w:val="en-US" w:eastAsia="zh-CN"/>
        </w:rPr>
      </w:pPr>
    </w:p>
    <w:p w14:paraId="5966842F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 w:val="0"/>
        <w:snapToGrid/>
        <w:spacing w:line="57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" w:hAnsi="仿宋" w:eastAsia="仿宋" w:cs="仿宋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" w:hAnsi="仿宋" w:eastAsia="仿宋" w:cs="仿宋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根据《赞皇县2025年“双随机、一公开”监管工作实施方案》、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《赞皇县2025年度随机抽查工作计划》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，现组织开展2025年第三十二次跨部门“双随机、一公开”联合抽查。特制定本方案。</w:t>
      </w:r>
    </w:p>
    <w:p w14:paraId="0EF5C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2"/>
        <w:jc w:val="both"/>
        <w:textAlignment w:val="auto"/>
        <w:outlineLvl w:val="9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一、时间安排</w:t>
      </w:r>
    </w:p>
    <w:p w14:paraId="0A89DA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2"/>
        <w:jc w:val="both"/>
        <w:textAlignment w:val="auto"/>
        <w:outlineLvl w:val="9"/>
        <w:rPr>
          <w:rFonts w:hint="default" w:ascii="仿宋" w:hAnsi="仿宋" w:eastAsia="仿宋" w:cs="仿宋"/>
          <w:b/>
          <w:color w:val="auto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2025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年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9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1日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至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11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30日</w:t>
      </w:r>
    </w:p>
    <w:p w14:paraId="0192AF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Autospacing="0" w:afterAutospacing="0" w:line="570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</w:rPr>
        <w:t xml:space="preserve">    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二、抽查事项内容</w:t>
      </w:r>
    </w:p>
    <w:p w14:paraId="47CB88E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  <w:t xml:space="preserve">赞皇县自然资源和规划局：公示信息抽查；测绘行业监督检查；地质勘查行业监督检查；城乡规划编制单位乙级资质监督检查；海域使用监督检查；地理信息管理综合检查；矿山地质环境保护与土地复垦监督检查；土地复垦监督检查；地理信息管理综合检查；房地产市场行政监督管理行为的监督检查。  </w:t>
      </w:r>
    </w:p>
    <w:p w14:paraId="240ED333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  <w:t>赞皇县市场监督和管理局：登记事项检查、公示信息检查；价格行为检查。</w:t>
      </w:r>
    </w:p>
    <w:p w14:paraId="53923E8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beforeAutospacing="0" w:afterAutospacing="0"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抽查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对象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范围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及比例</w:t>
      </w:r>
    </w:p>
    <w:p w14:paraId="1DC2EE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beforeAutospacing="0" w:afterAutospacing="0" w:line="57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（一）抽查对象范围：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highlight w:val="none"/>
          <w:lang w:val="en-US" w:eastAsia="zh-CN"/>
        </w:rPr>
        <w:t>测绘行业。</w:t>
      </w:r>
    </w:p>
    <w:p w14:paraId="7640E6BF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 w:val="0"/>
        <w:spacing w:after="0" w:line="57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（二）抽取比例：按照信用风险分级分类等级抽取涉及行业共计不低于</w:t>
      </w:r>
      <w:r>
        <w:rPr>
          <w:rFonts w:hint="eastAsia" w:ascii="仿宋" w:hAnsi="仿宋" w:eastAsia="仿宋" w:cs="仿宋"/>
          <w:color w:val="000000"/>
          <w:spacing w:val="0"/>
          <w:w w:val="100"/>
          <w:sz w:val="32"/>
          <w:szCs w:val="32"/>
          <w:lang w:val="en-US" w:eastAsia="zh-CN"/>
        </w:rPr>
        <w:t>3%，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本次抽查涉及行业的高、中风险企业按照</w:t>
      </w:r>
      <w:r>
        <w:rPr>
          <w:rFonts w:hint="eastAsia" w:ascii="仿宋" w:hAnsi="仿宋" w:eastAsia="仿宋" w:cs="仿宋"/>
          <w:color w:val="000000"/>
          <w:spacing w:val="0"/>
          <w:w w:val="100"/>
          <w:sz w:val="32"/>
          <w:szCs w:val="32"/>
          <w:lang w:val="en-US" w:eastAsia="zh-CN"/>
        </w:rPr>
        <w:t>15%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比例抽取，低风险企业按照</w:t>
      </w:r>
      <w:r>
        <w:rPr>
          <w:rFonts w:hint="eastAsia" w:ascii="仿宋" w:hAnsi="仿宋" w:eastAsia="仿宋" w:cs="仿宋"/>
          <w:color w:val="000000"/>
          <w:spacing w:val="0"/>
          <w:w w:val="100"/>
          <w:sz w:val="32"/>
          <w:szCs w:val="32"/>
          <w:lang w:val="en-US" w:eastAsia="zh-CN"/>
        </w:rPr>
        <w:t>3%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比例抽取。</w:t>
      </w:r>
    </w:p>
    <w:p w14:paraId="31D15F1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570" w:lineRule="exact"/>
        <w:ind w:left="0" w:leftChars="0" w:right="0" w:rightChars="0" w:firstLine="640"/>
        <w:jc w:val="both"/>
        <w:textAlignment w:val="auto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四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、名单抽取及派发</w:t>
      </w:r>
    </w:p>
    <w:p w14:paraId="41FBC9B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570" w:lineRule="exact"/>
        <w:ind w:left="0" w:leftChars="0" w:right="0" w:rightChars="0" w:firstLine="640"/>
        <w:jc w:val="both"/>
        <w:textAlignment w:val="auto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（一）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通过“河北省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从检查对象名录库抽取确定被检查对象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，由“河北省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”自动派发到各监管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，由各单位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管理员在两个工作日内完成比对和确认。</w:t>
      </w:r>
    </w:p>
    <w:p w14:paraId="700A2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）各监管单位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通过“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对被检查对象进行认领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，从执法人员名录库中随机抽取执法检查人员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进行匹配编组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。</w:t>
      </w:r>
    </w:p>
    <w:p w14:paraId="7F6EDC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被检查对象和检查人员确定后，由“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”随机匹配，自动生成一户企业一份随机抽查联合检查记录表（简称“一企一表”），并自动派发到执法检查人员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（可直接在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APP端查看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），实施检查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。</w:t>
      </w:r>
    </w:p>
    <w:p w14:paraId="78066D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五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、组织实施</w:t>
      </w:r>
    </w:p>
    <w:p w14:paraId="71EE5936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bidi w:val="0"/>
        <w:snapToGrid/>
        <w:spacing w:after="0" w:line="570" w:lineRule="exact"/>
        <w:ind w:left="0" w:leftChars="0" w:right="0" w:rightChars="0" w:firstLine="640" w:firstLineChars="0"/>
        <w:textAlignment w:val="auto"/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  <w:t>（一）任务分工</w:t>
      </w:r>
    </w:p>
    <w:p w14:paraId="3F36D6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本次联合抽查由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牵头，纳入跨部门“双随机、一公开”联合抽查的有关部门为：</w:t>
      </w:r>
      <w:r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  <w:t>赞皇县市场监督管理局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各行政监管部门负责指导下级各行政监管部门实施抽查，并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具体落实本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系统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“双随机、一公开”联合抽查工作。</w:t>
      </w:r>
    </w:p>
    <w:p w14:paraId="597FA9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.参与本次跨部门“双随机、一公开”联合抽查的单位具体实施本部门“双随机、一公开”联合抽查工作。</w:t>
      </w:r>
    </w:p>
    <w:p w14:paraId="22D6C4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.随机抽取的执法人员，无法独立完成专业抽查事项的，由执法检查人员所在部门选派专业人员协助指导完成工作。</w:t>
      </w:r>
    </w:p>
    <w:p w14:paraId="4F7EB11E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bidi w:val="0"/>
        <w:snapToGrid/>
        <w:spacing w:after="0" w:line="570" w:lineRule="exact"/>
        <w:ind w:left="0" w:leftChars="0" w:right="0" w:rightChars="0" w:firstLine="640" w:firstLineChars="0"/>
        <w:textAlignment w:val="auto"/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  <w:t>（二）检查方式</w:t>
      </w:r>
    </w:p>
    <w:p w14:paraId="7D41D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1.现场检查一般采取信息比对、实地核查等方法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</w:t>
      </w:r>
    </w:p>
    <w:p w14:paraId="5D592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 w14:paraId="60DFC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.对企业进行实地核查时，应当出示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相应证件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或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；以上操作可在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手机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APP上完成。</w:t>
      </w:r>
    </w:p>
    <w:p w14:paraId="04FB8E20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bidi w:val="0"/>
        <w:snapToGrid/>
        <w:spacing w:after="0" w:line="570" w:lineRule="exact"/>
        <w:ind w:left="0" w:leftChars="0" w:right="0" w:rightChars="0" w:firstLine="640" w:firstLineChars="0"/>
        <w:textAlignment w:val="auto"/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  <w:t>（三）抽查结果公示</w:t>
      </w:r>
    </w:p>
    <w:p w14:paraId="0F3DD2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执法检查人员要自完成“双随机、一公开”联合抽查工作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结束之日起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个工作日内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，在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完成录入、审核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，抽查结果由系统完成数据交换自动归集到市场主体名下，通过“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自动交换到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国家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市场主体信用信息公示系统”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（河北）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向社会公示。</w:t>
      </w:r>
    </w:p>
    <w:p w14:paraId="41B2CECB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bidi w:val="0"/>
        <w:snapToGrid/>
        <w:spacing w:after="0" w:line="570" w:lineRule="exact"/>
        <w:ind w:left="0" w:leftChars="0" w:right="0" w:rightChars="0" w:firstLine="640" w:firstLineChars="0"/>
        <w:textAlignment w:val="auto"/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  <w:t>（四）后续结果处置。</w:t>
      </w:r>
    </w:p>
    <w:p w14:paraId="0CD04334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bidi w:val="0"/>
        <w:snapToGrid/>
        <w:spacing w:after="0" w:line="570" w:lineRule="exact"/>
        <w:ind w:left="0" w:leftChars="0" w:right="0" w:rightChars="0" w:firstLine="640" w:firstLineChars="0"/>
        <w:textAlignment w:val="auto"/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32"/>
          <w:lang w:val="en-US" w:eastAsia="zh-CN" w:bidi="ar-SA"/>
        </w:rPr>
        <w:t>各单位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6475AF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val="en-US" w:eastAsia="zh-CN"/>
        </w:rPr>
        <w:t xml:space="preserve"> </w:t>
      </w: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六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、工作要求</w:t>
      </w:r>
    </w:p>
    <w:p w14:paraId="0C5B9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（一）明确工作职责，做好组织保障。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赞皇县市场监督管理局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要加强对“双随机、一公开”联合抽查工作的组织领导，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做好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本次抽查的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牵头工作；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 w14:paraId="230DD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（二）</w:t>
      </w:r>
      <w:r>
        <w:rPr>
          <w:rFonts w:hint="eastAsia" w:ascii="楷体" w:hAnsi="楷体" w:eastAsia="楷体" w:cs="楷体"/>
          <w:color w:val="222222"/>
          <w:spacing w:val="0"/>
          <w:w w:val="100"/>
          <w:sz w:val="32"/>
        </w:rPr>
        <w:t>周密制定计划，认真抓好落实。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各有关单位要按照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县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政府统一部署，积极筹划，精心组织，加强宣传，认真制定具体工作方案，严格按照《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赞皇县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人民政府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关于在市场监管领域全面推行部门联合“双随机、一公开”监管的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实施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意见》要求，按时完成各项检查工作。</w:t>
      </w:r>
    </w:p>
    <w:p w14:paraId="1C2AF1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（三）落实“应联尽联”，提高检查效率。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牵头部门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的执法检查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负责组织协调管理，统一安排检查日程、检查方式，组织实施联合检查。其他检查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应各司其职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配合、服从安排，分工协作完成检查任务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实现“进一次门、查多项事”，避免多头执法、重复检查，减轻企业负担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。</w:t>
      </w:r>
    </w:p>
    <w:p w14:paraId="7E28EA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(四)寓监管于服务</w:t>
      </w:r>
      <w:r>
        <w:rPr>
          <w:rFonts w:hint="eastAsia" w:ascii="楷体" w:hAnsi="楷体" w:eastAsia="楷体" w:cs="楷体"/>
          <w:color w:val="222222"/>
          <w:spacing w:val="0"/>
          <w:w w:val="100"/>
          <w:sz w:val="32"/>
        </w:rPr>
        <w:t>，减轻企业负担。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在联合抽查工作中，各有关部门要注重服务与监管相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结合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，检查人员在监督检查工作中要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严格遵守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廉政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纪律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0D342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(</w:t>
      </w: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val="en-US" w:eastAsia="zh-CN"/>
        </w:rPr>
        <w:t>五</w:t>
      </w: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eastAsia="zh-CN"/>
        </w:rPr>
        <w:t>)按时公示结果，促进信用监管。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联合抽查工作要做好检查结果的公示，严格按照《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赞皇县2025年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“双随机、一公开”监管工作实施方案》的要求，及时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录入并公示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检查结果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。同时，对抽查中发现的问题依法依规处置，及时回填后续处理结果，形成完整闭环。</w:t>
      </w:r>
    </w:p>
    <w:p w14:paraId="415B97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pacing w:val="0"/>
          <w:w w:val="100"/>
          <w:sz w:val="32"/>
        </w:rPr>
      </w:pPr>
      <w:r>
        <w:rPr>
          <w:rFonts w:hint="eastAsia" w:ascii="楷体" w:hAnsi="楷体" w:eastAsia="楷体" w:cs="楷体"/>
          <w:color w:val="222222"/>
          <w:spacing w:val="0"/>
          <w:w w:val="100"/>
          <w:sz w:val="32"/>
          <w:lang w:val="en-US" w:eastAsia="zh-CN"/>
        </w:rPr>
        <w:t>(六)认真总结经验，定期反馈情况。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各有关部门要认真总结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联合抽查中的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经验做法及存在问题，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梳理汇总一至两个典型案例。工作总结、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统计表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和典型案例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于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10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日前汇总上报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和赞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皇县市场监督管理局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 xml:space="preserve">。                 </w:t>
      </w:r>
    </w:p>
    <w:p w14:paraId="665D6A46">
      <w:pPr>
        <w:pStyle w:val="12"/>
        <w:wordWrap/>
        <w:spacing w:line="560" w:lineRule="exact"/>
        <w:jc w:val="both"/>
        <w:textAlignment w:val="auto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244D9211">
      <w:pPr>
        <w:pStyle w:val="12"/>
        <w:ind w:left="0" w:leftChars="0" w:firstLine="0" w:firstLineChars="0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74A3F89B">
      <w:pPr>
        <w:pStyle w:val="12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12DC40A7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sectPr>
          <w:pgSz w:w="11906" w:h="16838"/>
          <w:pgMar w:top="1984" w:right="1587" w:bottom="1984" w:left="1587" w:header="851" w:footer="992" w:gutter="0"/>
          <w:pgNumType w:fmt="numberInDash"/>
          <w:cols w:space="720" w:num="1"/>
          <w:rtlGutter w:val="0"/>
          <w:docGrid w:type="lines" w:linePitch="443" w:charSpace="0"/>
        </w:sectPr>
      </w:pPr>
    </w:p>
    <w:p w14:paraId="224E2BBA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pacing w:val="-6"/>
          <w:sz w:val="44"/>
        </w:rPr>
      </w:pPr>
      <w:r>
        <w:rPr>
          <w:rFonts w:hint="eastAsia" w:ascii="宋体" w:hAnsi="宋体" w:cs="宋体"/>
          <w:b/>
          <w:bCs w:val="0"/>
          <w:spacing w:val="-6"/>
          <w:sz w:val="44"/>
          <w:lang w:val="en-US" w:eastAsia="zh-CN"/>
        </w:rPr>
        <w:t>赞皇县</w:t>
      </w:r>
      <w:r>
        <w:rPr>
          <w:rFonts w:hint="eastAsia" w:ascii="宋体" w:hAnsi="宋体" w:eastAsia="宋体" w:cs="宋体"/>
          <w:b/>
          <w:bCs w:val="0"/>
          <w:spacing w:val="-6"/>
          <w:sz w:val="44"/>
        </w:rPr>
        <w:t>202</w:t>
      </w:r>
      <w:r>
        <w:rPr>
          <w:rFonts w:hint="eastAsia" w:ascii="宋体" w:hAnsi="宋体" w:cs="宋体"/>
          <w:b/>
          <w:bCs w:val="0"/>
          <w:spacing w:val="-6"/>
          <w:sz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bCs w:val="0"/>
          <w:spacing w:val="-6"/>
          <w:sz w:val="44"/>
        </w:rPr>
        <w:t>年第</w:t>
      </w:r>
      <w:r>
        <w:rPr>
          <w:rFonts w:hint="eastAsia" w:ascii="宋体" w:hAnsi="宋体" w:cs="宋体"/>
          <w:b/>
          <w:bCs w:val="0"/>
          <w:spacing w:val="-6"/>
          <w:sz w:val="44"/>
          <w:lang w:val="en-US" w:eastAsia="zh-CN"/>
        </w:rPr>
        <w:t>三十二</w:t>
      </w:r>
      <w:r>
        <w:rPr>
          <w:rFonts w:hint="eastAsia" w:ascii="宋体" w:hAnsi="宋体" w:eastAsia="宋体" w:cs="宋体"/>
          <w:b/>
          <w:bCs w:val="0"/>
          <w:spacing w:val="-6"/>
          <w:sz w:val="44"/>
        </w:rPr>
        <w:t>次跨部门“双随机、一公开”</w:t>
      </w:r>
    </w:p>
    <w:p w14:paraId="1E77569E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pacing w:val="-6"/>
          <w:sz w:val="44"/>
        </w:rPr>
      </w:pPr>
      <w:r>
        <w:rPr>
          <w:rFonts w:hint="eastAsia" w:ascii="宋体" w:hAnsi="宋体" w:eastAsia="宋体" w:cs="宋体"/>
          <w:b/>
          <w:bCs w:val="0"/>
          <w:spacing w:val="-6"/>
          <w:sz w:val="44"/>
        </w:rPr>
        <w:t>联合抽查情况统计表</w:t>
      </w:r>
    </w:p>
    <w:p w14:paraId="389D8051">
      <w:pPr>
        <w:widowControl w:val="0"/>
        <w:wordWrap/>
        <w:adjustRightInd/>
        <w:snapToGrid/>
        <w:spacing w:before="0" w:after="0" w:line="560" w:lineRule="exact"/>
        <w:ind w:left="0" w:leftChars="0" w:right="0" w:firstLine="883" w:firstLineChars="200"/>
        <w:jc w:val="center"/>
        <w:textAlignment w:val="auto"/>
        <w:outlineLvl w:val="9"/>
        <w:rPr>
          <w:rFonts w:hint="eastAsia" w:ascii="宋体" w:hAnsi="宋体" w:eastAsia="宋体" w:cs="宋体"/>
          <w:b/>
          <w:sz w:val="44"/>
        </w:rPr>
      </w:pPr>
    </w:p>
    <w:tbl>
      <w:tblPr>
        <w:tblStyle w:val="10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4FA2B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4CBE0F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1C3B1F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20F262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BAB568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BEEA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C89F0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F8AFAA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770692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5AD5F1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039568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090DC0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E075E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D6F35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08F0AB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698EE5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7AE149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91AE0A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3A778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4847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E98D8A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500E0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2EF907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9B4EE6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11B49A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7D4785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6CC723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94F948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538177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BB1B6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C22F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F738A1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36D69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3A960F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023772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466670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ACD790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477BE4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266D39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B6FC85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BCCBC6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55DE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6BCD2C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238BA6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F92CA7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B1C2BD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6A5F3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1813F7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D205D5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A50F6D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1C7B9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57F9F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BB7B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4ADFDA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24F0C4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BCDE7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8E59B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24B558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602FF4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84E7C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2B6F0E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400D85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2E4013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07BB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4D189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1BAA1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7776F5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A0F459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7B7FE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AC9D11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050C6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E6063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14785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E229BB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1086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512439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3B681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ED3608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BD32F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D24038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5DF06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A4D302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1FC4F4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13DBC9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63DF4A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7387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9D8772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3F0158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5D6DD3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6C618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E8EE1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45267F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5C1415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6F5C5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2961DE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674746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232F2018"/>
    <w:p w14:paraId="613EA4CD">
      <w:pPr>
        <w:numPr>
          <w:ilvl w:val="0"/>
          <w:numId w:val="0"/>
        </w:numPr>
        <w:spacing w:line="560" w:lineRule="exact"/>
        <w:rPr>
          <w:rFonts w:hint="eastAsia" w:ascii="黑体" w:hAnsi="黑体" w:eastAsia="黑体" w:cs="Times New Roman"/>
          <w:sz w:val="32"/>
          <w:szCs w:val="32"/>
        </w:rPr>
      </w:pPr>
    </w:p>
    <w:sectPr>
      <w:headerReference r:id="rId5" w:type="default"/>
      <w:footerReference r:id="rId6" w:type="default"/>
      <w:pgSz w:w="16838" w:h="11906" w:orient="landscape"/>
      <w:pgMar w:top="1587" w:right="2098" w:bottom="1474" w:left="198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60B0B">
    <w:pPr>
      <w:pStyle w:val="8"/>
    </w:pPr>
    <w:bookmarkStart w:id="0" w:name="_GoBack"/>
    <w:bookmarkEnd w:id="0"/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D0F0E53"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ml5N0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D0F0E53"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A32A22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679F0E">
                          <w:pPr>
                            <w:pStyle w:val="8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679F0E">
                    <w:pPr>
                      <w:pStyle w:val="8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24582A">
    <w:pPr>
      <w:pStyle w:val="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58169A">
    <w:pPr>
      <w:pStyle w:val="9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1DA2E7F"/>
    <w:multiLevelType w:val="singleLevel"/>
    <w:tmpl w:val="C1DA2E7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111B48"/>
    <w:rsid w:val="027C3466"/>
    <w:rsid w:val="062A0642"/>
    <w:rsid w:val="0ADA025B"/>
    <w:rsid w:val="0CA10385"/>
    <w:rsid w:val="0D814CB6"/>
    <w:rsid w:val="0F7A7B04"/>
    <w:rsid w:val="0FA018B6"/>
    <w:rsid w:val="0FEF171B"/>
    <w:rsid w:val="12EF1A32"/>
    <w:rsid w:val="145F2E2A"/>
    <w:rsid w:val="14B7032D"/>
    <w:rsid w:val="16AD71B7"/>
    <w:rsid w:val="17A34B99"/>
    <w:rsid w:val="17FA6EAF"/>
    <w:rsid w:val="1F046865"/>
    <w:rsid w:val="21DD53B7"/>
    <w:rsid w:val="23DC049D"/>
    <w:rsid w:val="253357AE"/>
    <w:rsid w:val="25902EAB"/>
    <w:rsid w:val="28016AD8"/>
    <w:rsid w:val="2DA23BA6"/>
    <w:rsid w:val="2EFE32B1"/>
    <w:rsid w:val="33271FC0"/>
    <w:rsid w:val="37B02C8E"/>
    <w:rsid w:val="39A9208B"/>
    <w:rsid w:val="3C5F4C83"/>
    <w:rsid w:val="3F310B59"/>
    <w:rsid w:val="412C57DD"/>
    <w:rsid w:val="41AA5E81"/>
    <w:rsid w:val="444D5F8B"/>
    <w:rsid w:val="45681D20"/>
    <w:rsid w:val="4698367A"/>
    <w:rsid w:val="4AC50A6C"/>
    <w:rsid w:val="4C82117A"/>
    <w:rsid w:val="4E79476D"/>
    <w:rsid w:val="4F9C27CA"/>
    <w:rsid w:val="50911259"/>
    <w:rsid w:val="50A867A1"/>
    <w:rsid w:val="5249428D"/>
    <w:rsid w:val="58DB52C2"/>
    <w:rsid w:val="5EF7101F"/>
    <w:rsid w:val="65C37817"/>
    <w:rsid w:val="667E12AD"/>
    <w:rsid w:val="66D26364"/>
    <w:rsid w:val="671B58CC"/>
    <w:rsid w:val="69900CFD"/>
    <w:rsid w:val="6BDD679A"/>
    <w:rsid w:val="6C573990"/>
    <w:rsid w:val="6CE10E70"/>
    <w:rsid w:val="6E966750"/>
    <w:rsid w:val="6F4C361D"/>
    <w:rsid w:val="707F70C6"/>
    <w:rsid w:val="73C12A05"/>
    <w:rsid w:val="74B84955"/>
    <w:rsid w:val="76B766E9"/>
    <w:rsid w:val="79CE0777"/>
    <w:rsid w:val="7CBE7FE7"/>
    <w:rsid w:val="7F387467"/>
    <w:rsid w:val="7F5F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4"/>
    <w:basedOn w:val="1"/>
    <w:next w:val="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 w:cs="Times New Roman"/>
      <w:b/>
      <w:bCs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unhideWhenUsed/>
    <w:qFormat/>
    <w:uiPriority w:val="99"/>
    <w:pPr>
      <w:ind w:firstLine="420"/>
    </w:pPr>
  </w:style>
  <w:style w:type="paragraph" w:styleId="3">
    <w:name w:val="Body Text First Indent 2"/>
    <w:basedOn w:val="4"/>
    <w:next w:val="5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styleId="5">
    <w:name w:val="Body Text First Indent"/>
    <w:basedOn w:val="6"/>
    <w:next w:val="1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6">
    <w:name w:val="Body Text"/>
    <w:basedOn w:val="1"/>
    <w:next w:val="7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7">
    <w:name w:val="Title"/>
    <w:basedOn w:val="1"/>
    <w:next w:val="1"/>
    <w:qFormat/>
    <w:uiPriority w:val="1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  <w:lang w:val="en-US" w:eastAsia="zh-CN" w:bidi="ar-SA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12">
    <w:name w:val="Body Text First Indent 21"/>
    <w:basedOn w:val="13"/>
    <w:next w:val="14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3">
    <w:name w:val="Body Text Indent1"/>
    <w:basedOn w:val="1"/>
    <w:qFormat/>
    <w:uiPriority w:val="0"/>
    <w:pPr>
      <w:spacing w:after="120"/>
      <w:ind w:left="420" w:leftChars="200"/>
    </w:pPr>
  </w:style>
  <w:style w:type="paragraph" w:customStyle="1" w:styleId="14">
    <w:name w:val="Body Text First Indent"/>
    <w:basedOn w:val="6"/>
    <w:next w:val="1"/>
    <w:qFormat/>
    <w:uiPriority w:val="0"/>
    <w:pPr>
      <w:spacing w:line="500" w:lineRule="exact"/>
      <w:ind w:firstLine="420"/>
    </w:pPr>
    <w:rPr>
      <w:rFonts w:eastAsia="宋体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4089</Words>
  <Characters>4156</Characters>
  <Lines>0</Lines>
  <Paragraphs>0</Paragraphs>
  <TotalTime>4</TotalTime>
  <ScaleCrop>false</ScaleCrop>
  <LinksUpToDate>false</LinksUpToDate>
  <CharactersWithSpaces>4224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2025-08-19T01:55:00Z</dcterms:created>
  <dc:creator>Administrator</dc:creator>
  <cp:lastModifiedBy>zz</cp:lastModifiedBy>
  <cp:lastPrinted>2025-10-15T05:38:15Z</cp:lastPrinted>
  <dcterms:modified xsi:type="dcterms:W3CDTF">2025-10-15T05:39:23Z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eyJoZGlkIjoiMzBhY2MyYTIxMWNmOGFjNTkyN2M5ZDk4OThmZTQ2NmUiLCJ1c2VySWQiOiIxMzYxNTQ1NzE4In0=</vt:lpwstr>
  </property>
  <property fmtid="{D5CDD505-2E9C-101B-9397-08002B2CF9AE}" pid="4" name="ICV">
    <vt:lpwstr>05344E21E58E4821AAC0C23E58067C52_13</vt:lpwstr>
  </property>
</Properties>
</file>