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AF50F46">
      <w:pPr>
        <w:keepNext w:val="0"/>
        <w:keepLines w:val="0"/>
        <w:pageBreakBefore w:val="0"/>
        <w:widowControl w:val="0"/>
        <w:kinsoku/>
        <w:wordWrap/>
        <w:overflowPunct/>
        <w:topLinePunct w:val="0"/>
        <w:autoSpaceDE/>
        <w:autoSpaceDN/>
        <w:bidi w:val="0"/>
        <w:adjustRightInd/>
        <w:snapToGrid/>
        <w:spacing w:line="570" w:lineRule="exact"/>
        <w:jc w:val="center"/>
        <w:textAlignment w:val="auto"/>
        <w:rPr>
          <w:rFonts w:hint="eastAsia" w:ascii="方正小标宋简体" w:hAnsi="方正小标宋简体" w:eastAsia="方正小标宋简体" w:cs="方正小标宋简体"/>
          <w:sz w:val="44"/>
          <w:szCs w:val="44"/>
          <w:lang w:val="en-US" w:eastAsia="zh-CN"/>
        </w:rPr>
      </w:pPr>
    </w:p>
    <w:p w14:paraId="2DC39235">
      <w:pPr>
        <w:keepNext w:val="0"/>
        <w:keepLines w:val="0"/>
        <w:pageBreakBefore w:val="0"/>
        <w:widowControl w:val="0"/>
        <w:kinsoku/>
        <w:wordWrap/>
        <w:overflowPunct/>
        <w:topLinePunct w:val="0"/>
        <w:autoSpaceDE/>
        <w:autoSpaceDN/>
        <w:bidi w:val="0"/>
        <w:adjustRightInd/>
        <w:snapToGrid/>
        <w:spacing w:beforeAutospacing="0" w:line="570" w:lineRule="exact"/>
        <w:ind w:right="0" w:rightChars="0"/>
        <w:jc w:val="center"/>
        <w:textAlignment w:val="auto"/>
        <w:outlineLvl w:val="9"/>
        <w:rPr>
          <w:rFonts w:hint="eastAsia" w:ascii="仿宋_GB2312" w:hAnsi="仿宋_GB2312" w:eastAsia="仿宋_GB2312" w:cs="仿宋_GB2312"/>
          <w:b w:val="0"/>
          <w:bCs w:val="0"/>
          <w:sz w:val="32"/>
          <w:szCs w:val="32"/>
          <w:u w:val="none"/>
          <w:lang w:eastAsia="zh-CN"/>
        </w:rPr>
      </w:pPr>
    </w:p>
    <w:p w14:paraId="6810840E">
      <w:pPr>
        <w:keepNext w:val="0"/>
        <w:keepLines w:val="0"/>
        <w:pageBreakBefore w:val="0"/>
        <w:widowControl w:val="0"/>
        <w:kinsoku/>
        <w:wordWrap/>
        <w:overflowPunct/>
        <w:topLinePunct w:val="0"/>
        <w:autoSpaceDE/>
        <w:autoSpaceDN/>
        <w:bidi w:val="0"/>
        <w:adjustRightInd/>
        <w:snapToGrid/>
        <w:spacing w:beforeAutospacing="0" w:line="570" w:lineRule="exact"/>
        <w:ind w:right="0" w:rightChars="0"/>
        <w:jc w:val="center"/>
        <w:textAlignment w:val="auto"/>
        <w:outlineLvl w:val="9"/>
        <w:rPr>
          <w:rFonts w:hint="eastAsia" w:ascii="仿宋_GB2312" w:hAnsi="仿宋_GB2312" w:eastAsia="仿宋_GB2312" w:cs="仿宋_GB2312"/>
          <w:b w:val="0"/>
          <w:bCs w:val="0"/>
          <w:sz w:val="32"/>
          <w:szCs w:val="32"/>
          <w:u w:val="none"/>
          <w:lang w:eastAsia="zh-CN"/>
        </w:rPr>
      </w:pPr>
    </w:p>
    <w:p w14:paraId="1F397959">
      <w:pPr>
        <w:keepNext w:val="0"/>
        <w:keepLines w:val="0"/>
        <w:pageBreakBefore w:val="0"/>
        <w:widowControl w:val="0"/>
        <w:kinsoku/>
        <w:wordWrap/>
        <w:overflowPunct/>
        <w:topLinePunct w:val="0"/>
        <w:autoSpaceDE/>
        <w:autoSpaceDN/>
        <w:bidi w:val="0"/>
        <w:adjustRightInd/>
        <w:snapToGrid/>
        <w:spacing w:beforeAutospacing="0" w:line="570" w:lineRule="exact"/>
        <w:ind w:right="0" w:rightChars="0"/>
        <w:jc w:val="center"/>
        <w:textAlignment w:val="auto"/>
        <w:outlineLvl w:val="9"/>
        <w:rPr>
          <w:rFonts w:hint="eastAsia" w:ascii="仿宋_GB2312" w:hAnsi="仿宋_GB2312" w:eastAsia="仿宋_GB2312" w:cs="仿宋_GB2312"/>
          <w:b w:val="0"/>
          <w:bCs w:val="0"/>
          <w:sz w:val="32"/>
          <w:szCs w:val="32"/>
          <w:u w:val="none"/>
          <w:lang w:eastAsia="zh-CN"/>
        </w:rPr>
      </w:pPr>
    </w:p>
    <w:p w14:paraId="0499D001">
      <w:pPr>
        <w:keepNext w:val="0"/>
        <w:keepLines w:val="0"/>
        <w:pageBreakBefore w:val="0"/>
        <w:widowControl w:val="0"/>
        <w:kinsoku/>
        <w:wordWrap/>
        <w:overflowPunct/>
        <w:topLinePunct w:val="0"/>
        <w:autoSpaceDE/>
        <w:autoSpaceDN/>
        <w:bidi w:val="0"/>
        <w:adjustRightInd/>
        <w:snapToGrid/>
        <w:spacing w:beforeAutospacing="0" w:line="570" w:lineRule="exact"/>
        <w:ind w:right="0" w:rightChars="0"/>
        <w:jc w:val="center"/>
        <w:textAlignment w:val="auto"/>
        <w:outlineLvl w:val="9"/>
        <w:rPr>
          <w:rFonts w:hint="eastAsia" w:ascii="仿宋_GB2312" w:hAnsi="仿宋_GB2312" w:eastAsia="仿宋_GB2312" w:cs="仿宋_GB2312"/>
          <w:b w:val="0"/>
          <w:bCs w:val="0"/>
          <w:sz w:val="32"/>
          <w:szCs w:val="32"/>
          <w:u w:val="none"/>
          <w:lang w:eastAsia="zh-CN"/>
        </w:rPr>
      </w:pPr>
    </w:p>
    <w:p w14:paraId="350327D7">
      <w:pPr>
        <w:keepNext w:val="0"/>
        <w:keepLines w:val="0"/>
        <w:pageBreakBefore w:val="0"/>
        <w:widowControl w:val="0"/>
        <w:kinsoku/>
        <w:wordWrap/>
        <w:overflowPunct/>
        <w:topLinePunct w:val="0"/>
        <w:autoSpaceDE/>
        <w:autoSpaceDN/>
        <w:bidi w:val="0"/>
        <w:adjustRightInd/>
        <w:snapToGrid/>
        <w:spacing w:beforeAutospacing="0" w:line="570" w:lineRule="exact"/>
        <w:ind w:right="0" w:rightChars="0"/>
        <w:jc w:val="center"/>
        <w:textAlignment w:val="auto"/>
        <w:outlineLvl w:val="9"/>
        <w:rPr>
          <w:rFonts w:hint="eastAsia" w:ascii="仿宋_GB2312" w:hAnsi="仿宋_GB2312" w:eastAsia="仿宋_GB2312" w:cs="仿宋_GB2312"/>
          <w:b w:val="0"/>
          <w:bCs w:val="0"/>
          <w:sz w:val="32"/>
          <w:szCs w:val="32"/>
          <w:u w:val="none"/>
          <w:lang w:eastAsia="zh-CN"/>
        </w:rPr>
      </w:pPr>
    </w:p>
    <w:p w14:paraId="7EBB6C42">
      <w:pPr>
        <w:keepNext w:val="0"/>
        <w:keepLines w:val="0"/>
        <w:pageBreakBefore w:val="0"/>
        <w:widowControl w:val="0"/>
        <w:kinsoku/>
        <w:wordWrap/>
        <w:overflowPunct/>
        <w:topLinePunct w:val="0"/>
        <w:autoSpaceDE/>
        <w:autoSpaceDN/>
        <w:bidi w:val="0"/>
        <w:adjustRightInd/>
        <w:snapToGrid/>
        <w:spacing w:beforeAutospacing="0" w:line="570" w:lineRule="exact"/>
        <w:ind w:right="0" w:rightChars="0"/>
        <w:jc w:val="center"/>
        <w:textAlignment w:val="auto"/>
        <w:outlineLvl w:val="9"/>
        <w:rPr>
          <w:rFonts w:hint="eastAsia" w:ascii="仿宋_GB2312" w:hAnsi="仿宋_GB2312" w:eastAsia="仿宋_GB2312" w:cs="仿宋_GB2312"/>
          <w:b w:val="0"/>
          <w:bCs w:val="0"/>
          <w:sz w:val="32"/>
          <w:szCs w:val="32"/>
          <w:u w:val="none"/>
          <w:lang w:val="en-US" w:eastAsia="zh-CN"/>
        </w:rPr>
      </w:pPr>
      <w:r>
        <w:rPr>
          <w:rFonts w:hint="eastAsia" w:ascii="仿宋_GB2312" w:hAnsi="仿宋_GB2312" w:eastAsia="仿宋_GB2312" w:cs="仿宋_GB2312"/>
          <w:b w:val="0"/>
          <w:bCs w:val="0"/>
          <w:sz w:val="32"/>
          <w:szCs w:val="32"/>
          <w:u w:val="none"/>
          <w:lang w:eastAsia="zh-CN"/>
        </w:rPr>
        <w:t>赞资源和规划〔</w:t>
      </w:r>
      <w:r>
        <w:rPr>
          <w:rFonts w:hint="eastAsia" w:ascii="仿宋_GB2312" w:hAnsi="仿宋_GB2312" w:eastAsia="仿宋_GB2312" w:cs="仿宋_GB2312"/>
          <w:b w:val="0"/>
          <w:bCs w:val="0"/>
          <w:sz w:val="32"/>
          <w:szCs w:val="32"/>
          <w:u w:val="none"/>
          <w:lang w:val="en-US" w:eastAsia="zh-CN"/>
        </w:rPr>
        <w:t>2025</w:t>
      </w:r>
      <w:r>
        <w:rPr>
          <w:rFonts w:hint="eastAsia" w:ascii="仿宋_GB2312" w:hAnsi="仿宋_GB2312" w:eastAsia="仿宋_GB2312" w:cs="仿宋_GB2312"/>
          <w:b w:val="0"/>
          <w:bCs w:val="0"/>
          <w:sz w:val="32"/>
          <w:szCs w:val="32"/>
          <w:u w:val="none"/>
          <w:lang w:eastAsia="zh-CN"/>
        </w:rPr>
        <w:t>〕</w:t>
      </w:r>
      <w:r>
        <w:rPr>
          <w:rFonts w:hint="eastAsia" w:ascii="仿宋_GB2312" w:hAnsi="仿宋_GB2312" w:eastAsia="仿宋_GB2312" w:cs="仿宋_GB2312"/>
          <w:b w:val="0"/>
          <w:bCs w:val="0"/>
          <w:sz w:val="32"/>
          <w:szCs w:val="32"/>
          <w:u w:val="none"/>
          <w:lang w:val="en-US" w:eastAsia="zh-CN"/>
        </w:rPr>
        <w:t>10号</w:t>
      </w:r>
    </w:p>
    <w:p w14:paraId="20D32FF2">
      <w:pPr>
        <w:keepNext w:val="0"/>
        <w:keepLines w:val="0"/>
        <w:pageBreakBefore w:val="0"/>
        <w:widowControl w:val="0"/>
        <w:kinsoku/>
        <w:wordWrap/>
        <w:overflowPunct/>
        <w:topLinePunct w:val="0"/>
        <w:autoSpaceDE/>
        <w:autoSpaceDN/>
        <w:bidi w:val="0"/>
        <w:adjustRightInd/>
        <w:snapToGrid/>
        <w:spacing w:beforeAutospacing="0" w:line="570" w:lineRule="exact"/>
        <w:ind w:right="0" w:rightChars="0"/>
        <w:jc w:val="both"/>
        <w:textAlignment w:val="auto"/>
        <w:outlineLvl w:val="9"/>
        <w:rPr>
          <w:rFonts w:hint="eastAsia" w:ascii="方正小标宋简体" w:hAnsi="方正小标宋简体" w:eastAsia="方正小标宋简体" w:cs="方正小标宋简体"/>
          <w:b w:val="0"/>
          <w:bCs w:val="0"/>
          <w:sz w:val="44"/>
          <w:szCs w:val="44"/>
          <w:u w:val="none"/>
          <w:lang w:eastAsia="zh-CN"/>
        </w:rPr>
      </w:pPr>
    </w:p>
    <w:p w14:paraId="4EF3480F">
      <w:pPr>
        <w:keepNext w:val="0"/>
        <w:keepLines w:val="0"/>
        <w:pageBreakBefore w:val="0"/>
        <w:widowControl w:val="0"/>
        <w:kinsoku/>
        <w:wordWrap/>
        <w:overflowPunct/>
        <w:topLinePunct w:val="0"/>
        <w:autoSpaceDE/>
        <w:autoSpaceDN/>
        <w:bidi w:val="0"/>
        <w:adjustRightInd/>
        <w:snapToGrid/>
        <w:spacing w:beforeAutospacing="0" w:line="570" w:lineRule="exact"/>
        <w:ind w:right="0" w:rightChars="0"/>
        <w:jc w:val="both"/>
        <w:textAlignment w:val="auto"/>
        <w:outlineLvl w:val="9"/>
        <w:rPr>
          <w:rFonts w:hint="eastAsia" w:ascii="方正小标宋简体" w:hAnsi="方正小标宋简体" w:eastAsia="方正小标宋简体" w:cs="方正小标宋简体"/>
          <w:b w:val="0"/>
          <w:bCs w:val="0"/>
          <w:sz w:val="44"/>
          <w:szCs w:val="44"/>
          <w:u w:val="none"/>
          <w:lang w:eastAsia="zh-CN"/>
        </w:rPr>
      </w:pPr>
    </w:p>
    <w:p w14:paraId="6DC5ECED">
      <w:pPr>
        <w:jc w:val="center"/>
        <w:rPr>
          <w:rFonts w:hint="eastAsia" w:ascii="方正小标宋简体" w:hAnsi="方正小标宋简体" w:eastAsia="方正小标宋简体" w:cs="黑体"/>
          <w:sz w:val="44"/>
          <w:szCs w:val="44"/>
          <w:lang w:val="en-US" w:eastAsia="zh-CN"/>
        </w:rPr>
      </w:pPr>
      <w:r>
        <w:rPr>
          <w:rFonts w:hint="eastAsia" w:ascii="方正小标宋简体" w:hAnsi="方正小标宋简体" w:eastAsia="方正小标宋简体" w:cs="黑体"/>
          <w:sz w:val="44"/>
          <w:szCs w:val="44"/>
        </w:rPr>
        <w:t>关于印发《</w:t>
      </w:r>
      <w:r>
        <w:rPr>
          <w:rFonts w:hint="eastAsia" w:ascii="方正小标宋简体" w:hAnsi="方正小标宋简体" w:eastAsia="方正小标宋简体" w:cs="黑体"/>
          <w:sz w:val="44"/>
          <w:szCs w:val="44"/>
          <w:lang w:val="en-US" w:eastAsia="zh-CN"/>
        </w:rPr>
        <w:t>赞皇县自然资源和规划局2025年</w:t>
      </w:r>
    </w:p>
    <w:p w14:paraId="72A9FDCF">
      <w:pPr>
        <w:jc w:val="center"/>
        <w:rPr>
          <w:rFonts w:hint="eastAsia" w:ascii="方正小标宋简体" w:hAnsi="方正小标宋简体" w:eastAsia="方正小标宋简体" w:cs="黑体"/>
          <w:sz w:val="44"/>
          <w:szCs w:val="44"/>
        </w:rPr>
      </w:pPr>
      <w:r>
        <w:rPr>
          <w:rFonts w:hint="eastAsia" w:ascii="方正小标宋简体" w:hAnsi="方正小标宋简体" w:eastAsia="方正小标宋简体" w:cs="黑体"/>
          <w:sz w:val="44"/>
          <w:szCs w:val="44"/>
          <w:lang w:val="en-US" w:eastAsia="zh-CN"/>
        </w:rPr>
        <w:t>“双随机、一公开”监管工作实施方案</w:t>
      </w:r>
      <w:r>
        <w:rPr>
          <w:rFonts w:hint="eastAsia" w:ascii="方正小标宋简体" w:hAnsi="方正小标宋简体" w:eastAsia="方正小标宋简体" w:cs="黑体"/>
          <w:sz w:val="44"/>
          <w:szCs w:val="44"/>
        </w:rPr>
        <w:t>》的</w:t>
      </w:r>
    </w:p>
    <w:p w14:paraId="501DD86E">
      <w:pPr>
        <w:jc w:val="center"/>
        <w:rPr>
          <w:rFonts w:hint="eastAsia" w:ascii="方正小标宋简体" w:hAnsi="方正小标宋简体" w:eastAsia="方正小标宋简体" w:cs="黑体"/>
          <w:sz w:val="44"/>
          <w:szCs w:val="44"/>
        </w:rPr>
      </w:pPr>
      <w:r>
        <w:rPr>
          <w:rFonts w:hint="eastAsia" w:ascii="方正小标宋简体" w:hAnsi="方正小标宋简体" w:eastAsia="方正小标宋简体" w:cs="黑体"/>
          <w:sz w:val="44"/>
          <w:szCs w:val="44"/>
        </w:rPr>
        <w:t>通</w:t>
      </w:r>
      <w:r>
        <w:rPr>
          <w:rFonts w:hint="eastAsia" w:ascii="方正小标宋简体" w:hAnsi="方正小标宋简体" w:eastAsia="方正小标宋简体" w:cs="黑体"/>
          <w:sz w:val="44"/>
          <w:szCs w:val="44"/>
          <w:lang w:val="en-US" w:eastAsia="zh-CN"/>
        </w:rPr>
        <w:t xml:space="preserve"> </w:t>
      </w:r>
      <w:r>
        <w:rPr>
          <w:rFonts w:hint="eastAsia" w:ascii="方正小标宋简体" w:hAnsi="方正小标宋简体" w:eastAsia="方正小标宋简体" w:cs="黑体"/>
          <w:sz w:val="44"/>
          <w:szCs w:val="44"/>
        </w:rPr>
        <w:t>知</w:t>
      </w:r>
    </w:p>
    <w:p w14:paraId="7AC958D7">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仿宋_GB2312" w:eastAsia="仿宋_GB2312"/>
          <w:sz w:val="32"/>
          <w:szCs w:val="32"/>
        </w:rPr>
      </w:pPr>
    </w:p>
    <w:p w14:paraId="04964161">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楷体" w:hAnsi="楷体" w:eastAsia="楷体" w:cs="楷体"/>
          <w:color w:val="000000"/>
          <w:sz w:val="32"/>
          <w:szCs w:val="32"/>
          <w:lang w:eastAsia="zh-CN"/>
        </w:rPr>
      </w:pPr>
      <w:r>
        <w:rPr>
          <w:rFonts w:hint="eastAsia" w:ascii="楷体" w:hAnsi="楷体" w:eastAsia="楷体" w:cs="楷体"/>
          <w:color w:val="000000"/>
          <w:sz w:val="32"/>
          <w:szCs w:val="32"/>
        </w:rPr>
        <w:t>各有关</w:t>
      </w:r>
      <w:r>
        <w:rPr>
          <w:rFonts w:hint="eastAsia" w:ascii="楷体" w:hAnsi="楷体" w:eastAsia="楷体" w:cs="楷体"/>
          <w:color w:val="000000"/>
          <w:sz w:val="32"/>
          <w:szCs w:val="32"/>
          <w:lang w:val="en-US" w:eastAsia="zh-CN"/>
        </w:rPr>
        <w:t>股</w:t>
      </w:r>
      <w:r>
        <w:rPr>
          <w:rFonts w:hint="eastAsia" w:ascii="楷体" w:hAnsi="楷体" w:eastAsia="楷体" w:cs="楷体"/>
          <w:color w:val="000000"/>
          <w:sz w:val="32"/>
          <w:szCs w:val="32"/>
          <w:lang w:eastAsia="zh-CN"/>
        </w:rPr>
        <w:t>、</w:t>
      </w:r>
      <w:r>
        <w:rPr>
          <w:rFonts w:hint="eastAsia" w:ascii="楷体" w:hAnsi="楷体" w:eastAsia="楷体" w:cs="楷体"/>
          <w:color w:val="000000"/>
          <w:sz w:val="32"/>
          <w:szCs w:val="32"/>
          <w:lang w:val="en-US" w:eastAsia="zh-CN"/>
        </w:rPr>
        <w:t>事业单位</w:t>
      </w:r>
      <w:r>
        <w:rPr>
          <w:rFonts w:hint="eastAsia" w:ascii="楷体" w:hAnsi="楷体" w:eastAsia="楷体" w:cs="楷体"/>
          <w:color w:val="000000"/>
          <w:sz w:val="32"/>
          <w:szCs w:val="32"/>
        </w:rPr>
        <w:t>：</w:t>
      </w:r>
    </w:p>
    <w:p w14:paraId="00192BEF">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lang w:val="en-US" w:eastAsia="zh-CN"/>
        </w:rPr>
        <w:t>现将</w:t>
      </w:r>
      <w:r>
        <w:rPr>
          <w:rFonts w:hint="eastAsia" w:ascii="仿宋" w:hAnsi="仿宋" w:eastAsia="仿宋" w:cs="仿宋"/>
          <w:sz w:val="32"/>
          <w:szCs w:val="32"/>
        </w:rPr>
        <w:t>《</w:t>
      </w:r>
      <w:r>
        <w:rPr>
          <w:rFonts w:hint="eastAsia" w:ascii="仿宋" w:hAnsi="仿宋" w:eastAsia="仿宋" w:cs="仿宋"/>
          <w:sz w:val="32"/>
          <w:szCs w:val="32"/>
          <w:lang w:val="en-US" w:eastAsia="zh-CN"/>
        </w:rPr>
        <w:t>赞皇县自然资源和规划局2025</w:t>
      </w:r>
      <w:r>
        <w:rPr>
          <w:rFonts w:hint="eastAsia" w:ascii="仿宋" w:hAnsi="仿宋" w:eastAsia="仿宋" w:cs="仿宋"/>
          <w:sz w:val="32"/>
          <w:szCs w:val="32"/>
        </w:rPr>
        <w:t>年</w:t>
      </w:r>
      <w:r>
        <w:rPr>
          <w:rFonts w:hint="eastAsia" w:ascii="仿宋" w:hAnsi="仿宋" w:eastAsia="仿宋" w:cs="仿宋"/>
          <w:sz w:val="32"/>
          <w:szCs w:val="32"/>
          <w:lang w:val="en-US" w:eastAsia="zh-CN"/>
        </w:rPr>
        <w:t>“双随机、一公开”监管工作实施方案</w:t>
      </w:r>
      <w:r>
        <w:rPr>
          <w:rFonts w:hint="eastAsia" w:ascii="仿宋" w:hAnsi="仿宋" w:eastAsia="仿宋" w:cs="仿宋"/>
          <w:sz w:val="32"/>
          <w:szCs w:val="32"/>
        </w:rPr>
        <w:t>》印发给你们，请各单位高度重视，结合工作实际，认真贯彻落实。</w:t>
      </w:r>
    </w:p>
    <w:p w14:paraId="69658317">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 w:hAnsi="仿宋" w:eastAsia="仿宋" w:cs="仿宋"/>
          <w:sz w:val="32"/>
          <w:szCs w:val="32"/>
        </w:rPr>
      </w:pPr>
    </w:p>
    <w:p w14:paraId="5AD425B7">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sz w:val="32"/>
          <w:szCs w:val="32"/>
          <w:lang w:val="en-US" w:eastAsia="zh-CN"/>
        </w:rPr>
      </w:pPr>
      <w:r>
        <w:rPr>
          <w:rFonts w:hint="eastAsia" w:ascii="仿宋" w:hAnsi="仿宋" w:eastAsia="仿宋" w:cs="仿宋"/>
          <w:sz w:val="32"/>
          <w:szCs w:val="32"/>
        </w:rPr>
        <w:t>附件</w:t>
      </w: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赞皇县自然资源和规划局</w:t>
      </w:r>
      <w:r>
        <w:rPr>
          <w:rFonts w:hint="eastAsia" w:ascii="仿宋" w:hAnsi="仿宋" w:eastAsia="仿宋" w:cs="仿宋"/>
          <w:sz w:val="32"/>
          <w:szCs w:val="32"/>
        </w:rPr>
        <w:t>20</w:t>
      </w:r>
      <w:r>
        <w:rPr>
          <w:rFonts w:hint="eastAsia" w:ascii="仿宋" w:hAnsi="仿宋" w:eastAsia="仿宋" w:cs="仿宋"/>
          <w:sz w:val="32"/>
          <w:szCs w:val="32"/>
          <w:lang w:val="en-US" w:eastAsia="zh-CN"/>
        </w:rPr>
        <w:t>25</w:t>
      </w:r>
      <w:r>
        <w:rPr>
          <w:rFonts w:hint="eastAsia" w:ascii="仿宋" w:hAnsi="仿宋" w:eastAsia="仿宋" w:cs="仿宋"/>
          <w:sz w:val="32"/>
          <w:szCs w:val="32"/>
        </w:rPr>
        <w:t>年</w:t>
      </w:r>
      <w:r>
        <w:rPr>
          <w:rFonts w:hint="eastAsia" w:ascii="仿宋" w:hAnsi="仿宋" w:eastAsia="仿宋" w:cs="仿宋"/>
          <w:sz w:val="32"/>
          <w:szCs w:val="32"/>
          <w:lang w:val="en-US" w:eastAsia="zh-CN"/>
        </w:rPr>
        <w:t>“双随机、一公开”监管工作实施方案</w:t>
      </w:r>
    </w:p>
    <w:p w14:paraId="49EBD93F">
      <w:pPr>
        <w:keepNext w:val="0"/>
        <w:keepLines w:val="0"/>
        <w:pageBreakBefore w:val="0"/>
        <w:widowControl w:val="0"/>
        <w:kinsoku/>
        <w:wordWrap/>
        <w:overflowPunct/>
        <w:topLinePunct w:val="0"/>
        <w:autoSpaceDE/>
        <w:autoSpaceDN/>
        <w:bidi w:val="0"/>
        <w:adjustRightInd/>
        <w:snapToGrid/>
        <w:spacing w:line="560" w:lineRule="exact"/>
        <w:ind w:left="3780" w:firstLine="420"/>
        <w:jc w:val="center"/>
        <w:textAlignment w:val="auto"/>
        <w:rPr>
          <w:rFonts w:hint="eastAsia" w:ascii="仿宋" w:hAnsi="仿宋" w:eastAsia="仿宋" w:cs="仿宋"/>
          <w:sz w:val="32"/>
          <w:szCs w:val="32"/>
        </w:rPr>
      </w:pPr>
    </w:p>
    <w:p w14:paraId="7C1A3A00">
      <w:pPr>
        <w:keepNext w:val="0"/>
        <w:keepLines w:val="0"/>
        <w:pageBreakBefore w:val="0"/>
        <w:widowControl w:val="0"/>
        <w:kinsoku/>
        <w:wordWrap/>
        <w:overflowPunct/>
        <w:topLinePunct w:val="0"/>
        <w:autoSpaceDE/>
        <w:autoSpaceDN/>
        <w:bidi w:val="0"/>
        <w:adjustRightInd/>
        <w:snapToGrid/>
        <w:spacing w:line="560" w:lineRule="exact"/>
        <w:ind w:left="3780" w:firstLine="420"/>
        <w:jc w:val="center"/>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赞皇县自然资源和规划局</w:t>
      </w:r>
    </w:p>
    <w:p w14:paraId="590DC98C">
      <w:pPr>
        <w:keepNext w:val="0"/>
        <w:keepLines w:val="0"/>
        <w:pageBreakBefore w:val="0"/>
        <w:widowControl w:val="0"/>
        <w:kinsoku/>
        <w:wordWrap/>
        <w:overflowPunct/>
        <w:topLinePunct w:val="0"/>
        <w:autoSpaceDE/>
        <w:autoSpaceDN/>
        <w:bidi w:val="0"/>
        <w:adjustRightInd/>
        <w:snapToGrid/>
        <w:spacing w:line="560" w:lineRule="exact"/>
        <w:ind w:left="3780" w:firstLine="420"/>
        <w:jc w:val="center"/>
        <w:textAlignment w:val="auto"/>
        <w:rPr>
          <w:rFonts w:hint="eastAsia" w:ascii="仿宋" w:hAnsi="仿宋" w:eastAsia="仿宋" w:cs="仿宋"/>
          <w:color w:val="000000"/>
          <w:sz w:val="32"/>
          <w:szCs w:val="32"/>
        </w:rPr>
        <w:sectPr>
          <w:footerReference r:id="rId3" w:type="default"/>
          <w:pgSz w:w="11910" w:h="16840"/>
          <w:pgMar w:top="1500" w:right="1200" w:bottom="1280" w:left="1440" w:header="0" w:footer="1094" w:gutter="0"/>
          <w:pgNumType w:fmt="decimal"/>
          <w:cols w:space="720" w:num="1"/>
        </w:sectPr>
      </w:pPr>
      <w:r>
        <w:rPr>
          <w:rFonts w:hint="eastAsia" w:ascii="仿宋" w:hAnsi="仿宋" w:eastAsia="仿宋" w:cs="仿宋"/>
          <w:sz w:val="32"/>
          <w:szCs w:val="32"/>
        </w:rPr>
        <w:t xml:space="preserve">    </w:t>
      </w:r>
      <w:r>
        <w:rPr>
          <w:rFonts w:hint="eastAsia" w:ascii="仿宋" w:hAnsi="仿宋" w:eastAsia="仿宋" w:cs="仿宋"/>
          <w:color w:val="000000"/>
          <w:sz w:val="32"/>
          <w:szCs w:val="32"/>
        </w:rPr>
        <w:t>20</w:t>
      </w:r>
      <w:r>
        <w:rPr>
          <w:rFonts w:hint="eastAsia" w:ascii="仿宋" w:hAnsi="仿宋" w:eastAsia="仿宋" w:cs="仿宋"/>
          <w:color w:val="000000"/>
          <w:sz w:val="32"/>
          <w:szCs w:val="32"/>
          <w:lang w:val="en-US" w:eastAsia="zh-CN"/>
        </w:rPr>
        <w:t>25</w:t>
      </w:r>
      <w:r>
        <w:rPr>
          <w:rFonts w:hint="eastAsia" w:ascii="仿宋" w:hAnsi="仿宋" w:eastAsia="仿宋" w:cs="仿宋"/>
          <w:color w:val="000000"/>
          <w:sz w:val="32"/>
          <w:szCs w:val="32"/>
        </w:rPr>
        <w:t>年</w:t>
      </w:r>
      <w:r>
        <w:rPr>
          <w:rFonts w:hint="eastAsia" w:ascii="仿宋" w:hAnsi="仿宋" w:eastAsia="仿宋" w:cs="仿宋"/>
          <w:color w:val="000000"/>
          <w:sz w:val="32"/>
          <w:szCs w:val="32"/>
          <w:lang w:val="en-US" w:eastAsia="zh-CN"/>
        </w:rPr>
        <w:t>10</w:t>
      </w:r>
      <w:r>
        <w:rPr>
          <w:rFonts w:hint="eastAsia" w:ascii="仿宋" w:hAnsi="仿宋" w:eastAsia="仿宋" w:cs="仿宋"/>
          <w:color w:val="000000"/>
          <w:sz w:val="32"/>
          <w:szCs w:val="32"/>
        </w:rPr>
        <w:t>月</w:t>
      </w:r>
      <w:r>
        <w:rPr>
          <w:rFonts w:hint="eastAsia" w:ascii="仿宋" w:hAnsi="仿宋" w:eastAsia="仿宋" w:cs="仿宋"/>
          <w:color w:val="000000"/>
          <w:sz w:val="32"/>
          <w:szCs w:val="32"/>
          <w:lang w:val="en-US" w:eastAsia="zh-CN"/>
        </w:rPr>
        <w:t>15</w:t>
      </w:r>
      <w:r>
        <w:rPr>
          <w:rFonts w:hint="eastAsia" w:ascii="仿宋" w:hAnsi="仿宋" w:eastAsia="仿宋" w:cs="仿宋"/>
          <w:color w:val="000000"/>
          <w:sz w:val="32"/>
          <w:szCs w:val="32"/>
        </w:rPr>
        <w:t>日</w:t>
      </w:r>
    </w:p>
    <w:p w14:paraId="19DA5A65">
      <w:pPr>
        <w:pStyle w:val="2"/>
        <w:rPr>
          <w:rFonts w:hint="default" w:ascii="仿宋_GB2312" w:hAnsi="仿宋_GB2312" w:eastAsia="仿宋_GB2312" w:cs="仿宋_GB2312"/>
          <w:sz w:val="32"/>
          <w:szCs w:val="32"/>
          <w:lang w:val="en-US" w:eastAsia="zh-CN"/>
        </w:rPr>
        <w:sectPr>
          <w:pgSz w:w="11910" w:h="16840"/>
          <w:pgMar w:top="1500" w:right="1200" w:bottom="1280" w:left="1440" w:header="0" w:footer="1094" w:gutter="0"/>
          <w:pgNumType w:fmt="decimal"/>
          <w:cols w:space="720" w:num="1"/>
        </w:sectPr>
      </w:pPr>
      <w:bookmarkStart w:id="0" w:name="_GoBack"/>
      <w:r>
        <w:rPr>
          <w:rFonts w:hint="eastAsia" w:ascii="仿宋_GB2312" w:hAnsi="仿宋_GB2312" w:eastAsia="仿宋_GB2312" w:cs="仿宋_GB2312"/>
          <w:sz w:val="32"/>
          <w:szCs w:val="32"/>
          <w:lang w:val="en-US" w:eastAsia="zh-CN"/>
        </w:rPr>
        <w:t>此页无正文</w:t>
      </w:r>
    </w:p>
    <w:bookmarkEnd w:id="0"/>
    <w:p w14:paraId="78575043">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方正小标宋简体" w:hAnsi="方正小标宋简体" w:eastAsia="方正小标宋简体" w:cs="黑体"/>
          <w:color w:val="000000"/>
          <w:sz w:val="44"/>
          <w:szCs w:val="44"/>
          <w:lang w:val="en-US" w:eastAsia="zh-CN"/>
        </w:rPr>
      </w:pPr>
      <w:r>
        <w:rPr>
          <w:rFonts w:hint="eastAsia" w:ascii="方正小标宋简体" w:hAnsi="方正小标宋简体" w:eastAsia="方正小标宋简体" w:cs="黑体"/>
          <w:color w:val="000000"/>
          <w:sz w:val="44"/>
          <w:szCs w:val="44"/>
          <w:lang w:val="en-US" w:eastAsia="zh-CN"/>
        </w:rPr>
        <w:t>赞皇县自然资源和规划局</w:t>
      </w:r>
    </w:p>
    <w:p w14:paraId="3D860E85">
      <w:pPr>
        <w:keepNext w:val="0"/>
        <w:keepLines w:val="0"/>
        <w:pageBreakBefore w:val="0"/>
        <w:kinsoku/>
        <w:wordWrap/>
        <w:overflowPunct/>
        <w:topLinePunct w:val="0"/>
        <w:bidi w:val="0"/>
        <w:adjustRightInd/>
        <w:snapToGrid/>
        <w:spacing w:line="560" w:lineRule="exact"/>
        <w:jc w:val="center"/>
        <w:textAlignment w:val="auto"/>
        <w:rPr>
          <w:rFonts w:hint="eastAsia" w:ascii="宋体" w:hAnsi="宋体" w:eastAsia="宋体" w:cs="宋体"/>
          <w:b w:val="0"/>
          <w:bCs w:val="0"/>
          <w:sz w:val="44"/>
          <w:szCs w:val="44"/>
          <w:lang w:val="en-US" w:eastAsia="zh-CN"/>
        </w:rPr>
      </w:pPr>
      <w:r>
        <w:rPr>
          <w:rFonts w:hint="eastAsia" w:ascii="方正小标宋简体" w:hAnsi="方正小标宋简体" w:eastAsia="方正小标宋简体" w:cs="方正小标宋简体"/>
          <w:b w:val="0"/>
          <w:bCs w:val="0"/>
          <w:spacing w:val="1"/>
          <w:w w:val="96"/>
          <w:kern w:val="0"/>
          <w:sz w:val="44"/>
          <w:szCs w:val="44"/>
          <w:fitText w:val="8580" w:id="548685374"/>
          <w:lang w:val="en-US" w:eastAsia="zh-CN"/>
        </w:rPr>
        <w:t>2025年“双随机、一公开”监管工作实施方</w:t>
      </w:r>
      <w:r>
        <w:rPr>
          <w:rFonts w:hint="eastAsia" w:ascii="方正小标宋简体" w:hAnsi="方正小标宋简体" w:eastAsia="方正小标宋简体" w:cs="方正小标宋简体"/>
          <w:b w:val="0"/>
          <w:bCs w:val="0"/>
          <w:spacing w:val="17"/>
          <w:w w:val="96"/>
          <w:kern w:val="0"/>
          <w:sz w:val="44"/>
          <w:szCs w:val="44"/>
          <w:fitText w:val="8580" w:id="548685374"/>
          <w:lang w:val="en-US" w:eastAsia="zh-CN"/>
        </w:rPr>
        <w:t>案</w:t>
      </w:r>
    </w:p>
    <w:p w14:paraId="1E0C11F5">
      <w:pPr>
        <w:keepNext w:val="0"/>
        <w:keepLines w:val="0"/>
        <w:pageBreakBefore w:val="0"/>
        <w:kinsoku/>
        <w:wordWrap/>
        <w:overflowPunct/>
        <w:topLinePunct w:val="0"/>
        <w:bidi w:val="0"/>
        <w:adjustRightInd/>
        <w:snapToGrid/>
        <w:spacing w:line="560" w:lineRule="exact"/>
        <w:textAlignment w:val="auto"/>
        <w:rPr>
          <w:rFonts w:hint="eastAsia" w:eastAsia="宋体"/>
          <w:lang w:val="en-US" w:eastAsia="zh-CN"/>
        </w:rPr>
      </w:pPr>
    </w:p>
    <w:p w14:paraId="158E83C3">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sz w:val="32"/>
          <w:szCs w:val="32"/>
          <w:lang w:val="en-US" w:eastAsia="zh-CN"/>
        </w:rPr>
      </w:pPr>
      <w:r>
        <w:rPr>
          <w:rFonts w:hint="eastAsia" w:ascii="仿宋" w:hAnsi="仿宋" w:eastAsia="仿宋" w:cs="仿宋"/>
          <w:color w:val="000000"/>
          <w:kern w:val="60"/>
          <w:sz w:val="32"/>
          <w:szCs w:val="32"/>
        </w:rPr>
        <w:t>为</w:t>
      </w:r>
      <w:r>
        <w:rPr>
          <w:rFonts w:hint="eastAsia" w:ascii="仿宋" w:hAnsi="仿宋" w:eastAsia="仿宋" w:cs="仿宋"/>
          <w:color w:val="000000"/>
          <w:kern w:val="60"/>
          <w:sz w:val="32"/>
          <w:szCs w:val="32"/>
          <w:lang w:eastAsia="zh-CN"/>
        </w:rPr>
        <w:t>深入</w:t>
      </w:r>
      <w:r>
        <w:rPr>
          <w:rFonts w:hint="eastAsia" w:ascii="仿宋" w:hAnsi="仿宋" w:eastAsia="仿宋" w:cs="仿宋"/>
          <w:color w:val="000000"/>
          <w:kern w:val="60"/>
          <w:sz w:val="32"/>
          <w:szCs w:val="32"/>
        </w:rPr>
        <w:t>贯彻落实国务院、</w:t>
      </w:r>
      <w:r>
        <w:rPr>
          <w:rFonts w:hint="eastAsia" w:ascii="仿宋" w:hAnsi="仿宋" w:eastAsia="仿宋" w:cs="仿宋"/>
          <w:color w:val="000000"/>
          <w:kern w:val="60"/>
          <w:sz w:val="32"/>
          <w:szCs w:val="32"/>
          <w:lang w:eastAsia="zh-CN"/>
        </w:rPr>
        <w:t>省、市</w:t>
      </w:r>
      <w:r>
        <w:rPr>
          <w:rFonts w:hint="eastAsia" w:ascii="仿宋" w:hAnsi="仿宋" w:eastAsia="仿宋" w:cs="仿宋"/>
          <w:color w:val="000000"/>
          <w:kern w:val="60"/>
          <w:sz w:val="32"/>
          <w:szCs w:val="32"/>
          <w:lang w:val="en-US" w:eastAsia="zh-CN"/>
        </w:rPr>
        <w:t>和县委县政府</w:t>
      </w:r>
      <w:r>
        <w:rPr>
          <w:rFonts w:hint="eastAsia" w:ascii="仿宋" w:hAnsi="仿宋" w:eastAsia="仿宋" w:cs="仿宋"/>
          <w:color w:val="000000"/>
          <w:kern w:val="60"/>
          <w:sz w:val="32"/>
          <w:szCs w:val="32"/>
        </w:rPr>
        <w:t>关于优化营商环境部署要求</w:t>
      </w:r>
      <w:r>
        <w:rPr>
          <w:rFonts w:hint="eastAsia" w:ascii="仿宋" w:hAnsi="仿宋" w:eastAsia="仿宋" w:cs="仿宋"/>
          <w:sz w:val="32"/>
          <w:szCs w:val="32"/>
          <w:lang w:val="en-US" w:eastAsia="zh-CN"/>
        </w:rPr>
        <w:t>，持续提升“双随机、一公开”监管效能，进一步规范涉企行政检查，根据《国务院办公厅关于严格规范涉企行政检查的意见》（国办发〔2024〕54号）和省、市、县有关工作要求，结合本县实际，制定本方案。</w:t>
      </w:r>
    </w:p>
    <w:p w14:paraId="22B613CF">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黑体" w:hAnsi="黑体" w:eastAsia="黑体" w:cs="黑体"/>
          <w:b/>
          <w:bCs/>
          <w:sz w:val="32"/>
          <w:szCs w:val="32"/>
          <w:lang w:val="en-US" w:eastAsia="zh-CN"/>
        </w:rPr>
      </w:pPr>
      <w:r>
        <w:rPr>
          <w:rFonts w:hint="eastAsia" w:ascii="黑体" w:hAnsi="黑体" w:eastAsia="黑体" w:cs="黑体"/>
          <w:b/>
          <w:bCs/>
          <w:sz w:val="32"/>
          <w:szCs w:val="32"/>
          <w:lang w:val="en-US" w:eastAsia="zh-CN"/>
        </w:rPr>
        <w:t>一、工作目标</w:t>
      </w:r>
    </w:p>
    <w:p w14:paraId="729CBE5A">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 w:eastAsia="仿宋_GB2312" w:cs="仿宋"/>
          <w:snapToGrid w:val="0"/>
          <w:color w:val="000000"/>
          <w:spacing w:val="0"/>
          <w:kern w:val="10"/>
          <w:sz w:val="32"/>
          <w:szCs w:val="32"/>
          <w:lang w:val="en-US" w:eastAsia="zh-CN" w:bidi="ar-SA"/>
        </w:rPr>
      </w:pPr>
      <w:r>
        <w:rPr>
          <w:rFonts w:hint="eastAsia" w:ascii="仿宋_GB2312" w:hAnsi="仿宋" w:eastAsia="仿宋_GB2312" w:cs="仿宋"/>
          <w:snapToGrid w:val="0"/>
          <w:color w:val="000000"/>
          <w:spacing w:val="0"/>
          <w:kern w:val="10"/>
          <w:sz w:val="32"/>
          <w:szCs w:val="32"/>
          <w:lang w:val="en-US" w:eastAsia="zh-CN" w:bidi="ar-SA"/>
        </w:rPr>
        <w:t>完善“双随机、一公开”监管工作机制，强化跨部门联合抽查，拓展“一业一查”监管模式，防止重复检查、多头检查；深入推进信用风险差异化抽查，聚焦问题线索、风险隐患和重点领域，开展靶向抽查，提升监管效能；探索开展非现场检查，切实压减涉企检查频次，促进营商环境持续优化。</w:t>
      </w:r>
    </w:p>
    <w:p w14:paraId="72DF8173">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黑体" w:hAnsi="黑体" w:eastAsia="黑体" w:cs="黑体"/>
          <w:b/>
          <w:bCs/>
          <w:sz w:val="32"/>
          <w:szCs w:val="32"/>
          <w:lang w:val="en-US" w:eastAsia="zh-CN"/>
        </w:rPr>
      </w:pPr>
      <w:r>
        <w:rPr>
          <w:rFonts w:hint="eastAsia" w:ascii="黑体" w:hAnsi="黑体" w:eastAsia="黑体" w:cs="黑体"/>
          <w:b/>
          <w:bCs/>
          <w:sz w:val="32"/>
          <w:szCs w:val="32"/>
          <w:lang w:val="en-US" w:eastAsia="zh-CN"/>
        </w:rPr>
        <w:t>二、主要任务</w:t>
      </w:r>
    </w:p>
    <w:p w14:paraId="60D37FB5">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楷体" w:hAnsi="楷体" w:eastAsia="楷体" w:cs="楷体"/>
          <w:b/>
          <w:bCs/>
          <w:sz w:val="32"/>
          <w:szCs w:val="32"/>
          <w:lang w:val="en-US" w:eastAsia="zh-CN"/>
        </w:rPr>
      </w:pPr>
      <w:r>
        <w:rPr>
          <w:rFonts w:hint="eastAsia" w:ascii="楷体" w:hAnsi="楷体" w:eastAsia="楷体" w:cs="楷体"/>
          <w:b/>
          <w:bCs/>
          <w:sz w:val="32"/>
          <w:szCs w:val="32"/>
          <w:lang w:val="en-US" w:eastAsia="zh-CN"/>
        </w:rPr>
        <w:t>（一）夯实工作基础</w:t>
      </w:r>
    </w:p>
    <w:p w14:paraId="209247E4">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1、加强监管平台培训</w:t>
      </w:r>
    </w:p>
    <w:p w14:paraId="01D9AFB5">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加强河北省双随机执法监管平台（以下简称监管平台）日常操作培训，实现“双随机、一公开”行政检查全过程规范化操作。对检查对象进行分类标注管理，确保精准抽取和精准匹配。</w:t>
      </w:r>
    </w:p>
    <w:p w14:paraId="5401F6C1">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2、动态调整“一单、两库、一指引”</w:t>
      </w:r>
    </w:p>
    <w:p w14:paraId="7FFF5A3B">
      <w:pPr>
        <w:keepNext w:val="0"/>
        <w:keepLines w:val="0"/>
        <w:pageBreakBefore w:val="0"/>
        <w:widowControl/>
        <w:suppressLineNumbers w:val="0"/>
        <w:kinsoku/>
        <w:wordWrap/>
        <w:overflowPunct/>
        <w:topLinePunct w:val="0"/>
        <w:autoSpaceDE/>
        <w:autoSpaceDN/>
        <w:bidi w:val="0"/>
        <w:adjustRightInd/>
        <w:snapToGrid/>
        <w:spacing w:line="560" w:lineRule="exact"/>
        <w:ind w:firstLine="620" w:firstLineChars="200"/>
        <w:jc w:val="left"/>
        <w:textAlignment w:val="auto"/>
      </w:pPr>
      <w:r>
        <w:rPr>
          <w:rFonts w:ascii="仿宋_GB2312" w:hAnsi="仿宋_GB2312" w:eastAsia="仿宋_GB2312" w:cs="仿宋_GB2312"/>
          <w:color w:val="000000"/>
          <w:kern w:val="0"/>
          <w:sz w:val="31"/>
          <w:szCs w:val="31"/>
          <w:lang w:val="en-US" w:eastAsia="zh-CN" w:bidi="ar"/>
        </w:rPr>
        <w:t>持续推进“一单、两库、一指引”规范化、精细化，动态调整并公示本级系统内随机抽查事项清单，按照监管层级及时在监管平台中完成抽查事项认领。结合监管实际，及时充实、完善检查对象名录库，在监管平台中做好新增主体的认领、非经营主体类监管对象导入，并按照检查对象行业类别和监管领域、执法检查人员业务专长和执法资质，对“两库”进行分类标注管理，实现对检查对象精准索引和精准抽取、执法人员精准匹配，为开展抽查检查打下良好的基础</w:t>
      </w:r>
      <w:r>
        <w:rPr>
          <w:rFonts w:hint="eastAsia" w:ascii="仿宋_GB2312" w:hAnsi="仿宋_GB2312" w:eastAsia="仿宋_GB2312" w:cs="仿宋_GB2312"/>
          <w:color w:val="000000"/>
          <w:kern w:val="0"/>
          <w:sz w:val="31"/>
          <w:szCs w:val="31"/>
          <w:lang w:val="en-US" w:eastAsia="zh-CN" w:bidi="ar"/>
        </w:rPr>
        <w:t>。</w:t>
      </w:r>
    </w:p>
    <w:p w14:paraId="69906932">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楷体" w:hAnsi="楷体" w:eastAsia="楷体" w:cs="楷体"/>
          <w:b/>
          <w:bCs/>
          <w:sz w:val="32"/>
          <w:szCs w:val="32"/>
          <w:lang w:val="en-US" w:eastAsia="zh-CN"/>
        </w:rPr>
      </w:pPr>
      <w:r>
        <w:rPr>
          <w:rFonts w:hint="eastAsia" w:ascii="楷体" w:hAnsi="楷体" w:eastAsia="楷体" w:cs="楷体"/>
          <w:b/>
          <w:bCs/>
          <w:sz w:val="32"/>
          <w:szCs w:val="32"/>
          <w:lang w:val="en-US" w:eastAsia="zh-CN"/>
        </w:rPr>
        <w:t>（二）规范工作流程</w:t>
      </w:r>
    </w:p>
    <w:p w14:paraId="023B2ABF">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1、制定年度抽查计划</w:t>
      </w:r>
    </w:p>
    <w:p w14:paraId="0298B53C">
      <w:pPr>
        <w:keepNext w:val="0"/>
        <w:keepLines w:val="0"/>
        <w:pageBreakBefore w:val="0"/>
        <w:widowControl/>
        <w:suppressLineNumbers w:val="0"/>
        <w:kinsoku/>
        <w:wordWrap/>
        <w:overflowPunct/>
        <w:topLinePunct w:val="0"/>
        <w:autoSpaceDE/>
        <w:autoSpaceDN/>
        <w:bidi w:val="0"/>
        <w:adjustRightInd/>
        <w:snapToGrid/>
        <w:spacing w:line="560" w:lineRule="exact"/>
        <w:ind w:firstLine="640" w:firstLineChars="200"/>
        <w:jc w:val="left"/>
        <w:textAlignment w:val="auto"/>
      </w:pPr>
      <w:r>
        <w:rPr>
          <w:rFonts w:hint="eastAsia" w:ascii="仿宋" w:hAnsi="仿宋" w:eastAsia="仿宋" w:cs="仿宋"/>
          <w:sz w:val="32"/>
          <w:szCs w:val="32"/>
          <w:lang w:val="en-US" w:eastAsia="zh-CN"/>
        </w:rPr>
        <w:t>根据上级要求和本地监管实际，统筹制定2025年度双随机抽查工作计划，并及时向社会公示。</w:t>
      </w:r>
      <w:r>
        <w:rPr>
          <w:rFonts w:ascii="仿宋_GB2312" w:hAnsi="仿宋_GB2312" w:eastAsia="仿宋_GB2312" w:cs="仿宋_GB2312"/>
          <w:color w:val="000000"/>
          <w:kern w:val="0"/>
          <w:sz w:val="31"/>
          <w:szCs w:val="31"/>
          <w:lang w:val="en-US" w:eastAsia="zh-CN" w:bidi="ar"/>
        </w:rPr>
        <w:t>严格规范年度抽查计划的线上、线下动态调整工作程序，对确需增加或取消的抽查计划，及时调整并公示。</w:t>
      </w:r>
    </w:p>
    <w:p w14:paraId="20272E32">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确保抽查企业占比不低于本地区本系统监管行业企业总数的3%，</w:t>
      </w:r>
      <w:r>
        <w:rPr>
          <w:rFonts w:hint="eastAsia" w:ascii="仿宋" w:hAnsi="仿宋" w:eastAsia="仿宋" w:cs="仿宋"/>
          <w:color w:val="auto"/>
          <w:sz w:val="32"/>
          <w:szCs w:val="32"/>
          <w:lang w:val="en-US" w:eastAsia="zh-CN"/>
        </w:rPr>
        <w:t>个体工商户</w:t>
      </w:r>
      <w:r>
        <w:rPr>
          <w:rFonts w:hint="eastAsia" w:ascii="仿宋" w:hAnsi="仿宋" w:eastAsia="仿宋" w:cs="仿宋"/>
          <w:sz w:val="32"/>
          <w:szCs w:val="32"/>
          <w:lang w:val="en-US" w:eastAsia="zh-CN"/>
        </w:rPr>
        <w:t>抽查比例结合实际确定。</w:t>
      </w:r>
    </w:p>
    <w:p w14:paraId="03DA1339">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2、实施“扫码入企”检查</w:t>
      </w:r>
    </w:p>
    <w:p w14:paraId="5CD8A62D">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2025年按照省司法厅统一部署，将在“冀上双随机”掌上端上线入企检查二维码，实施“扫码入企”检查，通过“事前告知、事中记录、事后回看”实现执法检查全过程监督，确保涉企检查更加规范、透明。</w:t>
      </w:r>
    </w:p>
    <w:p w14:paraId="4292AEDF">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3、规范结果处置</w:t>
      </w:r>
    </w:p>
    <w:p w14:paraId="17E504D9">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抽查结束后，及时公示检查结果，并依法做好后续处置工作，实现抽查闭环管理。对发现的问题线索，依法依规进行处理，确保监管实效。</w:t>
      </w:r>
    </w:p>
    <w:p w14:paraId="41A9B640">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楷体" w:hAnsi="楷体" w:eastAsia="楷体" w:cs="楷体"/>
          <w:b/>
          <w:bCs/>
          <w:sz w:val="32"/>
          <w:szCs w:val="32"/>
          <w:lang w:val="en-US" w:eastAsia="zh-CN"/>
        </w:rPr>
      </w:pPr>
      <w:r>
        <w:rPr>
          <w:rFonts w:hint="eastAsia" w:ascii="楷体" w:hAnsi="楷体" w:eastAsia="楷体" w:cs="楷体"/>
          <w:b/>
          <w:bCs/>
          <w:sz w:val="32"/>
          <w:szCs w:val="32"/>
          <w:lang w:val="en-US" w:eastAsia="zh-CN"/>
        </w:rPr>
        <w:t>（三）深化联合精准监管</w:t>
      </w:r>
    </w:p>
    <w:p w14:paraId="2C786579">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1、推进联合抽查</w:t>
      </w:r>
    </w:p>
    <w:p w14:paraId="0F98CCE4">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坚持“应合尽合、应联尽联”原则，深化“一业一查”部门联合监管模式，避免重复检查、多头检查。2025年跨部门联合检查次数占总抽查次数的比例达到100%，切实压减检查频次，提升联合监管效能。</w:t>
      </w:r>
    </w:p>
    <w:p w14:paraId="28A6AE3A">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2、实施差异化抽查</w:t>
      </w:r>
    </w:p>
    <w:p w14:paraId="5CED694A">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根据企业信用风险分类结果，合理确定抽查比例和频次，实施差异化抽查。对信用风险低的企业减少抽查频次，对信用风险高的企业加大抽查力度，进一步提升监管的精准性和有效性。除法律法规规章另有规定外，在本年度内对信用风险低的同一经营主体，原则上不得重复抽查。2025年运用企业信用风险分类开展随机抽查次数占总抽查次数的比例达到100%。</w:t>
      </w:r>
    </w:p>
    <w:p w14:paraId="16CBF1E7">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楷体" w:hAnsi="楷体" w:eastAsia="楷体" w:cs="楷体"/>
          <w:b/>
          <w:bCs/>
          <w:sz w:val="32"/>
          <w:szCs w:val="32"/>
          <w:lang w:val="en-US" w:eastAsia="zh-CN"/>
        </w:rPr>
      </w:pPr>
      <w:r>
        <w:rPr>
          <w:rFonts w:hint="eastAsia" w:ascii="楷体" w:hAnsi="楷体" w:eastAsia="楷体" w:cs="楷体"/>
          <w:b/>
          <w:bCs/>
          <w:sz w:val="32"/>
          <w:szCs w:val="32"/>
          <w:lang w:val="en-US" w:eastAsia="zh-CN"/>
        </w:rPr>
        <w:t>（四）探索非现场检查</w:t>
      </w:r>
    </w:p>
    <w:p w14:paraId="4A5D7D53">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积极探索建立非现场监管工作制度和业务流程，以抽查事项清单为引领，以制定年度抽查计划为抓手，科学合理确定非现场检查任务。对可通过书面检查、网络监测、信息核查、远程互动等非现场无感式监管的，不再实施现场检查，切实压减现场检查频次，减少对经营主体正常经营的干扰。</w:t>
      </w:r>
    </w:p>
    <w:p w14:paraId="51DC5521">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仿宋" w:hAnsi="仿宋" w:eastAsia="仿宋" w:cs="仿宋"/>
          <w:color w:val="FF0000"/>
          <w:sz w:val="32"/>
          <w:szCs w:val="32"/>
          <w:lang w:val="en-US" w:eastAsia="zh-CN"/>
        </w:rPr>
      </w:pPr>
      <w:r>
        <w:rPr>
          <w:rFonts w:hint="eastAsia" w:ascii="楷体" w:hAnsi="楷体" w:eastAsia="楷体" w:cs="楷体"/>
          <w:b/>
          <w:bCs/>
          <w:sz w:val="32"/>
          <w:szCs w:val="32"/>
          <w:lang w:val="en-US" w:eastAsia="zh-CN"/>
        </w:rPr>
        <w:t>（五）聚焦重点任务</w:t>
      </w:r>
    </w:p>
    <w:p w14:paraId="2FA36BC2">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sz w:val="32"/>
          <w:szCs w:val="32"/>
          <w:lang w:val="en-US" w:eastAsia="zh-CN"/>
        </w:rPr>
      </w:pPr>
      <w:r>
        <w:rPr>
          <w:rFonts w:hint="eastAsia" w:ascii="仿宋" w:hAnsi="仿宋" w:eastAsia="仿宋" w:cs="仿宋"/>
          <w:color w:val="auto"/>
          <w:sz w:val="32"/>
          <w:szCs w:val="32"/>
          <w:lang w:val="en-US" w:eastAsia="zh-CN"/>
        </w:rPr>
        <w:t>结合舆情监测、风险预警等</w:t>
      </w:r>
      <w:r>
        <w:rPr>
          <w:rFonts w:hint="eastAsia" w:ascii="仿宋" w:hAnsi="仿宋" w:eastAsia="仿宋" w:cs="仿宋"/>
          <w:sz w:val="32"/>
          <w:szCs w:val="32"/>
          <w:lang w:val="en-US" w:eastAsia="zh-CN"/>
        </w:rPr>
        <w:t>发现的问题线索，组织开展靶向抽查，加大抽查问题处置和惩戒力度，促进市场环境健康有序发展。</w:t>
      </w:r>
    </w:p>
    <w:p w14:paraId="47B23BC1">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楷体" w:hAnsi="楷体" w:eastAsia="楷体" w:cs="楷体"/>
          <w:b/>
          <w:bCs/>
          <w:sz w:val="32"/>
          <w:szCs w:val="32"/>
          <w:lang w:val="en-US" w:eastAsia="zh-CN"/>
        </w:rPr>
      </w:pPr>
      <w:r>
        <w:rPr>
          <w:rFonts w:hint="eastAsia" w:ascii="楷体" w:hAnsi="楷体" w:eastAsia="楷体" w:cs="楷体"/>
          <w:b/>
          <w:bCs/>
          <w:sz w:val="32"/>
          <w:szCs w:val="32"/>
          <w:lang w:val="en-US" w:eastAsia="zh-CN"/>
        </w:rPr>
        <w:t>（六）推行服务型监管</w:t>
      </w:r>
    </w:p>
    <w:p w14:paraId="57EBECEA">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1、加强合规指导</w:t>
      </w:r>
    </w:p>
    <w:p w14:paraId="7ABCE178">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在双随机现场检查中，加强合规指导，帮助经营主体及时发现经营过程中可能发生的违法失信风险，做到早发现、早纠正。</w:t>
      </w:r>
    </w:p>
    <w:p w14:paraId="2E0FA48A">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2、宣传法律法规</w:t>
      </w:r>
    </w:p>
    <w:p w14:paraId="1F049129">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积极向经营主体宣传相关法律法规，提供政策解读，提高经营主体自觉守法、诚信经营意识，实现与经营主体的良性互动，助力经营主体高质量发展。</w:t>
      </w:r>
    </w:p>
    <w:p w14:paraId="35C559FB">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黑体" w:hAnsi="黑体" w:eastAsia="黑体" w:cs="黑体"/>
          <w:b/>
          <w:bCs/>
          <w:sz w:val="32"/>
          <w:szCs w:val="32"/>
          <w:lang w:val="en-US" w:eastAsia="zh-CN"/>
        </w:rPr>
      </w:pPr>
      <w:r>
        <w:rPr>
          <w:rFonts w:hint="eastAsia" w:ascii="黑体" w:hAnsi="黑体" w:eastAsia="黑体" w:cs="黑体"/>
          <w:b/>
          <w:bCs/>
          <w:sz w:val="32"/>
          <w:szCs w:val="32"/>
          <w:lang w:val="en-US" w:eastAsia="zh-CN"/>
        </w:rPr>
        <w:t>三、工作要求</w:t>
      </w:r>
    </w:p>
    <w:p w14:paraId="50C4011D">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楷体" w:hAnsi="楷体" w:eastAsia="楷体" w:cs="楷体"/>
          <w:b/>
          <w:bCs/>
          <w:sz w:val="32"/>
          <w:szCs w:val="32"/>
          <w:lang w:val="en-US" w:eastAsia="zh-CN"/>
        </w:rPr>
      </w:pPr>
      <w:r>
        <w:rPr>
          <w:rFonts w:hint="eastAsia" w:ascii="楷体" w:hAnsi="楷体" w:eastAsia="楷体" w:cs="楷体"/>
          <w:b/>
          <w:bCs/>
          <w:sz w:val="32"/>
          <w:szCs w:val="32"/>
          <w:lang w:val="en-US" w:eastAsia="zh-CN"/>
        </w:rPr>
        <w:t>（一）加强组织领导</w:t>
      </w:r>
    </w:p>
    <w:p w14:paraId="7EDE9D4C">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充分认识全面深化“双随机、一公开”监管的重要意义，加强组织领导和统筹协调，持续跟踪问效，确保各项任务落实落地。相关业务科室要加强对本条线双随机抽查工作指导，督促按时完成年度抽查工作任务，提升本条线抽查工作成效。坚持问题导向和目标导向，查找问题不足，督促整改落实。</w:t>
      </w:r>
    </w:p>
    <w:p w14:paraId="14A69917">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楷体" w:hAnsi="楷体" w:eastAsia="楷体" w:cs="楷体"/>
          <w:b/>
          <w:bCs/>
          <w:sz w:val="32"/>
          <w:szCs w:val="32"/>
          <w:lang w:val="en-US" w:eastAsia="zh-CN"/>
        </w:rPr>
      </w:pPr>
      <w:r>
        <w:rPr>
          <w:rFonts w:hint="eastAsia" w:ascii="楷体" w:hAnsi="楷体" w:eastAsia="楷体" w:cs="楷体"/>
          <w:b/>
          <w:bCs/>
          <w:sz w:val="32"/>
          <w:szCs w:val="32"/>
          <w:lang w:val="en-US" w:eastAsia="zh-CN"/>
        </w:rPr>
        <w:t>（二）严格抽查纪律</w:t>
      </w:r>
    </w:p>
    <w:p w14:paraId="220A3C19">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严格落实国务院</w:t>
      </w:r>
      <w:r>
        <w:rPr>
          <w:rFonts w:hint="eastAsia" w:ascii="仿宋" w:hAnsi="仿宋" w:eastAsia="仿宋" w:cs="仿宋"/>
          <w:color w:val="auto"/>
          <w:sz w:val="32"/>
          <w:szCs w:val="32"/>
          <w:lang w:val="en-US" w:eastAsia="zh-CN"/>
        </w:rPr>
        <w:t>和省、市、县</w:t>
      </w:r>
      <w:r>
        <w:rPr>
          <w:rFonts w:hint="eastAsia" w:ascii="仿宋" w:hAnsi="仿宋" w:eastAsia="仿宋" w:cs="仿宋"/>
          <w:sz w:val="32"/>
          <w:szCs w:val="32"/>
          <w:lang w:val="en-US" w:eastAsia="zh-CN"/>
        </w:rPr>
        <w:t>关于规范涉企行政检查的要求，推动行风建设和业务工作深度融合，进一步压实主体责任，规范抽查检查行为。入企检查时要做到“五个严禁”“八个不得”，坚决杜绝任性检查、运动式检查和以各种名义变相检查等行为，自觉维护良好形象。</w:t>
      </w:r>
    </w:p>
    <w:p w14:paraId="1F7CF6F7">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楷体" w:hAnsi="楷体" w:eastAsia="楷体" w:cs="楷体"/>
          <w:b/>
          <w:bCs/>
          <w:sz w:val="32"/>
          <w:szCs w:val="32"/>
          <w:lang w:val="en-US" w:eastAsia="zh-CN"/>
        </w:rPr>
      </w:pPr>
      <w:r>
        <w:rPr>
          <w:rFonts w:hint="eastAsia" w:ascii="楷体" w:hAnsi="楷体" w:eastAsia="楷体" w:cs="楷体"/>
          <w:b/>
          <w:bCs/>
          <w:sz w:val="32"/>
          <w:szCs w:val="32"/>
          <w:lang w:val="en-US" w:eastAsia="zh-CN"/>
        </w:rPr>
        <w:t>（三）加强信息反馈</w:t>
      </w:r>
    </w:p>
    <w:p w14:paraId="7016D068">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认真落实信息报送制度，按照县局各项工作报送时间节点要求，高质量报送相关数据、工作信息。对随机抽查、监管平台使用中遇到的问题、意见建议以及好的经验做法，及时反馈县局。</w:t>
      </w:r>
    </w:p>
    <w:p w14:paraId="6BAA4773">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本方案自发布之日起实施，各相关股所要结合实际，认真贯彻执行，确保“双随机、一公开”监管工作取得实效。</w:t>
      </w:r>
    </w:p>
    <w:p w14:paraId="083A0C04"/>
    <w:p w14:paraId="1DC484D5">
      <w:pPr>
        <w:numPr>
          <w:ilvl w:val="0"/>
          <w:numId w:val="0"/>
        </w:numPr>
        <w:spacing w:line="560" w:lineRule="exact"/>
        <w:rPr>
          <w:rFonts w:hint="eastAsia" w:ascii="黑体" w:hAnsi="黑体" w:eastAsia="黑体" w:cs="Times New Roman"/>
          <w:sz w:val="32"/>
          <w:szCs w:val="32"/>
        </w:rPr>
      </w:pPr>
    </w:p>
    <w:sectPr>
      <w:footerReference r:id="rId4" w:type="default"/>
      <w:pgSz w:w="11906" w:h="16838"/>
      <w:pgMar w:top="2098" w:right="1474" w:bottom="1984" w:left="1587"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34"/>
    <w:family w:val="roman"/>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方正小标宋简体">
    <w:panose1 w:val="02000000000000000000"/>
    <w:charset w:val="86"/>
    <w:family w:val="auto"/>
    <w:pitch w:val="default"/>
    <w:sig w:usb0="A00002BF" w:usb1="184F6CFA" w:usb2="00000012" w:usb3="00000000" w:csb0="00040001" w:csb1="00000000"/>
  </w:font>
  <w:font w:name="仿宋_GB2312">
    <w:panose1 w:val="02010609030101010101"/>
    <w:charset w:val="86"/>
    <w:family w:val="auto"/>
    <w:pitch w:val="default"/>
    <w:sig w:usb0="00000001" w:usb1="080E0000" w:usb2="00000000" w:usb3="00000000" w:csb0="00040000" w:csb1="00000000"/>
  </w:font>
  <w:font w:name="楷体">
    <w:panose1 w:val="02010609060101010101"/>
    <w:charset w:val="86"/>
    <w:family w:val="auto"/>
    <w:pitch w:val="default"/>
    <w:sig w:usb0="800002BF" w:usb1="38CF7CFA" w:usb2="00000016" w:usb3="00000000" w:csb0="00040001"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942A710">
    <w:pPr>
      <w:pStyle w:val="8"/>
      <w:rPr>
        <w:sz w:val="20"/>
      </w:rPr>
    </w:pPr>
    <w:r>
      <w:rPr>
        <w:sz w:val="20"/>
      </w:rPr>
      <mc:AlternateContent>
        <mc:Choice Requires="wps">
          <w:drawing>
            <wp:anchor distT="0" distB="0" distL="114300" distR="114300" simplePos="0" relativeHeight="251660288" behindDoc="0" locked="0" layoutInCell="1" allowOverlap="1">
              <wp:simplePos x="0" y="0"/>
              <wp:positionH relativeFrom="margin">
                <wp:align>outside</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xtLst>
                        <a:ext uri="{909E8E84-426E-40DD-AFC4-6F175D3DCCD1}">
                          <a14:hiddenFill xmlns:a14="http://schemas.microsoft.com/office/drawing/2010/main">
                            <a:solidFill>
                              <a:schemeClr val="lt1"/>
                            </a:solidFill>
                          </a14:hiddenFill>
                        </a:ext>
                        <a:ext uri="{91240B29-F687-4F45-9708-019B960494DF}">
                          <a14:hiddenLine xmlns:a14="http://schemas.microsoft.com/office/drawing/2010/main" w="6350">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p w14:paraId="6AD247C8">
                          <w:pPr>
                            <w:pStyle w:val="8"/>
                            <w:rPr>
                              <w:rFonts w:hint="eastAsia" w:ascii="宋体" w:hAnsi="宋体" w:eastAsia="宋体" w:cs="宋体"/>
                              <w:sz w:val="28"/>
                              <w:szCs w:val="28"/>
                            </w:rPr>
                          </w:pPr>
                          <w:r>
                            <w:rPr>
                              <w:rFonts w:hint="eastAsia" w:ascii="宋体" w:hAnsi="宋体" w:eastAsia="宋体" w:cs="宋体"/>
                              <w:sz w:val="28"/>
                              <w:szCs w:val="28"/>
                            </w:rPr>
                            <w:t xml:space="preserve">—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1</w:t>
                          </w:r>
                          <w:r>
                            <w:rPr>
                              <w:rFonts w:hint="eastAsia" w:ascii="宋体" w:hAnsi="宋体" w:eastAsia="宋体" w:cs="宋体"/>
                              <w:sz w:val="28"/>
                              <w:szCs w:val="28"/>
                            </w:rPr>
                            <w:fldChar w:fldCharType="end"/>
                          </w:r>
                          <w:r>
                            <w:rPr>
                              <w:rFonts w:hint="eastAsia" w:ascii="宋体" w:hAnsi="宋体" w:eastAsia="宋体" w:cs="宋体"/>
                              <w:sz w:val="28"/>
                              <w:szCs w:val="28"/>
                            </w:rP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">
              <v:fill on="f" focussize="0,0"/>
              <v:stroke on="f" weight="0.5pt"/>
              <v:imagedata o:title=""/>
              <o:lock v:ext="edit" aspectratio="f"/>
              <v:textbox inset="0mm,0mm,0mm,0mm" style="mso-fit-shape-to-text:t;">
                <w:txbxContent>
                  <w:p w14:paraId="6AD247C8">
                    <w:pPr>
                      <w:pStyle w:val="8"/>
                      <w:rPr>
                        <w:rFonts w:hint="eastAsia" w:ascii="宋体" w:hAnsi="宋体" w:eastAsia="宋体" w:cs="宋体"/>
                        <w:sz w:val="28"/>
                        <w:szCs w:val="28"/>
                      </w:rPr>
                    </w:pPr>
                    <w:r>
                      <w:rPr>
                        <w:rFonts w:hint="eastAsia" w:ascii="宋体" w:hAnsi="宋体" w:eastAsia="宋体" w:cs="宋体"/>
                        <w:sz w:val="28"/>
                        <w:szCs w:val="28"/>
                      </w:rPr>
                      <w:t xml:space="preserve">—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1</w:t>
                    </w:r>
                    <w:r>
                      <w:rPr>
                        <w:rFonts w:hint="eastAsia" w:ascii="宋体" w:hAnsi="宋体" w:eastAsia="宋体" w:cs="宋体"/>
                        <w:sz w:val="28"/>
                        <w:szCs w:val="28"/>
                      </w:rPr>
                      <w:fldChar w:fldCharType="end"/>
                    </w:r>
                    <w:r>
                      <w:rPr>
                        <w:rFonts w:hint="eastAsia" w:ascii="宋体" w:hAnsi="宋体" w:eastAsia="宋体" w:cs="宋体"/>
                        <w:sz w:val="28"/>
                        <w:szCs w:val="28"/>
                      </w:rPr>
                      <w:t xml:space="preserve"> —</w:t>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7A32A22">
    <w:pPr>
      <w:pStyle w:val="8"/>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D679F0E">
                          <w:pPr>
                            <w:pStyle w:val="8"/>
                            <w:rPr>
                              <w:rFonts w:hint="eastAsia" w:ascii="宋体" w:hAnsi="宋体" w:eastAsia="宋体" w:cs="宋体"/>
                              <w:sz w:val="28"/>
                              <w:szCs w:val="28"/>
                            </w:rPr>
                          </w:pPr>
                          <w:r>
                            <w:rPr>
                              <w:rFonts w:hint="eastAsia" w:ascii="宋体" w:hAnsi="宋体" w:eastAsia="宋体" w:cs="宋体"/>
                              <w:sz w:val="28"/>
                              <w:szCs w:val="28"/>
                            </w:rPr>
                            <w:t xml:space="preserve">—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2</w:t>
                          </w:r>
                          <w:r>
                            <w:rPr>
                              <w:rFonts w:hint="eastAsia" w:ascii="宋体" w:hAnsi="宋体" w:eastAsia="宋体" w:cs="宋体"/>
                              <w:sz w:val="28"/>
                              <w:szCs w:val="28"/>
                            </w:rPr>
                            <w:fldChar w:fldCharType="end"/>
                          </w:r>
                          <w:r>
                            <w:rPr>
                              <w:rFonts w:hint="eastAsia" w:ascii="宋体" w:hAnsi="宋体" w:eastAsia="宋体" w:cs="宋体"/>
                              <w:sz w:val="28"/>
                              <w:szCs w:val="28"/>
                            </w:rP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7D679F0E">
                    <w:pPr>
                      <w:pStyle w:val="8"/>
                      <w:rPr>
                        <w:rFonts w:hint="eastAsia" w:ascii="宋体" w:hAnsi="宋体" w:eastAsia="宋体" w:cs="宋体"/>
                        <w:sz w:val="28"/>
                        <w:szCs w:val="28"/>
                      </w:rPr>
                    </w:pPr>
                    <w:r>
                      <w:rPr>
                        <w:rFonts w:hint="eastAsia" w:ascii="宋体" w:hAnsi="宋体" w:eastAsia="宋体" w:cs="宋体"/>
                        <w:sz w:val="28"/>
                        <w:szCs w:val="28"/>
                      </w:rPr>
                      <w:t xml:space="preserve">—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2</w:t>
                    </w:r>
                    <w:r>
                      <w:rPr>
                        <w:rFonts w:hint="eastAsia" w:ascii="宋体" w:hAnsi="宋体" w:eastAsia="宋体" w:cs="宋体"/>
                        <w:sz w:val="28"/>
                        <w:szCs w:val="28"/>
                      </w:rPr>
                      <w:fldChar w:fldCharType="end"/>
                    </w:r>
                    <w:r>
                      <w:rPr>
                        <w:rFonts w:hint="eastAsia" w:ascii="宋体" w:hAnsi="宋体" w:eastAsia="宋体" w:cs="宋体"/>
                        <w:sz w:val="28"/>
                        <w:szCs w:val="28"/>
                      </w:rPr>
                      <w:t xml:space="preserve"> —</w:t>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2111B48"/>
    <w:rsid w:val="027C3466"/>
    <w:rsid w:val="062A0642"/>
    <w:rsid w:val="0ADA025B"/>
    <w:rsid w:val="0CA10385"/>
    <w:rsid w:val="0F7A7B04"/>
    <w:rsid w:val="0FA018B6"/>
    <w:rsid w:val="0FEF171B"/>
    <w:rsid w:val="12EF1A32"/>
    <w:rsid w:val="145F2E2A"/>
    <w:rsid w:val="14B7032D"/>
    <w:rsid w:val="16AD71B7"/>
    <w:rsid w:val="17A34B99"/>
    <w:rsid w:val="17FA6EAF"/>
    <w:rsid w:val="1F046865"/>
    <w:rsid w:val="21DD53B7"/>
    <w:rsid w:val="23DC049D"/>
    <w:rsid w:val="253357AE"/>
    <w:rsid w:val="25902EAB"/>
    <w:rsid w:val="28016AD8"/>
    <w:rsid w:val="2DA23BA6"/>
    <w:rsid w:val="2EFE32B1"/>
    <w:rsid w:val="33271FC0"/>
    <w:rsid w:val="37B02C8E"/>
    <w:rsid w:val="39A9208B"/>
    <w:rsid w:val="3C5F4C83"/>
    <w:rsid w:val="3F310B59"/>
    <w:rsid w:val="412C57DD"/>
    <w:rsid w:val="41AA5E81"/>
    <w:rsid w:val="444D5F8B"/>
    <w:rsid w:val="45681D20"/>
    <w:rsid w:val="467A1929"/>
    <w:rsid w:val="4698367A"/>
    <w:rsid w:val="4AC50A6C"/>
    <w:rsid w:val="4C82117A"/>
    <w:rsid w:val="4E79476D"/>
    <w:rsid w:val="4F9C27CA"/>
    <w:rsid w:val="50911259"/>
    <w:rsid w:val="50A867A1"/>
    <w:rsid w:val="58DB52C2"/>
    <w:rsid w:val="5EF7101F"/>
    <w:rsid w:val="65C37817"/>
    <w:rsid w:val="667E12AD"/>
    <w:rsid w:val="66D26364"/>
    <w:rsid w:val="671B58CC"/>
    <w:rsid w:val="69900CFD"/>
    <w:rsid w:val="6BDD679A"/>
    <w:rsid w:val="6C573990"/>
    <w:rsid w:val="6CE10E70"/>
    <w:rsid w:val="6E966750"/>
    <w:rsid w:val="6F4C361D"/>
    <w:rsid w:val="707F70C6"/>
    <w:rsid w:val="73C12A05"/>
    <w:rsid w:val="74B84955"/>
    <w:rsid w:val="76B766E9"/>
    <w:rsid w:val="79CE0777"/>
    <w:rsid w:val="7CBE7FE7"/>
    <w:rsid w:val="7F387467"/>
    <w:rsid w:val="7F5F612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nhideWhenUsed="0" w:uiPriority="9"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iPriority="99"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1"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4">
    <w:name w:val="heading 4"/>
    <w:basedOn w:val="1"/>
    <w:next w:val="1"/>
    <w:qFormat/>
    <w:uiPriority w:val="9"/>
    <w:pPr>
      <w:keepNext/>
      <w:keepLines/>
      <w:spacing w:before="280" w:after="290" w:line="376" w:lineRule="auto"/>
      <w:outlineLvl w:val="3"/>
    </w:pPr>
    <w:rPr>
      <w:rFonts w:ascii="Cambria" w:hAnsi="Cambria" w:cs="Times New Roman"/>
      <w:b/>
      <w:bCs/>
      <w:sz w:val="28"/>
      <w:szCs w:val="28"/>
    </w:rPr>
  </w:style>
  <w:style w:type="character" w:default="1" w:styleId="11">
    <w:name w:val="Default Paragraph Font"/>
    <w:semiHidden/>
    <w:qFormat/>
    <w:uiPriority w:val="0"/>
  </w:style>
  <w:style w:type="table" w:default="1" w:styleId="10">
    <w:name w:val="Normal Table"/>
    <w:semiHidden/>
    <w:qFormat/>
    <w:uiPriority w:val="0"/>
    <w:tblPr>
      <w:tblCellMar>
        <w:top w:w="0" w:type="dxa"/>
        <w:left w:w="108" w:type="dxa"/>
        <w:bottom w:w="0" w:type="dxa"/>
        <w:right w:w="108" w:type="dxa"/>
      </w:tblCellMar>
    </w:tblPr>
  </w:style>
  <w:style w:type="paragraph" w:styleId="2">
    <w:name w:val="Normal Indent"/>
    <w:basedOn w:val="1"/>
    <w:next w:val="3"/>
    <w:unhideWhenUsed/>
    <w:qFormat/>
    <w:uiPriority w:val="99"/>
    <w:pPr>
      <w:ind w:firstLine="420"/>
    </w:pPr>
  </w:style>
  <w:style w:type="paragraph" w:styleId="3">
    <w:name w:val="Body Text First Indent 2"/>
    <w:basedOn w:val="4"/>
    <w:next w:val="5"/>
    <w:qFormat/>
    <w:uiPriority w:val="0"/>
    <w:pPr>
      <w:ind w:firstLine="420" w:firstLineChars="200"/>
    </w:pPr>
    <w:rPr>
      <w:rFonts w:eastAsia="宋体"/>
      <w:w w:val="88"/>
      <w:szCs w:val="21"/>
    </w:rPr>
  </w:style>
  <w:style w:type="paragraph" w:styleId="5">
    <w:name w:val="Body Text First Indent"/>
    <w:basedOn w:val="6"/>
    <w:next w:val="1"/>
    <w:qFormat/>
    <w:uiPriority w:val="0"/>
    <w:pPr>
      <w:spacing w:line="500" w:lineRule="exact"/>
      <w:ind w:firstLine="420"/>
    </w:pPr>
    <w:rPr>
      <w:rFonts w:eastAsia="宋体"/>
      <w:sz w:val="28"/>
    </w:rPr>
  </w:style>
  <w:style w:type="paragraph" w:styleId="6">
    <w:name w:val="Body Text"/>
    <w:basedOn w:val="1"/>
    <w:next w:val="7"/>
    <w:qFormat/>
    <w:uiPriority w:val="1"/>
    <w:rPr>
      <w:rFonts w:ascii="宋体" w:hAnsi="宋体" w:eastAsia="宋体" w:cs="宋体"/>
      <w:sz w:val="32"/>
      <w:szCs w:val="32"/>
      <w:lang w:val="en-US" w:eastAsia="zh-CN" w:bidi="ar-SA"/>
    </w:rPr>
  </w:style>
  <w:style w:type="paragraph" w:styleId="7">
    <w:name w:val="Title"/>
    <w:basedOn w:val="1"/>
    <w:next w:val="1"/>
    <w:qFormat/>
    <w:uiPriority w:val="1"/>
    <w:pPr>
      <w:spacing w:before="3"/>
      <w:ind w:left="65" w:right="164"/>
      <w:jc w:val="center"/>
    </w:pPr>
    <w:rPr>
      <w:rFonts w:ascii="宋体" w:hAnsi="宋体" w:eastAsia="宋体" w:cs="宋体"/>
      <w:sz w:val="100"/>
      <w:szCs w:val="100"/>
      <w:lang w:val="en-US" w:eastAsia="zh-CN" w:bidi="ar-SA"/>
    </w:rPr>
  </w:style>
  <w:style w:type="paragraph" w:styleId="8">
    <w:name w:val="footer"/>
    <w:basedOn w:val="1"/>
    <w:qFormat/>
    <w:uiPriority w:val="0"/>
    <w:pPr>
      <w:tabs>
        <w:tab w:val="center" w:pos="4153"/>
        <w:tab w:val="right" w:pos="8306"/>
      </w:tabs>
      <w:snapToGrid w:val="0"/>
      <w:jc w:val="left"/>
    </w:pPr>
    <w:rPr>
      <w:sz w:val="18"/>
    </w:rPr>
  </w:style>
  <w:style w:type="paragraph" w:styleId="9">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7</Pages>
  <Words>2149</Words>
  <Characters>2193</Characters>
  <Lines>0</Lines>
  <Paragraphs>0</Paragraphs>
  <TotalTime>22</TotalTime>
  <ScaleCrop>false</ScaleCrop>
  <LinksUpToDate>false</LinksUpToDate>
  <CharactersWithSpaces>2198</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2025-08-19T01:55:00Z</dcterms:created>
  <dc:creator>Administrator</dc:creator>
  <cp:lastModifiedBy>zz</cp:lastModifiedBy>
  <cp:lastPrinted>2025-10-15T05:33:09Z</cp:lastPrinted>
  <dcterms:modified xsi:type="dcterms:W3CDTF">2025-10-15T05:44:39Z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KSOTemplateDocerSaveRecord">
    <vt:lpwstr>eyJoZGlkIjoiMzBhY2MyYTIxMWNmOGFjNTkyN2M5ZDk4OThmZTQ2NmUiLCJ1c2VySWQiOiIxMzYxNTQ1NzE4In0=</vt:lpwstr>
  </property>
  <property fmtid="{D5CDD505-2E9C-101B-9397-08002B2CF9AE}" pid="4" name="ICV">
    <vt:lpwstr>CBD3E9B12E2A4572B734972E6D9433B0_13</vt:lpwstr>
  </property>
</Properties>
</file>