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附件4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赞皇县纪委监委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4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贯彻落实《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赞皇县财政局关于印发&lt;赞皇县全面实施预算绩效管理推进工作方案的通知&gt;</w:t>
      </w:r>
      <w:r>
        <w:rPr>
          <w:rFonts w:hint="eastAsia" w:ascii="仿宋_GB2312" w:hAnsi="仿宋_GB2312" w:eastAsia="仿宋_GB2312" w:cs="仿宋_GB2312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赞财预</w:t>
      </w:r>
      <w:r>
        <w:rPr>
          <w:rFonts w:hint="eastAsia" w:ascii="仿宋_GB2312" w:hAnsi="仿宋_GB2312" w:eastAsia="仿宋_GB2312" w:cs="仿宋_GB2312"/>
          <w:sz w:val="32"/>
          <w:szCs w:val="32"/>
        </w:rPr>
        <w:t>﹝20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19</w:t>
      </w:r>
      <w:r>
        <w:rPr>
          <w:rFonts w:hint="eastAsia" w:ascii="仿宋_GB2312" w:hAnsi="仿宋_GB2312" w:eastAsia="仿宋_GB2312" w:cs="仿宋_GB2312"/>
          <w:sz w:val="32"/>
          <w:szCs w:val="32"/>
        </w:rPr>
        <w:t>﹞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sz w:val="32"/>
          <w:szCs w:val="32"/>
        </w:rPr>
        <w:t>号）》文件精神，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遵循“科学性、规范性、客观性和公正性”的原则，对赞皇县纪委监委2024年整体支出情况实施了财政支出绩效自评价，形成本评价报告。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>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hint="eastAsia" w:ascii="楷体" w:hAnsi="楷体" w:eastAsia="楷体" w:cs="楷体_GB2312"/>
          <w:b/>
          <w:bCs w:val="0"/>
          <w:sz w:val="32"/>
          <w:szCs w:val="32"/>
        </w:rPr>
      </w:pPr>
      <w:r>
        <w:rPr>
          <w:rFonts w:hint="eastAsia" w:ascii="楷体" w:hAnsi="楷体" w:eastAsia="楷体" w:cs="楷体_GB2312"/>
          <w:b/>
          <w:bCs w:val="0"/>
          <w:sz w:val="32"/>
          <w:szCs w:val="32"/>
        </w:rPr>
        <w:t>（一）部门概况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主要职能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1）负责全县党的纪律检查工作。贯彻落实党中央和省委、市委、县委关于纪律检查工作的决策部署，维护党的章程和其他党内法规，检查党的路线方针政策和决议的执行情况，协助县委推进全面从严治党、加强党风建设和组织协调反腐败工作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（2）依照党的章程和其他党内法规履行监督、执纪、问责职责。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（3）支持配合巡视、巡察工作。承担巡视、巡察整改日常监督责任，做好巡视、巡察整改督查督办工作，依规依纪依法处置巡视、巡察移交的反映领导干部问题线索。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4）负责全县监察工作。贯彻落实党中央和省委、市委、县委关于监察工作的决策部署，维护宪法法律，依法对县委管理的行使公权力的公职人员进行监察，调查职务违法和职务犯罪，开展廉政建设和反腐败工作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（5）依照法律规定履行监督、调查、处置职责。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（6）负责组织协调全面从严治党、党风廉政建设和反腐败宣传教育工作。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（7）负责综合分析全面从严治党、党风廉政建设和反腐败工作情况。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（8）负责组织协调全县反腐败追逃追赃和防逃工作，督促有关单位做好相关工作。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（9）根据干部管理权限，负责全县纪检监察系统领导班子建设、干部队伍建设和组织建设的综合规划、制度建设，组织全县纪检监察系统干部教育培训工作等。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（10）完成市纪委监委、县委交办的其他任务。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rightChars="0" w:firstLine="643" w:firstLineChars="2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2、机构及人员情况：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赞皇县纪委监委机关设置办公室、党风政风监督室、信访室(案管室)、第一至第七纪检监察室、案件审理室、县委巡察办。纪委监委、县委巡察办编制共计70人，年末实有在职63人（其中工人1人），退休18人（其中１名合同工人在社保发工资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rightChars="0"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3、资产等基本情况：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2024年我委固定资产总额为437.26万元。其中：车辆8辆，价值122.33万元、其他固定资产314.93万元。出租、出借、处置国有资产规范，按资产管理有关规定执行，相关收入按规定及时足额上缴。资产账与财务账相符，固定资产利用率为100％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hint="eastAsia" w:ascii="楷体" w:hAnsi="楷体" w:eastAsia="楷体" w:cs="楷体_GB2312"/>
          <w:b/>
          <w:bCs w:val="0"/>
          <w:sz w:val="32"/>
          <w:szCs w:val="32"/>
        </w:rPr>
      </w:pPr>
      <w:r>
        <w:rPr>
          <w:rFonts w:hint="eastAsia" w:ascii="楷体" w:hAnsi="楷体" w:eastAsia="楷体" w:cs="楷体_GB2312"/>
          <w:b/>
          <w:bCs w:val="0"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_GB2312"/>
          <w:b/>
          <w:bCs w:val="0"/>
          <w:sz w:val="32"/>
          <w:szCs w:val="32"/>
          <w:lang w:val="en-US" w:eastAsia="zh-CN"/>
        </w:rPr>
        <w:t>二</w:t>
      </w:r>
      <w:r>
        <w:rPr>
          <w:rFonts w:hint="eastAsia" w:ascii="楷体" w:hAnsi="楷体" w:eastAsia="楷体" w:cs="楷体_GB2312"/>
          <w:b/>
          <w:bCs w:val="0"/>
          <w:sz w:val="32"/>
          <w:szCs w:val="32"/>
          <w:lang w:eastAsia="zh-CN"/>
        </w:rPr>
        <w:t>）</w:t>
      </w:r>
      <w:r>
        <w:rPr>
          <w:rFonts w:hint="eastAsia" w:ascii="楷体" w:hAnsi="楷体" w:eastAsia="楷体" w:cs="楷体_GB2312"/>
          <w:b/>
          <w:bCs w:val="0"/>
          <w:sz w:val="32"/>
          <w:szCs w:val="32"/>
        </w:rPr>
        <w:t>部门收支预决算情况</w:t>
      </w:r>
    </w:p>
    <w:p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2024年我委预算财政拨款收入1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192.75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万元（上年结转0万元），实际支出1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180.6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万元，其中人员经费支出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821.08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万元，公用经费支出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263.67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万元，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项目支出95.85万元。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整体支出完成率99%。不存在结转结余情况，期末结转结余率为零。</w:t>
      </w:r>
      <w:bookmarkStart w:id="1" w:name="_GoBack"/>
      <w:bookmarkEnd w:id="1"/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ascii="楷体" w:hAnsi="楷体" w:eastAsia="楷体" w:cs="楷体_GB2312"/>
          <w:b/>
          <w:bCs w:val="0"/>
          <w:sz w:val="32"/>
          <w:szCs w:val="32"/>
        </w:rPr>
      </w:pPr>
      <w:r>
        <w:rPr>
          <w:rFonts w:hint="eastAsia" w:ascii="楷体" w:hAnsi="楷体" w:eastAsia="楷体" w:cs="楷体_GB2312"/>
          <w:b/>
          <w:bCs w:val="0"/>
          <w:sz w:val="32"/>
          <w:szCs w:val="32"/>
        </w:rPr>
        <w:t>（三）部门整体支出绩效目标、指标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3" w:firstLineChars="200"/>
        <w:jc w:val="left"/>
        <w:textAlignment w:val="auto"/>
        <w:outlineLvl w:val="9"/>
        <w:rPr>
          <w:rFonts w:hint="eastAsia" w:ascii="楷体" w:hAnsi="楷体" w:eastAsia="楷体" w:cs="楷体"/>
          <w:b/>
          <w:color w:val="auto"/>
          <w:spacing w:val="0"/>
          <w:position w:val="0"/>
          <w:sz w:val="32"/>
          <w:szCs w:val="22"/>
          <w:shd w:val="clear" w:color="auto" w:fill="auto"/>
          <w:lang w:eastAsia="zh-CN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1．</w:t>
      </w:r>
      <w:r>
        <w:rPr>
          <w:rFonts w:hint="eastAsia" w:ascii="楷体" w:hAnsi="楷体" w:eastAsia="楷体" w:cs="楷体"/>
          <w:b/>
          <w:color w:val="auto"/>
          <w:spacing w:val="0"/>
          <w:position w:val="0"/>
          <w:sz w:val="32"/>
          <w:szCs w:val="22"/>
          <w:shd w:val="clear" w:color="auto" w:fill="auto"/>
          <w:lang w:eastAsia="zh-CN"/>
        </w:rPr>
        <w:t>总体绩效目标</w:t>
      </w:r>
    </w:p>
    <w:p>
      <w:pPr>
        <w:pStyle w:val="1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以习近平新时代中国特色社会主义思想为指导，深入学习贯彻落实党的二十大精神，坚持稳中求进工作总基调，以党的政治建设为统领，协助党委全面从严治党，一体推进不敢腐、不能腐、不想腐，巩固反腐败斗争压倒性胜利，实现依规治党和依法治国有机统一，确保2024年结案率达90%，保障办案安全，完成巡察年度任务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3" w:firstLineChars="200"/>
        <w:jc w:val="left"/>
        <w:textAlignment w:val="auto"/>
        <w:outlineLvl w:val="9"/>
        <w:rPr>
          <w:rFonts w:hint="eastAsia" w:ascii="楷体" w:hAnsi="楷体" w:eastAsia="楷体" w:cs="楷体"/>
          <w:b/>
          <w:color w:val="auto"/>
          <w:spacing w:val="0"/>
          <w:position w:val="0"/>
          <w:sz w:val="32"/>
          <w:szCs w:val="22"/>
          <w:shd w:val="clear" w:color="auto" w:fill="auto"/>
          <w:lang w:eastAsia="zh-CN"/>
        </w:rPr>
      </w:pPr>
      <w:r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/>
          <w:b/>
          <w:bCs/>
          <w:sz w:val="32"/>
          <w:szCs w:val="32"/>
        </w:rPr>
        <w:t>．</w:t>
      </w:r>
      <w:r>
        <w:rPr>
          <w:rFonts w:hint="eastAsia" w:ascii="楷体" w:hAnsi="楷体" w:eastAsia="楷体" w:cs="楷体"/>
          <w:b/>
          <w:color w:val="auto"/>
          <w:spacing w:val="0"/>
          <w:position w:val="0"/>
          <w:sz w:val="32"/>
          <w:szCs w:val="22"/>
          <w:shd w:val="clear" w:color="auto" w:fill="auto"/>
          <w:lang w:eastAsia="zh-CN"/>
        </w:rPr>
        <w:t>分项绩效目标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right="0" w:rightChars="0" w:firstLine="640" w:firstLineChars="200"/>
        <w:jc w:val="both"/>
        <w:textAlignment w:val="auto"/>
        <w:outlineLvl w:val="9"/>
        <w:rPr>
          <w:rFonts w:hint="eastAsia" w:ascii="楷体" w:hAnsi="楷体" w:eastAsia="楷体" w:cs="楷体"/>
          <w:b w:val="0"/>
          <w:bCs/>
          <w:color w:val="auto"/>
          <w:spacing w:val="0"/>
          <w:position w:val="0"/>
          <w:sz w:val="32"/>
          <w:szCs w:val="22"/>
          <w:shd w:val="clear" w:color="auto" w:fill="auto"/>
          <w:lang w:eastAsia="zh-CN"/>
        </w:rPr>
      </w:pPr>
      <w:r>
        <w:rPr>
          <w:rFonts w:hint="eastAsia" w:ascii="楷体" w:hAnsi="楷体" w:eastAsia="楷体" w:cs="楷体"/>
          <w:b w:val="0"/>
          <w:bCs/>
          <w:color w:val="auto"/>
          <w:spacing w:val="0"/>
          <w:position w:val="0"/>
          <w:sz w:val="32"/>
          <w:szCs w:val="22"/>
          <w:shd w:val="clear" w:color="auto" w:fill="auto"/>
          <w:lang w:eastAsia="zh-CN"/>
        </w:rPr>
        <w:t>（</w:t>
      </w:r>
      <w:r>
        <w:rPr>
          <w:rFonts w:hint="eastAsia" w:ascii="楷体" w:hAnsi="楷体" w:eastAsia="楷体" w:cs="楷体"/>
          <w:b w:val="0"/>
          <w:bCs/>
          <w:color w:val="auto"/>
          <w:spacing w:val="0"/>
          <w:position w:val="0"/>
          <w:sz w:val="32"/>
          <w:szCs w:val="22"/>
          <w:shd w:val="clear" w:color="auto" w:fill="auto"/>
          <w:lang w:val="en-US" w:eastAsia="zh-CN"/>
        </w:rPr>
        <w:t>1</w:t>
      </w:r>
      <w:r>
        <w:rPr>
          <w:rFonts w:hint="eastAsia" w:ascii="楷体" w:hAnsi="楷体" w:eastAsia="楷体" w:cs="楷体"/>
          <w:b w:val="0"/>
          <w:bCs/>
          <w:color w:val="auto"/>
          <w:spacing w:val="0"/>
          <w:position w:val="0"/>
          <w:sz w:val="32"/>
          <w:szCs w:val="22"/>
          <w:shd w:val="clear" w:color="auto" w:fill="auto"/>
          <w:lang w:eastAsia="zh-CN"/>
        </w:rPr>
        <w:t>）案件审查调查</w:t>
      </w:r>
    </w:p>
    <w:p>
      <w:pPr>
        <w:pStyle w:val="1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绩效目标：维护党纪国法尊严，坚决惩处腐败分子，有效遏制腐败现象。严肃查处各项违纪违法案件，坚决维护党纪国法尊严；线索管理规范有序、处置合理，为案件查办奠定基础。查办贪污贿赂犯罪和渎职侵权犯罪案件工作，发现一件，查处一件，依法严惩职务犯罪。</w:t>
      </w:r>
    </w:p>
    <w:p>
      <w:pPr>
        <w:pStyle w:val="1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绩效指标：案件查办率--查办案件数占受理案件数的比例&gt;90%；线索收集成效率--查办案件数占线索收集件数的比例&gt;90%。案件查结率--结案件数占同期立案案件的比例&gt;90%。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right="0" w:rightChars="0" w:firstLine="640" w:firstLineChars="200"/>
        <w:jc w:val="both"/>
        <w:textAlignment w:val="auto"/>
        <w:outlineLvl w:val="9"/>
        <w:rPr>
          <w:rFonts w:hint="eastAsia" w:ascii="楷体" w:hAnsi="楷体" w:eastAsia="楷体" w:cs="楷体"/>
          <w:b w:val="0"/>
          <w:bCs/>
          <w:color w:val="auto"/>
          <w:spacing w:val="0"/>
          <w:position w:val="0"/>
          <w:sz w:val="32"/>
          <w:szCs w:val="22"/>
          <w:shd w:val="clear" w:color="auto" w:fill="auto"/>
          <w:lang w:eastAsia="zh-CN"/>
        </w:rPr>
      </w:pPr>
      <w:r>
        <w:rPr>
          <w:rFonts w:hint="eastAsia" w:ascii="楷体" w:hAnsi="楷体" w:eastAsia="楷体" w:cs="楷体"/>
          <w:b w:val="0"/>
          <w:bCs/>
          <w:color w:val="auto"/>
          <w:spacing w:val="0"/>
          <w:position w:val="0"/>
          <w:sz w:val="32"/>
          <w:szCs w:val="22"/>
          <w:shd w:val="clear" w:color="auto" w:fill="auto"/>
          <w:lang w:eastAsia="zh-CN"/>
        </w:rPr>
        <w:t>（2）党风廉政建设</w:t>
      </w:r>
    </w:p>
    <w:p>
      <w:pPr>
        <w:pStyle w:val="1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绩效目标：积极发挥职能作用，加强党风廉政建设，营造风清气正、干事创业的工作氛围。充分发挥正面典型的示范作用和反面典型的警示作用，促进各级干部廉洁从政；认真查找腐败问题易发多发的重点领域和关键环节，研究分析腐败现象的规律，制定针对性强的防控措施。</w:t>
      </w:r>
    </w:p>
    <w:p>
      <w:pPr>
        <w:pStyle w:val="1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绩效指标：预防工作成效率--预防腐败防控措施的成效&gt;90%。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right="0" w:rightChars="0" w:firstLine="640" w:firstLineChars="200"/>
        <w:jc w:val="both"/>
        <w:textAlignment w:val="auto"/>
        <w:outlineLvl w:val="9"/>
        <w:rPr>
          <w:rFonts w:hint="eastAsia" w:ascii="楷体" w:hAnsi="楷体" w:eastAsia="楷体" w:cs="楷体"/>
          <w:b w:val="0"/>
          <w:bCs/>
          <w:color w:val="auto"/>
          <w:spacing w:val="0"/>
          <w:position w:val="0"/>
          <w:sz w:val="32"/>
          <w:szCs w:val="22"/>
          <w:shd w:val="clear" w:color="auto" w:fill="auto"/>
        </w:rPr>
      </w:pPr>
      <w:r>
        <w:rPr>
          <w:rFonts w:hint="eastAsia" w:ascii="楷体" w:hAnsi="楷体" w:eastAsia="楷体" w:cs="楷体"/>
          <w:b w:val="0"/>
          <w:bCs/>
          <w:color w:val="auto"/>
          <w:spacing w:val="0"/>
          <w:position w:val="0"/>
          <w:sz w:val="32"/>
          <w:szCs w:val="22"/>
          <w:shd w:val="clear" w:color="auto" w:fill="auto"/>
          <w:lang w:eastAsia="zh-CN"/>
        </w:rPr>
        <w:t>（</w:t>
      </w:r>
      <w:r>
        <w:rPr>
          <w:rFonts w:hint="eastAsia" w:ascii="楷体" w:hAnsi="楷体" w:eastAsia="楷体" w:cs="楷体"/>
          <w:b w:val="0"/>
          <w:bCs/>
          <w:color w:val="auto"/>
          <w:spacing w:val="0"/>
          <w:position w:val="0"/>
          <w:sz w:val="32"/>
          <w:szCs w:val="22"/>
          <w:shd w:val="clear" w:color="auto" w:fill="auto"/>
        </w:rPr>
        <w:t>3</w:t>
      </w:r>
      <w:r>
        <w:rPr>
          <w:rFonts w:hint="eastAsia" w:ascii="楷体" w:hAnsi="楷体" w:eastAsia="楷体" w:cs="楷体"/>
          <w:b w:val="0"/>
          <w:bCs/>
          <w:color w:val="auto"/>
          <w:spacing w:val="0"/>
          <w:position w:val="0"/>
          <w:sz w:val="32"/>
          <w:szCs w:val="22"/>
          <w:shd w:val="clear" w:color="auto" w:fill="auto"/>
          <w:lang w:eastAsia="zh-CN"/>
        </w:rPr>
        <w:t>）</w:t>
      </w:r>
      <w:r>
        <w:rPr>
          <w:rFonts w:hint="eastAsia" w:ascii="楷体" w:hAnsi="楷体" w:eastAsia="楷体" w:cs="楷体"/>
          <w:b w:val="0"/>
          <w:bCs/>
          <w:color w:val="auto"/>
          <w:spacing w:val="0"/>
          <w:position w:val="0"/>
          <w:sz w:val="32"/>
          <w:szCs w:val="22"/>
          <w:shd w:val="clear" w:color="auto" w:fill="auto"/>
        </w:rPr>
        <w:t>日常监督和巡察工作</w:t>
      </w:r>
    </w:p>
    <w:p>
      <w:pPr>
        <w:pStyle w:val="1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绩效目标：按计划开展巡察工作，强化日常监督，推动监督下沉、落地，更好的实践运用“第一种形态”，抓早抓小，防微杜渐，推动咬耳朵、扯袖子、红红脸、出出汗成为常态。</w:t>
      </w:r>
    </w:p>
    <w:p>
      <w:pPr>
        <w:pStyle w:val="1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绩效指标：巡察工作完成率--完成巡察任务占年度巡察计划的比例&gt;90%。日常监督工作完成率&gt;90%。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right="0" w:rightChars="0" w:firstLine="640" w:firstLineChars="200"/>
        <w:jc w:val="both"/>
        <w:textAlignment w:val="auto"/>
        <w:outlineLvl w:val="9"/>
        <w:rPr>
          <w:rFonts w:hint="eastAsia" w:ascii="楷体" w:hAnsi="楷体" w:eastAsia="楷体" w:cs="楷体"/>
          <w:b w:val="0"/>
          <w:bCs/>
          <w:color w:val="auto"/>
          <w:spacing w:val="0"/>
          <w:position w:val="0"/>
          <w:sz w:val="32"/>
          <w:szCs w:val="22"/>
          <w:shd w:val="clear" w:color="auto" w:fill="auto"/>
          <w:lang w:eastAsia="zh-CN"/>
        </w:rPr>
      </w:pPr>
      <w:r>
        <w:rPr>
          <w:rFonts w:hint="eastAsia" w:ascii="楷体" w:hAnsi="楷体" w:eastAsia="楷体" w:cs="楷体"/>
          <w:b w:val="0"/>
          <w:bCs/>
          <w:color w:val="auto"/>
          <w:spacing w:val="0"/>
          <w:position w:val="0"/>
          <w:sz w:val="32"/>
          <w:szCs w:val="22"/>
          <w:shd w:val="clear" w:color="auto" w:fill="auto"/>
          <w:lang w:eastAsia="zh-CN"/>
        </w:rPr>
        <w:t>（4）纪检监察后勤事务管理</w:t>
      </w:r>
    </w:p>
    <w:p>
      <w:pPr>
        <w:pStyle w:val="1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绩效目标：为监督检查、审查调查业务、党风廉政建设提供服务和保障。</w:t>
      </w:r>
    </w:p>
    <w:p>
      <w:pPr>
        <w:pStyle w:val="1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绩效指标：综合事务完成率--综合事务工作任务完成情况&gt;90%；网络畅通率--各个网络畅通情况&gt;90%；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right="0" w:rightChars="0" w:firstLine="640" w:firstLineChars="200"/>
        <w:jc w:val="both"/>
        <w:textAlignment w:val="auto"/>
        <w:outlineLvl w:val="9"/>
        <w:rPr>
          <w:rFonts w:hint="eastAsia" w:ascii="楷体" w:hAnsi="楷体" w:eastAsia="楷体" w:cs="楷体"/>
          <w:b w:val="0"/>
          <w:bCs/>
          <w:color w:val="auto"/>
          <w:spacing w:val="0"/>
          <w:position w:val="0"/>
          <w:sz w:val="32"/>
          <w:szCs w:val="22"/>
          <w:shd w:val="clear" w:color="auto" w:fill="auto"/>
          <w:lang w:eastAsia="zh-CN"/>
        </w:rPr>
      </w:pPr>
      <w:r>
        <w:rPr>
          <w:rFonts w:hint="eastAsia" w:ascii="楷体" w:hAnsi="楷体" w:eastAsia="楷体" w:cs="楷体"/>
          <w:b w:val="0"/>
          <w:bCs/>
          <w:color w:val="auto"/>
          <w:spacing w:val="0"/>
          <w:position w:val="0"/>
          <w:sz w:val="32"/>
          <w:szCs w:val="22"/>
          <w:shd w:val="clear" w:color="auto" w:fill="auto"/>
          <w:lang w:eastAsia="zh-CN"/>
        </w:rPr>
        <w:t>（5）纪检监察系统队伍管理</w:t>
      </w:r>
    </w:p>
    <w:p>
      <w:pPr>
        <w:pStyle w:val="1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绩效目标：加强全县纪检监察系统领导班子、干部队伍和组织建设，打造一支高素质、高水平的纪检监察干部队伍。</w:t>
      </w:r>
    </w:p>
    <w:p>
      <w:pPr>
        <w:pStyle w:val="1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绩效指标：纪检监察干部合格率--纪检监察干部称职&gt;90%。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right="0" w:rightChars="0" w:firstLine="643" w:firstLineChars="200"/>
        <w:jc w:val="left"/>
        <w:textAlignment w:val="auto"/>
        <w:outlineLvl w:val="9"/>
        <w:rPr>
          <w:rFonts w:hint="eastAsia" w:ascii="楷体" w:hAnsi="楷体" w:eastAsia="楷体" w:cs="楷体"/>
          <w:b/>
          <w:color w:val="auto"/>
          <w:spacing w:val="0"/>
          <w:position w:val="0"/>
          <w:sz w:val="32"/>
          <w:szCs w:val="22"/>
          <w:shd w:val="clear" w:color="auto" w:fill="auto"/>
        </w:rPr>
      </w:pPr>
      <w:r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  <w:t>３</w:t>
      </w:r>
      <w:r>
        <w:rPr>
          <w:rFonts w:hint="eastAsia" w:ascii="仿宋" w:hAnsi="仿宋" w:eastAsia="仿宋"/>
          <w:b/>
          <w:bCs/>
          <w:sz w:val="32"/>
          <w:szCs w:val="32"/>
        </w:rPr>
        <w:t>．</w:t>
      </w:r>
      <w:r>
        <w:rPr>
          <w:rFonts w:hint="eastAsia" w:ascii="楷体" w:hAnsi="楷体" w:eastAsia="楷体" w:cs="楷体"/>
          <w:b/>
          <w:color w:val="auto"/>
          <w:spacing w:val="0"/>
          <w:position w:val="0"/>
          <w:sz w:val="32"/>
          <w:szCs w:val="22"/>
          <w:shd w:val="clear" w:color="auto" w:fill="auto"/>
        </w:rPr>
        <w:t>工作保障措施</w:t>
      </w:r>
    </w:p>
    <w:p>
      <w:pPr>
        <w:pStyle w:val="1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（1）坚定不移做到“两个维护”。坚持把学习贯彻党的二十大精神作为首要政治任务，持续跟进、专题学习习近平总书记系列重要讲话和指示批示精神，带动全系统自觉用创新理论武装头脑、指导实践、推动工作。聚焦解决“七个有之”问题，坚决清除对党不忠诚不老实、阳奉阴违的两面人。认真履行协助党委推进全面从严治党责任，用好问责利器，推动主体责任落地落实落细。</w:t>
      </w:r>
    </w:p>
    <w:p>
      <w:pPr>
        <w:pStyle w:val="1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（2）坚定不移深化反腐败斗争。坚持无禁区、全覆盖、零容忍，坚持重遏制、强高压、长震慑，坚持受贿行贿一起查，始终保持高压态势，有效减存量、遏增量。大力整治群众身边的腐败和不正之风等，持之以恒纠正“四风”。开展廉洁文化活动，继续创建和规范打造各具特色的廉洁文化示范点工作。以案为鉴开展警示教育。</w:t>
      </w:r>
    </w:p>
    <w:p>
      <w:pPr>
        <w:pStyle w:val="1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（3）不断增强监督治理效能。充分发挥党内监督的政治引领作用，把监督融入全县重点工作中，强化以监督促治理。持续深化分管副书记牵头抓总、主管常委组织协调、内设机构具体负责的包联监督机制，推动监督下沉、监督落地。</w:t>
      </w:r>
    </w:p>
    <w:p>
      <w:pPr>
        <w:pStyle w:val="1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（4）充分发挥巡察利剑作用。牢牢把握中央巡视工作方针，精准落实政治巡察要求，按计划开展县委巡察工作，完善巡察工作流程及自身建设类规则，完善协作配合机制。</w:t>
      </w:r>
    </w:p>
    <w:p>
      <w:pPr>
        <w:pStyle w:val="1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（5）持续深化纪检监察体制改革。积极推进监察职能向基层延伸，打通监察监督“最后一公里”，探索完善纪法贯通机制、法法衔接机制、内部监督管理机制，把执纪和执法贯通起来，做到监督执纪和监察执法一体推进，贯通运用监督执纪“四种形态”，努力实现良好政治效果、法纪效果和社会效果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3" w:firstLineChars="200"/>
        <w:textAlignment w:val="auto"/>
        <w:rPr>
          <w:rFonts w:hint="eastAsia" w:ascii="楷体" w:hAnsi="楷体" w:eastAsia="楷体" w:cs="楷体_GB2312"/>
          <w:b/>
          <w:bCs w:val="0"/>
          <w:sz w:val="32"/>
          <w:szCs w:val="32"/>
        </w:rPr>
      </w:pPr>
      <w:r>
        <w:rPr>
          <w:rFonts w:hint="eastAsia" w:ascii="楷体" w:hAnsi="楷体" w:eastAsia="楷体" w:cs="楷体_GB2312"/>
          <w:b/>
          <w:bCs w:val="0"/>
          <w:sz w:val="32"/>
          <w:szCs w:val="32"/>
        </w:rPr>
        <w:t>（一）自评的组织工作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为做好我委2024年度绩效自评工作，成立绩效评价小组。组长由县纪委常委、县委巡察办主任池彦军担任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,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副组长为县纪委监委办公室主任冯超伦，成员为县纪委监委办公室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王子玮、周禹良，县委巡察办公室陈素亭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。评价工作小组下设办公室在我委办公室，具体负责评价工作小组日常的组织、协调、综合及资料收集工作。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3" w:firstLineChars="200"/>
        <w:textAlignment w:val="auto"/>
        <w:rPr>
          <w:rFonts w:ascii="楷体" w:hAnsi="楷体" w:eastAsia="楷体" w:cs="楷体_GB2312"/>
          <w:b/>
          <w:bCs w:val="0"/>
          <w:sz w:val="32"/>
          <w:szCs w:val="32"/>
        </w:rPr>
      </w:pPr>
      <w:r>
        <w:rPr>
          <w:rFonts w:hint="eastAsia" w:ascii="楷体" w:hAnsi="楷体" w:eastAsia="楷体" w:cs="楷体_GB2312"/>
          <w:b/>
          <w:bCs w:val="0"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_GB2312"/>
          <w:b/>
          <w:bCs w:val="0"/>
          <w:sz w:val="32"/>
          <w:szCs w:val="32"/>
          <w:lang w:val="en-US" w:eastAsia="zh-CN"/>
        </w:rPr>
        <w:t>二</w:t>
      </w:r>
      <w:r>
        <w:rPr>
          <w:rFonts w:hint="eastAsia" w:ascii="楷体" w:hAnsi="楷体" w:eastAsia="楷体" w:cs="楷体_GB2312"/>
          <w:b/>
          <w:bCs w:val="0"/>
          <w:sz w:val="32"/>
          <w:szCs w:val="32"/>
          <w:lang w:eastAsia="zh-CN"/>
        </w:rPr>
        <w:t>）</w:t>
      </w:r>
      <w:r>
        <w:rPr>
          <w:rFonts w:hint="eastAsia" w:ascii="楷体" w:hAnsi="楷体" w:eastAsia="楷体" w:cs="楷体_GB2312"/>
          <w:b/>
          <w:bCs w:val="0"/>
          <w:sz w:val="32"/>
          <w:szCs w:val="32"/>
        </w:rPr>
        <w:t>自评的方法和过程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我委根据赞皇县财政局关于开展2024年绩效自评工作的通知要求，成立整体绩效评价工作小组。办公室负责填写部门整体绩效自评有关数据、对照部门整体支出绩效自评指标评分表的评价指标进行收集资料，填写绩效自评基础数据表，撰写整体支出绩效自评报告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三、部门整体支出绩效目标实现情况及指标分析</w:t>
      </w:r>
    </w:p>
    <w:p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3" w:firstLineChars="200"/>
        <w:textAlignment w:val="auto"/>
        <w:rPr>
          <w:rFonts w:ascii="楷体" w:hAnsi="楷体" w:eastAsia="楷体" w:cs="楷体_GB2312"/>
          <w:b/>
          <w:bCs w:val="0"/>
          <w:sz w:val="32"/>
          <w:szCs w:val="32"/>
        </w:rPr>
      </w:pPr>
      <w:r>
        <w:rPr>
          <w:rFonts w:hint="eastAsia" w:ascii="楷体" w:hAnsi="楷体" w:eastAsia="楷体" w:cs="楷体_GB2312"/>
          <w:b/>
          <w:bCs w:val="0"/>
          <w:sz w:val="32"/>
          <w:szCs w:val="32"/>
        </w:rPr>
        <w:t>总体绩效目标实现情况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2024年在市纪委监委和县委的坚强领导下，县纪委监委坚持以习近平新时代中国特色社会主义思想为指导，认真学习贯彻落实党的二十大和中央、省、市纪委全会精神，忠诚履行“两个维护”政治责任，牢固树立“四个意识”，坚定“四个自信”，坚定不移推进全县党风廉政建设和反腐败斗争，为打造“绿水青山就是金山银山”的赞皇实践、赞皇样板提供了坚强纪律保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 w:cs="楷体_GB2312"/>
          <w:b/>
          <w:bCs/>
          <w:sz w:val="32"/>
          <w:szCs w:val="32"/>
        </w:rPr>
        <w:t>（二）分项绩效目标实现情况及指标分析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1、</w:t>
      </w:r>
      <w:r>
        <w:rPr>
          <w:rFonts w:hint="eastAsia" w:ascii="仿宋_GB2312" w:hAnsi="仿宋_GB2312" w:eastAsia="仿宋_GB2312" w:cs="仿宋_GB2312"/>
          <w:color w:val="000000" w:themeColor="text1"/>
          <w:spacing w:val="0"/>
          <w:kern w:val="2"/>
          <w:sz w:val="32"/>
          <w:szCs w:val="32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紧紧围绕“两个维护”，以具体化、精准化、常态化的政治监督，严明政治纪律和政治规矩。聚焦监督贯彻习近平总书记重要指示批示精神等三个方面26项工作，查处违反政治纪律、意识形态落实不到位1人。强化同级党委监督，制发提示函34份。用好提醒“一把手”落实政治要件的四项措施，开展廉政谈话181人次，日常提醒80余次。每月制发月度监督任务清单，围绕万亿国债申请使用、违规吃喝、营商环境等21项工作，督促整改问题1241个，制发提示函45份，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2、</w:t>
      </w:r>
      <w:r>
        <w:rPr>
          <w:rFonts w:hint="eastAsia" w:ascii="仿宋_GB2312" w:hAnsi="仿宋_GB2312" w:eastAsia="仿宋_GB2312" w:cs="仿宋_GB2312"/>
          <w:color w:val="000000" w:themeColor="text1"/>
          <w:spacing w:val="0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坚持“三不腐”同时发力、同向发力、综合发力，不断铲除腐败滋生的土壤和条件。全年共处置问题线索650件，立案330件366人，给予党纪政务处分345人，留置6人（县管干部4人），移送司法5人。制发纪律检查、监察建议110份。</w:t>
      </w:r>
      <w:r>
        <w:rPr>
          <w:rFonts w:hint="eastAsia" w:ascii="仿宋_GB2312" w:hAnsi="仿宋_GB2312" w:eastAsia="仿宋_GB2312" w:cs="仿宋_GB2312"/>
          <w:color w:val="000000" w:themeColor="text1"/>
          <w:spacing w:val="0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坚持严管与厚爱相结合</w:t>
      </w:r>
      <w:r>
        <w:rPr>
          <w:rFonts w:hint="eastAsia" w:ascii="仿宋_GB2312" w:hAnsi="仿宋_GB2312" w:eastAsia="仿宋_GB2312" w:cs="仿宋_GB2312"/>
          <w:color w:val="000000" w:themeColor="text1"/>
          <w:spacing w:val="0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，精准运用</w:t>
      </w:r>
      <w:r>
        <w:rPr>
          <w:rFonts w:hint="eastAsia" w:ascii="仿宋_GB2312" w:hAnsi="仿宋_GB2312" w:eastAsia="仿宋_GB2312" w:cs="仿宋_GB2312"/>
          <w:b w:val="0"/>
          <w:snapToGrid w:val="0"/>
          <w:color w:val="000000" w:themeColor="text1"/>
          <w:spacing w:val="0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“四种形态”批评教育帮助和处理</w:t>
      </w:r>
      <w:r>
        <w:rPr>
          <w:rFonts w:hint="eastAsia" w:ascii="仿宋_GB2312" w:hAnsi="仿宋_GB2312" w:eastAsia="仿宋_GB2312" w:cs="仿宋_GB2312"/>
          <w:b w:val="0"/>
          <w:snapToGrid w:val="0"/>
          <w:color w:val="000000" w:themeColor="text1"/>
          <w:spacing w:val="0"/>
          <w:kern w:val="0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647</w:t>
      </w:r>
      <w:r>
        <w:rPr>
          <w:rFonts w:hint="eastAsia" w:ascii="仿宋_GB2312" w:hAnsi="仿宋_GB2312" w:eastAsia="仿宋_GB2312" w:cs="仿宋_GB2312"/>
          <w:b w:val="0"/>
          <w:snapToGrid w:val="0"/>
          <w:color w:val="000000" w:themeColor="text1"/>
          <w:spacing w:val="0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人次。其中，运用第一种形态批评教育帮助</w:t>
      </w:r>
      <w:r>
        <w:rPr>
          <w:rFonts w:hint="eastAsia" w:ascii="仿宋_GB2312" w:hAnsi="仿宋_GB2312" w:eastAsia="仿宋_GB2312" w:cs="仿宋_GB2312"/>
          <w:b w:val="0"/>
          <w:snapToGrid w:val="0"/>
          <w:color w:val="000000" w:themeColor="text1"/>
          <w:spacing w:val="0"/>
          <w:kern w:val="0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292</w:t>
      </w:r>
      <w:r>
        <w:rPr>
          <w:rFonts w:hint="eastAsia" w:ascii="仿宋_GB2312" w:hAnsi="仿宋_GB2312" w:eastAsia="仿宋_GB2312" w:cs="仿宋_GB2312"/>
          <w:b w:val="0"/>
          <w:snapToGrid w:val="0"/>
          <w:color w:val="000000" w:themeColor="text1"/>
          <w:spacing w:val="0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人次，占</w:t>
      </w:r>
      <w:r>
        <w:rPr>
          <w:rFonts w:hint="eastAsia" w:ascii="仿宋_GB2312" w:hAnsi="仿宋_GB2312" w:eastAsia="仿宋_GB2312" w:cs="仿宋_GB2312"/>
          <w:b w:val="0"/>
          <w:snapToGrid w:val="0"/>
          <w:color w:val="000000" w:themeColor="text1"/>
          <w:spacing w:val="0"/>
          <w:kern w:val="0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比45.13</w:t>
      </w:r>
      <w:r>
        <w:rPr>
          <w:rFonts w:hint="eastAsia" w:ascii="仿宋_GB2312" w:hAnsi="仿宋_GB2312" w:eastAsia="仿宋_GB2312" w:cs="仿宋_GB2312"/>
          <w:b w:val="0"/>
          <w:snapToGrid w:val="0"/>
          <w:color w:val="000000" w:themeColor="text1"/>
          <w:spacing w:val="0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%；运用第二种形态处理</w:t>
      </w:r>
      <w:r>
        <w:rPr>
          <w:rFonts w:hint="eastAsia" w:ascii="仿宋_GB2312" w:hAnsi="仿宋_GB2312" w:eastAsia="仿宋_GB2312" w:cs="仿宋_GB2312"/>
          <w:b w:val="0"/>
          <w:snapToGrid w:val="0"/>
          <w:color w:val="000000" w:themeColor="text1"/>
          <w:spacing w:val="0"/>
          <w:kern w:val="0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324</w:t>
      </w:r>
      <w:r>
        <w:rPr>
          <w:rFonts w:hint="eastAsia" w:ascii="仿宋_GB2312" w:hAnsi="仿宋_GB2312" w:eastAsia="仿宋_GB2312" w:cs="仿宋_GB2312"/>
          <w:b w:val="0"/>
          <w:snapToGrid w:val="0"/>
          <w:color w:val="000000" w:themeColor="text1"/>
          <w:spacing w:val="0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人次，占</w:t>
      </w:r>
      <w:r>
        <w:rPr>
          <w:rFonts w:hint="eastAsia" w:ascii="仿宋_GB2312" w:hAnsi="仿宋_GB2312" w:eastAsia="仿宋_GB2312" w:cs="仿宋_GB2312"/>
          <w:b w:val="0"/>
          <w:snapToGrid w:val="0"/>
          <w:color w:val="000000" w:themeColor="text1"/>
          <w:spacing w:val="0"/>
          <w:kern w:val="0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比50.08</w:t>
      </w:r>
      <w:r>
        <w:rPr>
          <w:rFonts w:hint="eastAsia" w:ascii="仿宋_GB2312" w:hAnsi="仿宋_GB2312" w:eastAsia="仿宋_GB2312" w:cs="仿宋_GB2312"/>
          <w:b w:val="0"/>
          <w:snapToGrid w:val="0"/>
          <w:color w:val="000000" w:themeColor="text1"/>
          <w:spacing w:val="0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%；运用第三种形态处理</w:t>
      </w:r>
      <w:r>
        <w:rPr>
          <w:rFonts w:hint="eastAsia" w:ascii="仿宋_GB2312" w:hAnsi="仿宋_GB2312" w:eastAsia="仿宋_GB2312" w:cs="仿宋_GB2312"/>
          <w:b w:val="0"/>
          <w:snapToGrid w:val="0"/>
          <w:color w:val="000000" w:themeColor="text1"/>
          <w:spacing w:val="0"/>
          <w:kern w:val="0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21</w:t>
      </w:r>
      <w:r>
        <w:rPr>
          <w:rFonts w:hint="eastAsia" w:ascii="仿宋_GB2312" w:hAnsi="仿宋_GB2312" w:eastAsia="仿宋_GB2312" w:cs="仿宋_GB2312"/>
          <w:b w:val="0"/>
          <w:snapToGrid w:val="0"/>
          <w:color w:val="000000" w:themeColor="text1"/>
          <w:spacing w:val="0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人次，占</w:t>
      </w:r>
      <w:r>
        <w:rPr>
          <w:rFonts w:hint="eastAsia" w:ascii="仿宋_GB2312" w:hAnsi="仿宋_GB2312" w:eastAsia="仿宋_GB2312" w:cs="仿宋_GB2312"/>
          <w:b w:val="0"/>
          <w:snapToGrid w:val="0"/>
          <w:color w:val="000000" w:themeColor="text1"/>
          <w:spacing w:val="0"/>
          <w:kern w:val="0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比3.24</w:t>
      </w:r>
      <w:r>
        <w:rPr>
          <w:rFonts w:hint="eastAsia" w:ascii="仿宋_GB2312" w:hAnsi="仿宋_GB2312" w:eastAsia="仿宋_GB2312" w:cs="仿宋_GB2312"/>
          <w:b w:val="0"/>
          <w:snapToGrid w:val="0"/>
          <w:color w:val="000000" w:themeColor="text1"/>
          <w:spacing w:val="0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%；运用第四种形态处理</w:t>
      </w:r>
      <w:r>
        <w:rPr>
          <w:rFonts w:hint="eastAsia" w:ascii="仿宋_GB2312" w:hAnsi="仿宋_GB2312" w:eastAsia="仿宋_GB2312" w:cs="仿宋_GB2312"/>
          <w:b w:val="0"/>
          <w:snapToGrid w:val="0"/>
          <w:color w:val="000000" w:themeColor="text1"/>
          <w:spacing w:val="0"/>
          <w:kern w:val="0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10</w:t>
      </w:r>
      <w:r>
        <w:rPr>
          <w:rFonts w:hint="eastAsia" w:ascii="仿宋_GB2312" w:hAnsi="仿宋_GB2312" w:eastAsia="仿宋_GB2312" w:cs="仿宋_GB2312"/>
          <w:b w:val="0"/>
          <w:snapToGrid w:val="0"/>
          <w:color w:val="000000" w:themeColor="text1"/>
          <w:spacing w:val="0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人次，占</w:t>
      </w:r>
      <w:r>
        <w:rPr>
          <w:rFonts w:hint="eastAsia" w:ascii="仿宋_GB2312" w:hAnsi="仿宋_GB2312" w:eastAsia="仿宋_GB2312" w:cs="仿宋_GB2312"/>
          <w:b w:val="0"/>
          <w:snapToGrid w:val="0"/>
          <w:color w:val="000000" w:themeColor="text1"/>
          <w:spacing w:val="0"/>
          <w:kern w:val="0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比1.55</w:t>
      </w:r>
      <w:r>
        <w:rPr>
          <w:rFonts w:hint="eastAsia" w:ascii="仿宋_GB2312" w:hAnsi="仿宋_GB2312" w:eastAsia="仿宋_GB2312" w:cs="仿宋_GB2312"/>
          <w:b w:val="0"/>
          <w:snapToGrid w:val="0"/>
          <w:color w:val="000000" w:themeColor="text1"/>
          <w:spacing w:val="0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%。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3、</w:t>
      </w:r>
      <w:r>
        <w:rPr>
          <w:rFonts w:hint="eastAsia" w:ascii="仿宋_GB2312" w:hAnsi="仿宋_GB2312" w:eastAsia="仿宋_GB2312" w:cs="仿宋_GB2312"/>
          <w:color w:val="000000" w:themeColor="text1"/>
          <w:spacing w:val="0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严格落实“无安全不办案”要求，每月对办案部门依规依纪依法安全文明办案情况进行检查。2024年检查案卷90余件、发现问题111个；检查走读式谈话场所26次，发现问题11个；落实领导首谈235次、执行安全首课240次。大力推广基层小微权力“监督一点通”平台，公开信息5953余条，平台访问量达38万余次，解决群众举报10起，群众满意度84%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4、</w:t>
      </w:r>
      <w:r>
        <w:rPr>
          <w:rFonts w:hint="eastAsia" w:ascii="仿宋_GB2312" w:hAnsi="仿宋_GB2312" w:eastAsia="仿宋_GB2312" w:cs="仿宋_GB2312"/>
          <w:color w:val="000000" w:themeColor="text1"/>
          <w:spacing w:val="0"/>
          <w:kern w:val="2"/>
          <w:sz w:val="32"/>
          <w:szCs w:val="32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坚持把集中整治作为工作重中之重，集中时间、集中精力、集中力量，采取超常规措施，全力攻坚，推动集中整治取得显著成效。成立整治专班，制定实</w:t>
      </w:r>
      <w:r>
        <w:rPr>
          <w:rFonts w:hint="eastAsia" w:ascii="仿宋_GB2312" w:hAnsi="仿宋_GB2312" w:eastAsia="仿宋_GB2312" w:cs="仿宋_GB2312"/>
          <w:color w:val="000000" w:themeColor="text1"/>
          <w:spacing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施</w:t>
      </w:r>
      <w:r>
        <w:rPr>
          <w:rFonts w:hint="eastAsia" w:ascii="仿宋_GB2312" w:hAnsi="仿宋_GB2312" w:eastAsia="仿宋_GB2312" w:cs="仿宋_GB2312"/>
          <w:color w:val="000000" w:themeColor="text1"/>
          <w:spacing w:val="0"/>
          <w:kern w:val="2"/>
          <w:sz w:val="32"/>
          <w:szCs w:val="32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方案，采取超常规措施，全力攻坚。县委主要领导</w:t>
      </w:r>
      <w:r>
        <w:rPr>
          <w:rFonts w:hint="eastAsia" w:ascii="仿宋_GB2312" w:hAnsi="仿宋_GB2312" w:eastAsia="仿宋_GB2312" w:cs="仿宋_GB2312"/>
          <w:color w:val="000000" w:themeColor="text1"/>
          <w:spacing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先后18次作出指示批示，逢会必讲集中整治，11次专题调度，6次实地调研督导，及时协调解决重大问题、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pacing w:val="0"/>
          <w:sz w:val="32"/>
          <w:szCs w:val="32"/>
          <w:highlight w:val="none"/>
          <w:shd w:val="clear" w:color="auto" w:fill="auto"/>
          <w:lang w:val="en-US" w:eastAsia="zh-CN"/>
          <w14:textFill>
            <w14:solidFill>
              <w14:schemeClr w14:val="tx1"/>
            </w14:solidFill>
          </w14:textFill>
        </w:rPr>
        <w:t>领办重点整治项目</w:t>
      </w:r>
      <w:r>
        <w:rPr>
          <w:rFonts w:hint="eastAsia" w:ascii="仿宋_GB2312" w:hAnsi="仿宋_GB2312" w:eastAsia="仿宋_GB2312" w:cs="仿宋_GB2312"/>
          <w:color w:val="000000" w:themeColor="text1"/>
          <w:spacing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仿宋_GB2312" w:hAnsi="仿宋_GB2312" w:eastAsia="仿宋_GB2312" w:cs="仿宋_GB2312"/>
          <w:i w:val="0"/>
          <w:iCs w:val="0"/>
          <w:color w:val="000000" w:themeColor="text1"/>
          <w:spacing w:val="0"/>
          <w:kern w:val="2"/>
          <w:sz w:val="32"/>
          <w:szCs w:val="32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县纪委常委会、集中整治专题会39次</w:t>
      </w:r>
      <w:r>
        <w:rPr>
          <w:rFonts w:hint="eastAsia" w:ascii="仿宋_GB2312" w:hAnsi="仿宋_GB2312" w:eastAsia="仿宋_GB2312" w:cs="仿宋_GB2312"/>
          <w:i w:val="0"/>
          <w:iCs w:val="0"/>
          <w:color w:val="000000" w:themeColor="text1"/>
          <w:spacing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传达学习习近平总书记重要论述以及上级领导讲话、工作提示，</w:t>
      </w:r>
      <w:r>
        <w:rPr>
          <w:rFonts w:hint="eastAsia" w:ascii="仿宋_GB2312" w:hAnsi="仿宋_GB2312" w:eastAsia="仿宋_GB2312" w:cs="仿宋_GB2312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  <w:t>常态化分析研判推进工作，</w:t>
      </w:r>
      <w:r>
        <w:rPr>
          <w:rFonts w:hint="eastAsia" w:ascii="仿宋_GB2312" w:hAnsi="仿宋_GB2312" w:eastAsia="仿宋_GB2312" w:cs="仿宋_GB2312"/>
          <w:color w:val="000000" w:themeColor="text1"/>
          <w:spacing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听取整治进展汇报8次，</w:t>
      </w:r>
      <w:r>
        <w:rPr>
          <w:rFonts w:hint="eastAsia" w:ascii="仿宋_GB2312" w:hAnsi="仿宋_GB2312" w:eastAsia="仿宋_GB2312" w:cs="仿宋_GB2312"/>
          <w:i w:val="0"/>
          <w:iCs w:val="0"/>
          <w:color w:val="000000" w:themeColor="text1"/>
          <w:spacing w:val="0"/>
          <w:kern w:val="2"/>
          <w:sz w:val="32"/>
          <w:szCs w:val="32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召开推进会议17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000000" w:themeColor="text1"/>
          <w:spacing w:val="0"/>
          <w:kern w:val="2"/>
          <w:sz w:val="32"/>
          <w:szCs w:val="32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次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pacing w:val="0"/>
          <w:kern w:val="2"/>
          <w:sz w:val="32"/>
          <w:szCs w:val="32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。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pacing w:val="0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全年</w:t>
      </w:r>
      <w:bookmarkStart w:id="0" w:name="OLE_LINK1"/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pacing w:val="0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共排查处置问题线索435件，办结425件，处理处分660人。</w:t>
      </w:r>
      <w:bookmarkEnd w:id="0"/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5、巩固深化政治巡察，更好发挥利剑作用。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pacing w:val="0"/>
          <w:sz w:val="32"/>
          <w:szCs w:val="32"/>
          <w:highlight w:val="none"/>
          <w:u w:val="none"/>
          <w:lang w:eastAsia="zh-CN"/>
          <w14:textFill>
            <w14:solidFill>
              <w14:schemeClr w14:val="tx1"/>
            </w14:solidFill>
          </w14:textFill>
        </w:rPr>
        <w:t>紧盯权力和责任、紧盯“一把手”和领导班子、紧盯群众反映强烈的突出问题，深入查找影响高质量发展的主要矛盾、落实改革部署中的重大偏差。</w:t>
      </w:r>
      <w:r>
        <w:rPr>
          <w:rFonts w:hint="default" w:ascii="仿宋_GB2312" w:hAnsi="Times New Roman" w:eastAsia="仿宋_GB2312" w:cs="Times New Roman"/>
          <w:b w:val="0"/>
          <w:bCs w:val="0"/>
          <w:snapToGrid w:val="0"/>
          <w:color w:val="000000" w:themeColor="text1"/>
          <w:spacing w:val="0"/>
          <w:kern w:val="0"/>
          <w:sz w:val="32"/>
          <w:szCs w:val="32"/>
          <w:highlight w:val="none"/>
          <w:u w:val="none" w:color="auto"/>
          <w:lang w:eastAsia="zh-CN"/>
          <w14:textFill>
            <w14:solidFill>
              <w14:schemeClr w14:val="tx1"/>
            </w14:solidFill>
          </w14:textFill>
        </w:rPr>
        <w:t>组织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pacing w:val="0"/>
          <w:sz w:val="32"/>
          <w:szCs w:val="32"/>
          <w:highlight w:val="none"/>
          <w:u w:val="none"/>
          <w:lang w:val="en" w:eastAsia="zh-CN"/>
          <w14:textFill>
            <w14:solidFill>
              <w14:schemeClr w14:val="tx1"/>
            </w14:solidFill>
          </w14:textFill>
        </w:rPr>
        <w:t>开展十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pacing w:val="0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二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pacing w:val="0"/>
          <w:sz w:val="32"/>
          <w:szCs w:val="32"/>
          <w:highlight w:val="none"/>
          <w:u w:val="none"/>
          <w:lang w:val="en" w:eastAsia="zh-CN"/>
          <w14:textFill>
            <w14:solidFill>
              <w14:schemeClr w14:val="tx1"/>
            </w14:solidFill>
          </w14:textFill>
        </w:rPr>
        <w:t>届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pacing w:val="0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县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pacing w:val="0"/>
          <w:sz w:val="32"/>
          <w:szCs w:val="32"/>
          <w:highlight w:val="none"/>
          <w:u w:val="none"/>
          <w:lang w:val="en" w:eastAsia="zh-CN"/>
          <w14:textFill>
            <w14:solidFill>
              <w14:schemeClr w14:val="tx1"/>
            </w14:solidFill>
          </w14:textFill>
        </w:rPr>
        <w:t>委第九轮、第十轮、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pacing w:val="0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第十一轮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pacing w:val="0"/>
          <w:sz w:val="32"/>
          <w:szCs w:val="32"/>
          <w:highlight w:val="none"/>
          <w:u w:val="none"/>
          <w:lang w:val="en" w:eastAsia="zh-CN"/>
          <w14:textFill>
            <w14:solidFill>
              <w14:schemeClr w14:val="tx1"/>
            </w14:solidFill>
          </w14:textFill>
        </w:rPr>
        <w:t>巡察，综合运用常规巡察、专项巡察、机动巡察和巡察“回头看”等方式，高质量完成</w:t>
      </w:r>
      <w:r>
        <w:rPr>
          <w:rFonts w:ascii="仿宋_GB2312" w:eastAsia="仿宋_GB2312" w:cs="仿宋_GB2312"/>
          <w:color w:val="000000" w:themeColor="text1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对</w:t>
      </w:r>
      <w:r>
        <w:rPr>
          <w:rFonts w:hint="eastAsia" w:ascii="仿宋_GB2312" w:eastAsia="仿宋_GB2312" w:cs="仿宋_GB2312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ascii="仿宋_GB2312" w:eastAsia="仿宋_GB2312" w:cs="仿宋_GB2312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个国有企业</w:t>
      </w:r>
      <w:r>
        <w:rPr>
          <w:rFonts w:asci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乡村振兴项目</w:t>
      </w:r>
      <w:r>
        <w:rPr>
          <w:rFonts w:asci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较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多</w:t>
      </w:r>
      <w:r>
        <w:rPr>
          <w:rFonts w:asci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的重点村（社区）及</w:t>
      </w:r>
      <w:r>
        <w:rPr>
          <w:rFonts w:ascii="仿宋_GB2312" w:eastAsia="仿宋_GB2312" w:cs="仿宋_GB2312"/>
          <w:color w:val="000000" w:themeColor="text1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赞皇镇下辖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集体经济收入较</w:t>
      </w:r>
      <w:r>
        <w:rPr>
          <w:rFonts w:asci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高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的</w:t>
      </w:r>
      <w:r>
        <w:rPr>
          <w:rFonts w:ascii="仿宋_GB2312" w:eastAsia="仿宋_GB2312" w:cs="仿宋_GB2312"/>
          <w:color w:val="000000" w:themeColor="text1"/>
          <w:sz w:val="32"/>
          <w:szCs w:val="32"/>
          <w:lang w:val="zh-CN" w:eastAsia="zh-CN"/>
          <w14:textFill>
            <w14:solidFill>
              <w14:schemeClr w14:val="tx1"/>
            </w14:solidFill>
          </w14:textFill>
        </w:rPr>
        <w:t>村</w:t>
      </w:r>
      <w:r>
        <w:rPr>
          <w:rFonts w:asci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（社区）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巡察工作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val="en" w:eastAsia="zh-CN"/>
          <w14:textFill>
            <w14:solidFill>
              <w14:schemeClr w14:val="tx1"/>
            </w14:solidFill>
          </w14:textFill>
        </w:rPr>
        <w:t>，</w:t>
      </w:r>
      <w:r>
        <w:rPr>
          <w:rFonts w:ascii="仿宋_GB2312" w:eastAsia="仿宋_GB2312" w:cs="仿宋_GB2312"/>
          <w:color w:val="000000" w:themeColor="text1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同时配合市委开展提级巡察和统筹交叉巡察，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pacing w:val="0"/>
          <w:sz w:val="32"/>
          <w:szCs w:val="32"/>
          <w:highlight w:val="none"/>
          <w:u w:val="none"/>
          <w:lang w:val="en" w:eastAsia="zh-CN"/>
          <w14:textFill>
            <w14:solidFill>
              <w14:schemeClr w14:val="tx1"/>
            </w14:solidFill>
          </w14:textFill>
        </w:rPr>
        <w:t>确保实现本届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pacing w:val="0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县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pacing w:val="0"/>
          <w:sz w:val="32"/>
          <w:szCs w:val="32"/>
          <w:highlight w:val="none"/>
          <w:u w:val="none"/>
          <w:lang w:val="en" w:eastAsia="zh-CN"/>
          <w14:textFill>
            <w14:solidFill>
              <w14:schemeClr w14:val="tx1"/>
            </w14:solidFill>
          </w14:textFill>
        </w:rPr>
        <w:t>委巡察全覆盖。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我委预算年度内整体支出绩效目标完成情况良好，履行职责的效率性、效果性和公平性方面均取得好的成效。自评分数为98分，自评等级为优秀。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3" w:firstLineChars="200"/>
        <w:textAlignment w:val="auto"/>
        <w:rPr>
          <w:rFonts w:hint="eastAsia" w:ascii="楷体" w:hAnsi="楷体" w:eastAsia="楷体"/>
          <w:b/>
          <w:bCs w:val="0"/>
          <w:sz w:val="32"/>
          <w:szCs w:val="32"/>
        </w:rPr>
      </w:pPr>
      <w:r>
        <w:rPr>
          <w:rFonts w:hint="eastAsia" w:ascii="楷体" w:hAnsi="楷体" w:eastAsia="楷体"/>
          <w:b/>
          <w:bCs w:val="0"/>
          <w:sz w:val="32"/>
          <w:szCs w:val="32"/>
        </w:rPr>
        <w:t>（一）存在的主要问题</w:t>
      </w:r>
    </w:p>
    <w:p>
      <w:pPr>
        <w:pStyle w:val="2"/>
        <w:ind w:firstLine="640" w:firstLineChars="200"/>
        <w:rPr>
          <w:rFonts w:hint="default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1、当年在预算执行期间有追加的预算指标，造成项目调整数增大。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2、虽然我委实施绩效管理后财政预算资金管理精细化水平已经提高，但是依然存在一些不足，特别是绩效指标设置的精准性、合理性有待进一步改善。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3" w:firstLineChars="200"/>
        <w:textAlignment w:val="auto"/>
        <w:rPr>
          <w:rFonts w:hint="eastAsia" w:ascii="楷体" w:hAnsi="楷体" w:eastAsia="楷体"/>
          <w:b/>
          <w:bCs w:val="0"/>
          <w:sz w:val="32"/>
          <w:szCs w:val="32"/>
        </w:rPr>
      </w:pPr>
      <w:r>
        <w:rPr>
          <w:rFonts w:hint="eastAsia" w:ascii="楷体" w:hAnsi="楷体" w:eastAsia="楷体"/>
          <w:b/>
          <w:bCs w:val="0"/>
          <w:sz w:val="32"/>
          <w:szCs w:val="32"/>
        </w:rPr>
        <w:t>（二）针对问题提出具体的改进措施或建议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一是按照《预算法》及其实施条例的相关规定，参考上年度的预算编制、收支执行情况及保障本年度重点工作，细化编制预算，提高预算编制的科学性、严谨性和可控性。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二是根据年度重点工作计划，提前安排资金支出计划，加强预算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绩效管理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，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准确、合理设置预算绩效指标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，提高财政资金使用效益和资金执行率。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</w:pPr>
      <w:r>
        <w:rPr>
          <w:rFonts w:hint="eastAsia" w:ascii="黑体" w:hAnsi="黑体" w:eastAsia="黑体"/>
          <w:sz w:val="32"/>
          <w:szCs w:val="32"/>
          <w:highlight w:val="none"/>
        </w:rPr>
        <w:t>六、评价工作组人员名单</w:t>
      </w:r>
    </w:p>
    <w:tbl>
      <w:tblPr>
        <w:tblStyle w:val="9"/>
        <w:tblpPr w:leftFromText="180" w:rightFromText="180" w:vertAnchor="text" w:horzAnchor="page" w:tblpX="1627" w:tblpY="365"/>
        <w:tblOverlap w:val="never"/>
        <w:tblW w:w="8899" w:type="dxa"/>
        <w:tblInd w:w="5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59"/>
        <w:gridCol w:w="2736"/>
        <w:gridCol w:w="2004"/>
        <w:gridCol w:w="24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5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姓名</w:t>
            </w:r>
          </w:p>
        </w:tc>
        <w:tc>
          <w:tcPr>
            <w:tcW w:w="273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工作单位</w:t>
            </w:r>
          </w:p>
        </w:tc>
        <w:tc>
          <w:tcPr>
            <w:tcW w:w="200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职务</w:t>
            </w:r>
          </w:p>
        </w:tc>
        <w:tc>
          <w:tcPr>
            <w:tcW w:w="24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职称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5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池彦军</w:t>
            </w:r>
          </w:p>
        </w:tc>
        <w:tc>
          <w:tcPr>
            <w:tcW w:w="273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赞皇县纪委监委</w:t>
            </w:r>
          </w:p>
        </w:tc>
        <w:tc>
          <w:tcPr>
            <w:tcW w:w="20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乡科级正职</w:t>
            </w:r>
          </w:p>
        </w:tc>
        <w:tc>
          <w:tcPr>
            <w:tcW w:w="24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二级主任科员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5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冯超伦</w:t>
            </w:r>
          </w:p>
        </w:tc>
        <w:tc>
          <w:tcPr>
            <w:tcW w:w="2736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赞皇县纪委监委</w:t>
            </w:r>
          </w:p>
        </w:tc>
        <w:tc>
          <w:tcPr>
            <w:tcW w:w="200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无</w:t>
            </w:r>
          </w:p>
        </w:tc>
        <w:tc>
          <w:tcPr>
            <w:tcW w:w="2400" w:type="dxa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32"/>
                <w:lang w:val="en-US" w:eastAsia="zh-CN"/>
              </w:rPr>
              <w:t>管理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八</w:t>
            </w:r>
            <w:r>
              <w:rPr>
                <w:rFonts w:hint="default" w:ascii="仿宋_GB2312" w:hAnsi="仿宋_GB2312" w:eastAsia="仿宋_GB2312" w:cs="仿宋_GB2312"/>
                <w:sz w:val="32"/>
                <w:szCs w:val="32"/>
                <w:lang w:val="en-US" w:eastAsia="zh-CN"/>
              </w:rPr>
              <w:t>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5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陈素亭</w:t>
            </w:r>
          </w:p>
        </w:tc>
        <w:tc>
          <w:tcPr>
            <w:tcW w:w="2736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赞皇县纪委监委</w:t>
            </w:r>
          </w:p>
        </w:tc>
        <w:tc>
          <w:tcPr>
            <w:tcW w:w="20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科员级</w:t>
            </w:r>
          </w:p>
        </w:tc>
        <w:tc>
          <w:tcPr>
            <w:tcW w:w="24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四级主任科员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5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王子玮</w:t>
            </w:r>
          </w:p>
        </w:tc>
        <w:tc>
          <w:tcPr>
            <w:tcW w:w="273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赞皇县纪委监委</w:t>
            </w:r>
          </w:p>
        </w:tc>
        <w:tc>
          <w:tcPr>
            <w:tcW w:w="20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科员级</w:t>
            </w:r>
          </w:p>
        </w:tc>
        <w:tc>
          <w:tcPr>
            <w:tcW w:w="24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一级科员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5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周禹良</w:t>
            </w:r>
          </w:p>
        </w:tc>
        <w:tc>
          <w:tcPr>
            <w:tcW w:w="273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赞皇县纪委监委</w:t>
            </w:r>
          </w:p>
        </w:tc>
        <w:tc>
          <w:tcPr>
            <w:tcW w:w="20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科员级</w:t>
            </w:r>
          </w:p>
        </w:tc>
        <w:tc>
          <w:tcPr>
            <w:tcW w:w="24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一级科员</w:t>
            </w:r>
          </w:p>
        </w:tc>
      </w:tr>
    </w:tbl>
    <w:p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34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NotTrackMove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hiZDhjMjc2YTUwMzBiNzQ0YjBlODk1YmNjMDA2YTcifQ=="/>
  </w:docVars>
  <w:rsids>
    <w:rsidRoot w:val="0EBD2122"/>
    <w:rsid w:val="000B0260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883711"/>
    <w:rsid w:val="01B104CA"/>
    <w:rsid w:val="02106AB0"/>
    <w:rsid w:val="02B43A28"/>
    <w:rsid w:val="041901C7"/>
    <w:rsid w:val="046F331E"/>
    <w:rsid w:val="059F29CA"/>
    <w:rsid w:val="05F76A28"/>
    <w:rsid w:val="06FC675D"/>
    <w:rsid w:val="07956271"/>
    <w:rsid w:val="09721397"/>
    <w:rsid w:val="09B55EFA"/>
    <w:rsid w:val="0B856175"/>
    <w:rsid w:val="0BB63BED"/>
    <w:rsid w:val="0EB97A43"/>
    <w:rsid w:val="0EBD2122"/>
    <w:rsid w:val="0F214EAE"/>
    <w:rsid w:val="0F403A6D"/>
    <w:rsid w:val="10511251"/>
    <w:rsid w:val="10F759FF"/>
    <w:rsid w:val="11B71E6A"/>
    <w:rsid w:val="11C97620"/>
    <w:rsid w:val="12152A13"/>
    <w:rsid w:val="14BB2FC7"/>
    <w:rsid w:val="15F639F6"/>
    <w:rsid w:val="19AE3089"/>
    <w:rsid w:val="1AAF0063"/>
    <w:rsid w:val="1BE140DE"/>
    <w:rsid w:val="1C7736C4"/>
    <w:rsid w:val="1F4E796B"/>
    <w:rsid w:val="214F52E3"/>
    <w:rsid w:val="21DD569B"/>
    <w:rsid w:val="234B2044"/>
    <w:rsid w:val="248C197D"/>
    <w:rsid w:val="250C10D6"/>
    <w:rsid w:val="252959AF"/>
    <w:rsid w:val="267B25B1"/>
    <w:rsid w:val="277A6671"/>
    <w:rsid w:val="279C010A"/>
    <w:rsid w:val="27C16042"/>
    <w:rsid w:val="285B620E"/>
    <w:rsid w:val="292D35B7"/>
    <w:rsid w:val="2CF20F4C"/>
    <w:rsid w:val="2DCE70CB"/>
    <w:rsid w:val="2E9C2616"/>
    <w:rsid w:val="2F666452"/>
    <w:rsid w:val="31BC436E"/>
    <w:rsid w:val="325F3685"/>
    <w:rsid w:val="33EB6CFF"/>
    <w:rsid w:val="35A12947"/>
    <w:rsid w:val="37387040"/>
    <w:rsid w:val="3894578A"/>
    <w:rsid w:val="3B625C0A"/>
    <w:rsid w:val="3CEE1963"/>
    <w:rsid w:val="3D9302E2"/>
    <w:rsid w:val="3E1746ED"/>
    <w:rsid w:val="3EED774F"/>
    <w:rsid w:val="3F1B30E3"/>
    <w:rsid w:val="4039190A"/>
    <w:rsid w:val="431B31A5"/>
    <w:rsid w:val="43EB7282"/>
    <w:rsid w:val="45B11DFC"/>
    <w:rsid w:val="48545CDB"/>
    <w:rsid w:val="4B603035"/>
    <w:rsid w:val="4C9C27FE"/>
    <w:rsid w:val="4D1B6B8E"/>
    <w:rsid w:val="4D524AEA"/>
    <w:rsid w:val="4FF9AD8B"/>
    <w:rsid w:val="51091553"/>
    <w:rsid w:val="512260B4"/>
    <w:rsid w:val="52BD6ACB"/>
    <w:rsid w:val="55537534"/>
    <w:rsid w:val="561A74F1"/>
    <w:rsid w:val="58104109"/>
    <w:rsid w:val="586E0950"/>
    <w:rsid w:val="58E24461"/>
    <w:rsid w:val="594A5D35"/>
    <w:rsid w:val="597244E8"/>
    <w:rsid w:val="5CB4205F"/>
    <w:rsid w:val="5E7000C9"/>
    <w:rsid w:val="5E9F0D6A"/>
    <w:rsid w:val="5EB71C30"/>
    <w:rsid w:val="62D67621"/>
    <w:rsid w:val="6635067F"/>
    <w:rsid w:val="66AF0CE5"/>
    <w:rsid w:val="673E1BB0"/>
    <w:rsid w:val="67B32C30"/>
    <w:rsid w:val="68F760C0"/>
    <w:rsid w:val="69584DB0"/>
    <w:rsid w:val="69AF5EEE"/>
    <w:rsid w:val="6AC537CF"/>
    <w:rsid w:val="6B030D9E"/>
    <w:rsid w:val="6B7F5A29"/>
    <w:rsid w:val="6E440FC2"/>
    <w:rsid w:val="6E5B14A6"/>
    <w:rsid w:val="6EC00BE2"/>
    <w:rsid w:val="711B255E"/>
    <w:rsid w:val="761B0201"/>
    <w:rsid w:val="76B31941"/>
    <w:rsid w:val="76D50943"/>
    <w:rsid w:val="786044E3"/>
    <w:rsid w:val="793B6394"/>
    <w:rsid w:val="7B207918"/>
    <w:rsid w:val="7BB51E06"/>
    <w:rsid w:val="7C387F7C"/>
    <w:rsid w:val="7DF74B90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qFormat="1"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a heading"/>
    <w:basedOn w:val="1"/>
    <w:next w:val="1"/>
    <w:qFormat/>
    <w:uiPriority w:val="0"/>
    <w:pPr>
      <w:spacing w:before="120" w:beforeLines="0" w:beforeAutospacing="0"/>
    </w:pPr>
    <w:rPr>
      <w:rFonts w:ascii="Arial" w:hAnsi="Arial"/>
      <w:sz w:val="24"/>
    </w:rPr>
  </w:style>
  <w:style w:type="paragraph" w:styleId="3">
    <w:name w:val="Body Text Indent"/>
    <w:basedOn w:val="1"/>
    <w:qFormat/>
    <w:uiPriority w:val="0"/>
    <w:pPr>
      <w:spacing w:after="120" w:afterLines="0" w:afterAutospacing="0"/>
      <w:ind w:left="420" w:leftChars="20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6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7">
    <w:name w:val="Body Text First Indent 2"/>
    <w:basedOn w:val="3"/>
    <w:qFormat/>
    <w:uiPriority w:val="0"/>
    <w:pPr>
      <w:ind w:firstLine="420" w:firstLineChars="200"/>
    </w:p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1">
    <w:name w:val="插入文本样式-插入部门职责文件"/>
    <w:basedOn w:val="1"/>
    <w:qFormat/>
    <w:uiPriority w:val="0"/>
    <w:pPr>
      <w:spacing w:line="500" w:lineRule="exact"/>
      <w:ind w:firstLine="560"/>
    </w:pPr>
    <w:rPr>
      <w:rFonts w:eastAsia="方正仿宋_GBK"/>
      <w:sz w:val="28"/>
    </w:rPr>
  </w:style>
  <w:style w:type="paragraph" w:customStyle="1" w:styleId="12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3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4">
    <w:name w:val="插入文本样式-插入实现年度发展规划目标的保障措施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12</Pages>
  <Words>6215</Words>
  <Characters>6415</Characters>
  <Lines>4</Lines>
  <Paragraphs>1</Paragraphs>
  <TotalTime>2</TotalTime>
  <ScaleCrop>false</ScaleCrop>
  <LinksUpToDate>false</LinksUpToDate>
  <CharactersWithSpaces>6449</CharactersWithSpaces>
  <Application>WPS Office_11.8.2.12080_F1E327BC-269C-435d-A152-05C5408002CA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2020-02-04T11:46:00Z</dcterms:created>
  <dc:creator>欣欣大人</dc:creator>
  <cp:lastModifiedBy>Administrator</cp:lastModifiedBy>
  <cp:lastPrinted>2025-05-11T12:33:00Z</cp:lastPrinted>
  <dcterms:modified xsi:type="dcterms:W3CDTF">2025-05-13T07:16:51Z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2052-11.8.2.12080</vt:lpwstr>
  </property>
  <property fmtid="{D5CDD505-2E9C-101B-9397-08002B2CF9AE}" pid="3" name="ICV">
    <vt:lpwstr>6769658D30A0441EB09C751076531BA5</vt:lpwstr>
  </property>
</Properties>
</file>