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D328971">
      <w:pPr>
        <w:adjustRightInd w:val="0"/>
        <w:snapToGrid w:val="0"/>
        <w:spacing w:line="560" w:lineRule="exact"/>
        <w:rPr>
          <w:rFonts w:ascii="仿宋_GB2312" w:eastAsia="仿宋_GB2312"/>
          <w:sz w:val="32"/>
          <w:szCs w:val="32"/>
        </w:rPr>
      </w:pPr>
      <w:r>
        <w:rPr>
          <w:rFonts w:hint="eastAsia" w:ascii="仿宋_GB2312" w:eastAsia="仿宋_GB2312"/>
          <w:sz w:val="32"/>
          <w:szCs w:val="32"/>
        </w:rPr>
        <w:t>附件4</w:t>
      </w:r>
    </w:p>
    <w:p w14:paraId="5A61E516">
      <w:pPr>
        <w:spacing w:line="560" w:lineRule="exact"/>
        <w:jc w:val="center"/>
        <w:rPr>
          <w:rFonts w:ascii="宋体" w:hAnsi="宋体" w:cs="宋体"/>
          <w:b/>
          <w:bCs/>
          <w:sz w:val="44"/>
          <w:szCs w:val="44"/>
        </w:rPr>
      </w:pPr>
    </w:p>
    <w:p w14:paraId="431D8FA9">
      <w:pPr>
        <w:spacing w:line="560" w:lineRule="exact"/>
        <w:jc w:val="center"/>
        <w:rPr>
          <w:rFonts w:hint="eastAsia" w:ascii="宋体" w:hAnsi="宋体" w:cs="宋体"/>
          <w:b/>
          <w:bCs/>
          <w:sz w:val="44"/>
          <w:szCs w:val="44"/>
          <w:lang w:val="en-US" w:eastAsia="zh-CN"/>
        </w:rPr>
      </w:pPr>
      <w:r>
        <w:rPr>
          <w:rFonts w:hint="eastAsia" w:ascii="宋体" w:hAnsi="宋体" w:cs="宋体"/>
          <w:b/>
          <w:bCs/>
          <w:sz w:val="44"/>
          <w:szCs w:val="44"/>
          <w:lang w:val="en-US" w:eastAsia="zh-CN"/>
        </w:rPr>
        <w:t>赞皇县土门乡人民政府</w:t>
      </w:r>
    </w:p>
    <w:p w14:paraId="4D4BD162">
      <w:pPr>
        <w:spacing w:line="560" w:lineRule="exact"/>
        <w:jc w:val="center"/>
        <w:rPr>
          <w:rFonts w:ascii="宋体" w:hAnsi="宋体" w:cs="宋体"/>
          <w:b/>
          <w:bCs/>
          <w:sz w:val="44"/>
          <w:szCs w:val="44"/>
        </w:rPr>
      </w:pPr>
      <w:r>
        <w:rPr>
          <w:rFonts w:hint="eastAsia" w:ascii="宋体" w:hAnsi="宋体" w:cs="宋体"/>
          <w:b/>
          <w:bCs/>
          <w:sz w:val="44"/>
          <w:szCs w:val="44"/>
          <w:lang w:eastAsia="zh-CN"/>
        </w:rPr>
        <w:t>2024</w:t>
      </w:r>
      <w:r>
        <w:rPr>
          <w:rFonts w:hint="eastAsia" w:ascii="宋体" w:hAnsi="宋体" w:cs="宋体"/>
          <w:b/>
          <w:bCs/>
          <w:sz w:val="44"/>
          <w:szCs w:val="44"/>
        </w:rPr>
        <w:t>年度整体支出绩效自评报告</w:t>
      </w:r>
    </w:p>
    <w:p w14:paraId="1FE54760">
      <w:pPr>
        <w:spacing w:line="560" w:lineRule="exact"/>
        <w:jc w:val="center"/>
        <w:rPr>
          <w:rFonts w:ascii="华文楷体" w:eastAsia="华文楷体"/>
          <w:sz w:val="32"/>
          <w:szCs w:val="32"/>
        </w:rPr>
      </w:pPr>
    </w:p>
    <w:p w14:paraId="59A986E1">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w:t>
      </w:r>
      <w:r>
        <w:rPr>
          <w:rFonts w:hint="eastAsia" w:ascii="仿宋" w:hAnsi="仿宋" w:eastAsia="仿宋"/>
          <w:sz w:val="32"/>
          <w:szCs w:val="32"/>
          <w:lang w:eastAsia="zh-CN"/>
        </w:rPr>
        <w:t>赞皇县财政局</w:t>
      </w:r>
      <w:r>
        <w:rPr>
          <w:rFonts w:hint="eastAsia" w:ascii="仿宋" w:hAnsi="仿宋" w:eastAsia="仿宋"/>
          <w:sz w:val="32"/>
          <w:szCs w:val="32"/>
        </w:rPr>
        <w:t>《关于</w:t>
      </w:r>
      <w:r>
        <w:rPr>
          <w:rFonts w:hint="eastAsia" w:ascii="仿宋" w:hAnsi="仿宋" w:eastAsia="仿宋"/>
          <w:sz w:val="32"/>
          <w:szCs w:val="32"/>
          <w:lang w:eastAsia="zh-CN"/>
        </w:rPr>
        <w:t>落实部门</w:t>
      </w:r>
      <w:r>
        <w:rPr>
          <w:rFonts w:hint="eastAsia" w:ascii="仿宋" w:hAnsi="仿宋" w:eastAsia="仿宋"/>
          <w:sz w:val="32"/>
          <w:szCs w:val="32"/>
        </w:rPr>
        <w:t>预算绩效管理</w:t>
      </w:r>
      <w:r>
        <w:rPr>
          <w:rFonts w:hint="eastAsia" w:ascii="仿宋" w:hAnsi="仿宋" w:eastAsia="仿宋"/>
          <w:sz w:val="32"/>
          <w:szCs w:val="32"/>
          <w:lang w:eastAsia="zh-CN"/>
        </w:rPr>
        <w:t>办法</w:t>
      </w:r>
      <w:r>
        <w:rPr>
          <w:rFonts w:hint="eastAsia" w:ascii="仿宋" w:hAnsi="仿宋" w:eastAsia="仿宋"/>
          <w:sz w:val="32"/>
          <w:szCs w:val="32"/>
        </w:rPr>
        <w:t>》</w:t>
      </w:r>
      <w:r>
        <w:rPr>
          <w:rFonts w:hint="eastAsia" w:ascii="仿宋" w:hAnsi="仿宋" w:eastAsia="仿宋"/>
          <w:sz w:val="32"/>
          <w:szCs w:val="32"/>
          <w:lang w:eastAsia="zh-CN"/>
        </w:rPr>
        <w:t>的通知</w:t>
      </w:r>
      <w:r>
        <w:rPr>
          <w:rFonts w:hint="eastAsia" w:ascii="仿宋" w:hAnsi="仿宋" w:eastAsia="仿宋"/>
          <w:sz w:val="32"/>
          <w:szCs w:val="32"/>
        </w:rPr>
        <w:t>（</w:t>
      </w:r>
      <w:r>
        <w:rPr>
          <w:rFonts w:hint="eastAsia" w:ascii="仿宋" w:hAnsi="仿宋" w:eastAsia="仿宋"/>
          <w:sz w:val="32"/>
          <w:szCs w:val="32"/>
          <w:lang w:eastAsia="zh-CN"/>
        </w:rPr>
        <w:t>赞财预</w:t>
      </w:r>
      <w:r>
        <w:rPr>
          <w:rFonts w:hint="eastAsia" w:ascii="仿宋" w:hAnsi="仿宋" w:eastAsia="仿宋"/>
          <w:sz w:val="32"/>
          <w:szCs w:val="32"/>
        </w:rPr>
        <w:t>﹝2019﹞</w:t>
      </w:r>
      <w:r>
        <w:rPr>
          <w:rFonts w:hint="eastAsia" w:ascii="仿宋" w:hAnsi="仿宋" w:eastAsia="仿宋"/>
          <w:sz w:val="32"/>
          <w:szCs w:val="32"/>
          <w:lang w:val="en-US" w:eastAsia="zh-CN"/>
        </w:rPr>
        <w:t>11</w:t>
      </w:r>
      <w:r>
        <w:rPr>
          <w:rFonts w:hint="eastAsia" w:ascii="仿宋" w:hAnsi="仿宋" w:eastAsia="仿宋"/>
          <w:sz w:val="32"/>
          <w:szCs w:val="32"/>
        </w:rPr>
        <w:t>号）文件精神，遵循“科学性、规范性、客观性和公正性”的原则，对</w:t>
      </w:r>
      <w:r>
        <w:rPr>
          <w:rFonts w:hint="eastAsia" w:ascii="仿宋" w:hAnsi="仿宋" w:eastAsia="仿宋"/>
          <w:sz w:val="32"/>
          <w:szCs w:val="32"/>
          <w:lang w:val="en-US" w:eastAsia="zh-CN"/>
        </w:rPr>
        <w:t>赞皇县土门乡人民政府</w:t>
      </w:r>
      <w:r>
        <w:rPr>
          <w:rFonts w:hint="eastAsia" w:ascii="仿宋" w:hAnsi="仿宋" w:eastAsia="仿宋"/>
          <w:sz w:val="32"/>
          <w:szCs w:val="32"/>
          <w:lang w:eastAsia="zh-CN"/>
        </w:rPr>
        <w:t>2024</w:t>
      </w:r>
      <w:r>
        <w:rPr>
          <w:rFonts w:hint="eastAsia" w:ascii="仿宋" w:hAnsi="仿宋" w:eastAsia="仿宋"/>
          <w:sz w:val="32"/>
          <w:szCs w:val="32"/>
        </w:rPr>
        <w:t>年整体支出情况实施了财政支出绩效自评价，形成本评价报告。</w:t>
      </w:r>
    </w:p>
    <w:p w14:paraId="2C02D0AE">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590ECAF7">
      <w:pPr>
        <w:adjustRightInd w:val="0"/>
        <w:snapToGrid w:val="0"/>
        <w:spacing w:line="560" w:lineRule="exact"/>
        <w:rPr>
          <w:rFonts w:ascii="楷体" w:hAnsi="楷体" w:eastAsia="楷体" w:cs="楷体_GB2312"/>
          <w:bCs/>
          <w:sz w:val="32"/>
          <w:szCs w:val="32"/>
        </w:rPr>
      </w:pPr>
      <w:r>
        <w:rPr>
          <w:rFonts w:hint="eastAsia" w:ascii="楷体" w:hAnsi="楷体" w:eastAsia="楷体" w:cs="楷体_GB2312"/>
          <w:bCs/>
          <w:sz w:val="32"/>
          <w:szCs w:val="32"/>
          <w:lang w:val="en-US" w:eastAsia="zh-CN"/>
        </w:rPr>
        <w:t xml:space="preserve">   </w:t>
      </w:r>
      <w:r>
        <w:rPr>
          <w:rFonts w:hint="eastAsia" w:ascii="楷体" w:hAnsi="楷体" w:eastAsia="楷体" w:cs="楷体_GB2312"/>
          <w:bCs/>
          <w:sz w:val="32"/>
          <w:szCs w:val="32"/>
        </w:rPr>
        <w:t>（一）部门概况</w:t>
      </w:r>
    </w:p>
    <w:p w14:paraId="0B8C1723">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赞皇县土门乡为全额财政拨款正科级部门，内设机构4个，规格为股级，分别是：党政综合办公室、党建工作办公室（挂人大主席团办公室牌子）、社会治理和应急管理办公室（挂综合指挥和信息化网络中心牌子、自然资源和生态环境办公室）。</w:t>
      </w:r>
    </w:p>
    <w:p w14:paraId="67E21454">
      <w:pPr>
        <w:adjustRightInd w:val="0"/>
        <w:snapToGrid w:val="0"/>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所属事业部门7个，分别是综合行政执法队、行政综合服务中心（挂综合文化服务站、财政所牌子）、农业综合服务中心（挂经济发展办公室牌子）。另设立退役军人服务站、乡纪委（监察办公室）。人民武装部及工会、共青团、妇联等群团组织按有关章程和规定设置，在乡党委统一领导下开展工作。</w:t>
      </w:r>
    </w:p>
    <w:p w14:paraId="78A9935A">
      <w:pPr>
        <w:keepNext w:val="0"/>
        <w:keepLines w:val="0"/>
        <w:pageBreakBefore w:val="0"/>
        <w:numPr>
          <w:ilvl w:val="0"/>
          <w:numId w:val="0"/>
        </w:numPr>
        <w:kinsoku/>
        <w:wordWrap/>
        <w:overflowPunct/>
        <w:topLinePunct w:val="0"/>
        <w:bidi w:val="0"/>
        <w:snapToGrid/>
        <w:spacing w:line="360" w:lineRule="auto"/>
        <w:ind w:leftChars="-100"/>
        <w:textAlignment w:val="auto"/>
        <w:rPr>
          <w:rFonts w:hint="eastAsia" w:ascii="仿宋" w:hAnsi="仿宋" w:eastAsia="仿宋" w:cs="仿宋"/>
          <w:b/>
          <w:bCs/>
          <w:sz w:val="28"/>
          <w:szCs w:val="28"/>
        </w:rPr>
      </w:pPr>
      <w:r>
        <w:rPr>
          <w:rFonts w:hint="eastAsia" w:ascii="仿宋" w:hAnsi="仿宋" w:eastAsia="仿宋" w:cs="仿宋"/>
          <w:sz w:val="28"/>
          <w:szCs w:val="28"/>
          <w:lang w:val="en-US" w:eastAsia="zh-CN"/>
        </w:rPr>
        <w:t xml:space="preserve"> </w:t>
      </w:r>
      <w:r>
        <w:rPr>
          <w:rFonts w:hint="eastAsia" w:ascii="仿宋" w:hAnsi="仿宋" w:eastAsia="仿宋" w:cs="仿宋"/>
          <w:b/>
          <w:bCs/>
          <w:sz w:val="28"/>
          <w:szCs w:val="28"/>
        </w:rPr>
        <w:t>人员编制：</w:t>
      </w:r>
    </w:p>
    <w:p w14:paraId="483E4E79">
      <w:pPr>
        <w:keepNext w:val="0"/>
        <w:keepLines w:val="0"/>
        <w:pageBreakBefore w:val="0"/>
        <w:numPr>
          <w:ilvl w:val="0"/>
          <w:numId w:val="0"/>
        </w:numPr>
        <w:kinsoku/>
        <w:wordWrap/>
        <w:overflowPunct/>
        <w:topLinePunct w:val="0"/>
        <w:bidi w:val="0"/>
        <w:snapToGrid/>
        <w:spacing w:line="360" w:lineRule="auto"/>
        <w:ind w:leftChars="-100"/>
        <w:textAlignment w:val="auto"/>
        <w:rPr>
          <w:rFonts w:hint="eastAsia" w:ascii="仿宋" w:hAnsi="仿宋" w:eastAsia="仿宋" w:cs="仿宋"/>
          <w:sz w:val="32"/>
          <w:szCs w:val="32"/>
          <w:lang w:val="en-US" w:eastAsia="zh-CN"/>
        </w:rPr>
      </w:pPr>
      <w:r>
        <w:rPr>
          <w:rFonts w:hint="eastAsia" w:ascii="仿宋" w:hAnsi="仿宋" w:eastAsia="仿宋" w:cs="仿宋"/>
          <w:b/>
          <w:bCs/>
          <w:sz w:val="32"/>
          <w:lang w:val="en-US" w:eastAsia="zh-CN"/>
        </w:rPr>
        <w:t xml:space="preserve">  </w:t>
      </w:r>
      <w:r>
        <w:rPr>
          <w:rFonts w:hint="eastAsia" w:ascii="仿宋" w:hAnsi="仿宋" w:eastAsia="仿宋" w:cs="仿宋"/>
          <w:b/>
          <w:bCs/>
          <w:sz w:val="28"/>
          <w:szCs w:val="28"/>
          <w:lang w:val="en-US" w:eastAsia="zh-CN"/>
        </w:rPr>
        <w:t xml:space="preserve"> </w:t>
      </w:r>
      <w:r>
        <w:rPr>
          <w:rFonts w:hint="eastAsia" w:ascii="仿宋" w:hAnsi="仿宋" w:eastAsia="仿宋" w:cs="仿宋"/>
          <w:sz w:val="32"/>
          <w:szCs w:val="32"/>
          <w:lang w:val="en-US" w:eastAsia="zh-CN"/>
        </w:rPr>
        <w:t>土门乡部门人大政府机关核定行政编制23名，所属事业部门核定财政性资金基本保障事业编制27名，锁定财政资金零补助事业编制2名。</w:t>
      </w:r>
    </w:p>
    <w:p w14:paraId="5979B32A">
      <w:pPr>
        <w:keepNext w:val="0"/>
        <w:keepLines w:val="0"/>
        <w:pageBreakBefore w:val="0"/>
        <w:numPr>
          <w:ilvl w:val="0"/>
          <w:numId w:val="0"/>
        </w:numPr>
        <w:kinsoku/>
        <w:wordWrap/>
        <w:overflowPunct/>
        <w:topLinePunct w:val="0"/>
        <w:bidi w:val="0"/>
        <w:snapToGrid/>
        <w:spacing w:line="360" w:lineRule="auto"/>
        <w:ind w:leftChars="-1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领导配置：</w:t>
      </w:r>
    </w:p>
    <w:p w14:paraId="6FF3463A">
      <w:pPr>
        <w:keepNext w:val="0"/>
        <w:keepLines w:val="0"/>
        <w:pageBreakBefore w:val="0"/>
        <w:numPr>
          <w:ilvl w:val="0"/>
          <w:numId w:val="0"/>
        </w:numPr>
        <w:kinsoku/>
        <w:wordWrap/>
        <w:overflowPunct/>
        <w:topLinePunct w:val="0"/>
        <w:bidi w:val="0"/>
        <w:snapToGrid/>
        <w:spacing w:line="360" w:lineRule="auto"/>
        <w:ind w:leftChars="-1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乡党委设书记1名、副书记2名（其中1名由乡长兼任），乡政府设乡长1名、副乡长3名（其中1名副职兼任派出所所长），乡人大设主席1名、副主席2名；乡党委委员职数按中央、省委关于领导班子换届有关文件执行。纪委委员职数3名，其中书记1名、副书记1名、纪委专干1名。监察办公室主任由乡纪委书记担任，副主任由乡纪委副书记担任。核定股级领导职数2名，其中，党建工作办公室、综合行政执法队、行政综合服务中心主要负责人可配备副科级干部。按照有关规定配备政法委员、人武专干、宗教专干、专职。</w:t>
      </w:r>
    </w:p>
    <w:p w14:paraId="0E2A4CFB">
      <w:pPr>
        <w:keepNext w:val="0"/>
        <w:keepLines w:val="0"/>
        <w:pageBreakBefore w:val="0"/>
        <w:numPr>
          <w:ilvl w:val="0"/>
          <w:numId w:val="0"/>
        </w:numPr>
        <w:kinsoku/>
        <w:wordWrap/>
        <w:overflowPunct/>
        <w:topLinePunct w:val="0"/>
        <w:bidi w:val="0"/>
        <w:snapToGrid/>
        <w:spacing w:line="360" w:lineRule="auto"/>
        <w:ind w:leftChars="-100"/>
        <w:textAlignment w:val="auto"/>
        <w:rPr>
          <w:rFonts w:hint="eastAsia" w:ascii="楷体" w:hAnsi="楷体" w:eastAsia="楷体" w:cs="Times New Roman"/>
          <w:b/>
          <w:sz w:val="28"/>
          <w:szCs w:val="28"/>
        </w:rPr>
      </w:pPr>
      <w:r>
        <w:rPr>
          <w:rFonts w:hint="eastAsia" w:ascii="楷体" w:hAnsi="楷体" w:eastAsia="楷体" w:cs="Times New Roman"/>
          <w:b/>
          <w:sz w:val="32"/>
          <w:szCs w:val="32"/>
        </w:rPr>
        <w:t>部门</w:t>
      </w:r>
      <w:r>
        <w:rPr>
          <w:rFonts w:ascii="楷体" w:hAnsi="楷体" w:eastAsia="楷体" w:cs="Times New Roman"/>
          <w:b/>
          <w:sz w:val="32"/>
          <w:szCs w:val="32"/>
        </w:rPr>
        <w:t>职责：</w:t>
      </w:r>
    </w:p>
    <w:p w14:paraId="151F7425">
      <w:pPr>
        <w:keepNext w:val="0"/>
        <w:keepLines w:val="0"/>
        <w:pageBreakBefore w:val="0"/>
        <w:numPr>
          <w:ilvl w:val="0"/>
          <w:numId w:val="0"/>
        </w:numPr>
        <w:kinsoku/>
        <w:wordWrap/>
        <w:overflowPunct/>
        <w:topLinePunct w:val="0"/>
        <w:bidi w:val="0"/>
        <w:snapToGrid/>
        <w:spacing w:line="360" w:lineRule="auto"/>
        <w:textAlignment w:val="auto"/>
        <w:rPr>
          <w:rFonts w:hint="eastAsia" w:ascii="仿宋" w:hAnsi="仿宋" w:eastAsia="仿宋" w:cs="仿宋"/>
          <w:sz w:val="32"/>
          <w:szCs w:val="32"/>
        </w:rPr>
      </w:pPr>
      <w:r>
        <w:rPr>
          <w:rFonts w:hint="eastAsia" w:ascii="仿宋" w:hAnsi="仿宋" w:eastAsia="仿宋" w:cs="仿宋"/>
          <w:sz w:val="32"/>
          <w:szCs w:val="32"/>
        </w:rPr>
        <w:t>（一）</w:t>
      </w:r>
      <w:r>
        <w:rPr>
          <w:rFonts w:hint="eastAsia" w:ascii="仿宋" w:hAnsi="仿宋" w:eastAsia="仿宋" w:cs="仿宋"/>
          <w:sz w:val="32"/>
          <w:szCs w:val="32"/>
          <w:lang w:val="en-US" w:eastAsia="zh-CN"/>
        </w:rPr>
        <w:t>宣传</w:t>
      </w:r>
      <w:r>
        <w:rPr>
          <w:rFonts w:hint="eastAsia" w:ascii="仿宋" w:hAnsi="仿宋" w:eastAsia="仿宋" w:cs="仿宋"/>
          <w:sz w:val="32"/>
          <w:szCs w:val="32"/>
        </w:rPr>
        <w:t>贯彻执行党的路线方针政策和党中央、上级党组织及本乡党员宣传代表大会（党员大会）的决议。贯彻执行法律、法规、规章和上级人民代表大会及其常务委员会决议及上级政府的决定、命令，执行本级人民代表大会的决议。</w:t>
      </w:r>
    </w:p>
    <w:p w14:paraId="511BBE92">
      <w:pPr>
        <w:keepNext w:val="0"/>
        <w:keepLines w:val="0"/>
        <w:pageBreakBefore w:val="0"/>
        <w:numPr>
          <w:ilvl w:val="0"/>
          <w:numId w:val="0"/>
        </w:numPr>
        <w:kinsoku/>
        <w:wordWrap/>
        <w:overflowPunct/>
        <w:topLinePunct w:val="0"/>
        <w:bidi w:val="0"/>
        <w:snapToGrid/>
        <w:spacing w:line="360" w:lineRule="auto"/>
        <w:textAlignment w:val="auto"/>
        <w:rPr>
          <w:rFonts w:hint="eastAsia" w:ascii="仿宋" w:hAnsi="仿宋" w:eastAsia="仿宋" w:cs="仿宋"/>
          <w:sz w:val="32"/>
          <w:szCs w:val="32"/>
        </w:rPr>
      </w:pPr>
      <w:r>
        <w:rPr>
          <w:rFonts w:hint="eastAsia" w:ascii="仿宋" w:hAnsi="仿宋" w:eastAsia="仿宋" w:cs="仿宋"/>
          <w:sz w:val="32"/>
          <w:szCs w:val="32"/>
        </w:rPr>
        <w:t>（二）讨论和决定本乡经济建设、政治建设、文化建设、社会建设生态文明建设和党的建设以及乡村振兴中的重大问题。</w:t>
      </w:r>
    </w:p>
    <w:p w14:paraId="5C961C46">
      <w:pPr>
        <w:keepNext w:val="0"/>
        <w:keepLines w:val="0"/>
        <w:pageBreakBefore w:val="0"/>
        <w:numPr>
          <w:ilvl w:val="0"/>
          <w:numId w:val="0"/>
        </w:numPr>
        <w:kinsoku/>
        <w:wordWrap/>
        <w:overflowPunct/>
        <w:topLinePunct w:val="0"/>
        <w:bidi w:val="0"/>
        <w:snapToGrid/>
        <w:spacing w:line="360" w:lineRule="auto"/>
        <w:textAlignment w:val="auto"/>
        <w:rPr>
          <w:rFonts w:hint="eastAsia" w:ascii="仿宋" w:hAnsi="仿宋" w:eastAsia="仿宋" w:cs="仿宋"/>
          <w:sz w:val="32"/>
          <w:szCs w:val="32"/>
        </w:rPr>
      </w:pPr>
      <w:r>
        <w:rPr>
          <w:rFonts w:hint="eastAsia" w:ascii="仿宋" w:hAnsi="仿宋" w:eastAsia="仿宋" w:cs="仿宋"/>
          <w:sz w:val="32"/>
          <w:szCs w:val="32"/>
        </w:rPr>
        <w:t>（三）组织召开本级人民代表大会，充分行使重大事项决定权、监督权和任免权，做好人大代表工作，联系选民、反映群众意见和要求。</w:t>
      </w:r>
    </w:p>
    <w:p w14:paraId="65301DED">
      <w:pPr>
        <w:keepNext w:val="0"/>
        <w:keepLines w:val="0"/>
        <w:pageBreakBefore w:val="0"/>
        <w:numPr>
          <w:ilvl w:val="0"/>
          <w:numId w:val="0"/>
        </w:numPr>
        <w:kinsoku/>
        <w:wordWrap/>
        <w:overflowPunct/>
        <w:topLinePunct w:val="0"/>
        <w:bidi w:val="0"/>
        <w:snapToGrid/>
        <w:spacing w:line="360" w:lineRule="auto"/>
        <w:textAlignment w:val="auto"/>
        <w:rPr>
          <w:rFonts w:hint="eastAsia" w:ascii="仿宋" w:hAnsi="仿宋" w:eastAsia="仿宋" w:cs="仿宋"/>
          <w:sz w:val="32"/>
          <w:szCs w:val="32"/>
        </w:rPr>
      </w:pPr>
      <w:r>
        <w:rPr>
          <w:rFonts w:hint="eastAsia" w:ascii="仿宋" w:hAnsi="仿宋" w:eastAsia="仿宋" w:cs="仿宋"/>
          <w:sz w:val="32"/>
          <w:szCs w:val="32"/>
        </w:rPr>
        <w:t>（四）执行本行政区域内的经济和社会发展计划、预算，管理本行政区域内的经济、教育、科学、文化、卫生健康、体育事业和财政、统计、民政、司法行政等行政工作。落实本行政区域内发展规划、专项规划、区域规划、国土空间规划。</w:t>
      </w:r>
    </w:p>
    <w:p w14:paraId="558CE364">
      <w:pPr>
        <w:keepNext w:val="0"/>
        <w:keepLines w:val="0"/>
        <w:pageBreakBefore w:val="0"/>
        <w:numPr>
          <w:ilvl w:val="0"/>
          <w:numId w:val="0"/>
        </w:numPr>
        <w:kinsoku/>
        <w:wordWrap/>
        <w:overflowPunct/>
        <w:topLinePunct w:val="0"/>
        <w:bidi w:val="0"/>
        <w:snapToGrid/>
        <w:spacing w:line="360" w:lineRule="auto"/>
        <w:textAlignment w:val="auto"/>
        <w:rPr>
          <w:rFonts w:hint="eastAsia" w:ascii="仿宋" w:hAnsi="仿宋" w:eastAsia="仿宋" w:cs="仿宋"/>
          <w:sz w:val="32"/>
          <w:szCs w:val="32"/>
        </w:rPr>
      </w:pPr>
      <w:r>
        <w:rPr>
          <w:rFonts w:hint="eastAsia" w:ascii="仿宋" w:hAnsi="仿宋" w:eastAsia="仿宋" w:cs="仿宋"/>
          <w:sz w:val="32"/>
          <w:szCs w:val="32"/>
        </w:rPr>
        <w:t>（五）乡党委领导乡政权机关、群团组织和其他各类组织加强指导和规范，支持和保证这些机关和组织依照国家法律法规以及各自章程履行职责。坚持党管武装的根本原则和制度，协调各方力量，对乡人民武装工作实行统一领导。</w:t>
      </w:r>
    </w:p>
    <w:p w14:paraId="5E83F9F9">
      <w:pPr>
        <w:keepNext w:val="0"/>
        <w:keepLines w:val="0"/>
        <w:pageBreakBefore w:val="0"/>
        <w:numPr>
          <w:ilvl w:val="0"/>
          <w:numId w:val="0"/>
        </w:numPr>
        <w:kinsoku/>
        <w:wordWrap/>
        <w:overflowPunct/>
        <w:topLinePunct w:val="0"/>
        <w:bidi w:val="0"/>
        <w:snapToGrid/>
        <w:spacing w:line="360" w:lineRule="auto"/>
        <w:textAlignment w:val="auto"/>
        <w:rPr>
          <w:rFonts w:hint="eastAsia" w:ascii="仿宋" w:hAnsi="仿宋" w:eastAsia="仿宋" w:cs="仿宋"/>
          <w:sz w:val="32"/>
          <w:szCs w:val="32"/>
        </w:rPr>
      </w:pPr>
      <w:r>
        <w:rPr>
          <w:rFonts w:hint="eastAsia" w:ascii="仿宋" w:hAnsi="仿宋" w:eastAsia="仿宋" w:cs="仿宋"/>
          <w:sz w:val="32"/>
          <w:szCs w:val="32"/>
        </w:rPr>
        <w:t>（六）加强乡党委自身建设和村党组织建设，以及其他隶属乡党委的党组织建设，抓好发展党员工作加强党员队伍建设。维护和执行党的纪律，监督党员干部和其他任何工作人员严格遵守国家法律法规。</w:t>
      </w:r>
    </w:p>
    <w:p w14:paraId="44E0219E">
      <w:pPr>
        <w:keepNext w:val="0"/>
        <w:keepLines w:val="0"/>
        <w:pageBreakBefore w:val="0"/>
        <w:numPr>
          <w:ilvl w:val="0"/>
          <w:numId w:val="0"/>
        </w:numPr>
        <w:kinsoku/>
        <w:wordWrap/>
        <w:overflowPunct/>
        <w:topLinePunct w:val="0"/>
        <w:bidi w:val="0"/>
        <w:snapToGrid/>
        <w:spacing w:line="360" w:lineRule="auto"/>
        <w:textAlignment w:val="auto"/>
        <w:rPr>
          <w:rFonts w:hint="eastAsia" w:ascii="仿宋" w:hAnsi="仿宋" w:eastAsia="仿宋" w:cs="仿宋"/>
          <w:sz w:val="32"/>
          <w:szCs w:val="32"/>
        </w:rPr>
      </w:pPr>
      <w:r>
        <w:rPr>
          <w:rFonts w:hint="eastAsia" w:ascii="仿宋" w:hAnsi="仿宋" w:eastAsia="仿宋" w:cs="仿宋"/>
          <w:sz w:val="32"/>
          <w:szCs w:val="32"/>
        </w:rPr>
        <w:t>（七）按照干部管理权限，负责对干部的教育培训、选拔、考核和监督工作。协助管理上级有关部门驻乡</w:t>
      </w:r>
      <w:r>
        <w:rPr>
          <w:rFonts w:hint="eastAsia" w:ascii="仿宋" w:hAnsi="仿宋" w:eastAsia="仿宋" w:cs="仿宋"/>
          <w:sz w:val="32"/>
          <w:szCs w:val="32"/>
          <w:lang w:eastAsia="zh-CN"/>
        </w:rPr>
        <w:t>部门</w:t>
      </w:r>
      <w:r>
        <w:rPr>
          <w:rFonts w:hint="eastAsia" w:ascii="仿宋" w:hAnsi="仿宋" w:eastAsia="仿宋" w:cs="仿宋"/>
          <w:sz w:val="32"/>
          <w:szCs w:val="32"/>
        </w:rPr>
        <w:t>的干部。做好人才服务工作。</w:t>
      </w:r>
    </w:p>
    <w:p w14:paraId="40ECEF8E">
      <w:pPr>
        <w:keepNext w:val="0"/>
        <w:keepLines w:val="0"/>
        <w:pageBreakBefore w:val="0"/>
        <w:numPr>
          <w:ilvl w:val="0"/>
          <w:numId w:val="0"/>
        </w:numPr>
        <w:kinsoku/>
        <w:wordWrap/>
        <w:overflowPunct/>
        <w:topLinePunct w:val="0"/>
        <w:bidi w:val="0"/>
        <w:snapToGrid/>
        <w:spacing w:line="360" w:lineRule="auto"/>
        <w:textAlignment w:val="auto"/>
        <w:rPr>
          <w:rFonts w:hint="eastAsia" w:ascii="仿宋" w:hAnsi="仿宋" w:eastAsia="仿宋" w:cs="仿宋"/>
          <w:sz w:val="32"/>
          <w:szCs w:val="32"/>
        </w:rPr>
      </w:pPr>
      <w:r>
        <w:rPr>
          <w:rFonts w:hint="eastAsia" w:ascii="仿宋" w:hAnsi="仿宋" w:eastAsia="仿宋" w:cs="仿宋"/>
          <w:sz w:val="32"/>
          <w:szCs w:val="32"/>
        </w:rPr>
        <w:t>（八）领导本乡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14:paraId="018DC028">
      <w:pPr>
        <w:keepNext w:val="0"/>
        <w:keepLines w:val="0"/>
        <w:pageBreakBefore w:val="0"/>
        <w:numPr>
          <w:ilvl w:val="0"/>
          <w:numId w:val="0"/>
        </w:numPr>
        <w:kinsoku/>
        <w:wordWrap/>
        <w:overflowPunct/>
        <w:topLinePunct w:val="0"/>
        <w:bidi w:val="0"/>
        <w:snapToGrid/>
        <w:spacing w:line="360" w:lineRule="auto"/>
        <w:textAlignment w:val="auto"/>
        <w:rPr>
          <w:rFonts w:hint="eastAsia" w:ascii="仿宋" w:hAnsi="仿宋" w:eastAsia="仿宋" w:cs="仿宋"/>
          <w:sz w:val="32"/>
          <w:szCs w:val="32"/>
        </w:rPr>
      </w:pPr>
      <w:r>
        <w:rPr>
          <w:rFonts w:hint="eastAsia" w:ascii="仿宋" w:hAnsi="仿宋" w:eastAsia="仿宋" w:cs="仿宋"/>
          <w:sz w:val="32"/>
          <w:szCs w:val="32"/>
        </w:rPr>
        <w:t>（九）保护社会主义的全民所有的财产和劳动群众集体所有的财产，保护公民私人所有的合法财产，维护社会秩序，保障公民的人身权利、民主权利和其他权利。保护各种经济组织的合法权益。保障各少数民族的合法的权利和利益，尊重少数民族的风俗习惯。保障宪法和法律赋予妇女的男女平等、同工同酬和婚姻自由等各项权利。</w:t>
      </w:r>
    </w:p>
    <w:p w14:paraId="075B1F56">
      <w:pPr>
        <w:keepNext w:val="0"/>
        <w:keepLines w:val="0"/>
        <w:pageBreakBefore w:val="0"/>
        <w:numPr>
          <w:ilvl w:val="0"/>
          <w:numId w:val="1"/>
        </w:numPr>
        <w:kinsoku/>
        <w:wordWrap/>
        <w:overflowPunct/>
        <w:topLinePunct w:val="0"/>
        <w:bidi w:val="0"/>
        <w:snapToGrid/>
        <w:spacing w:line="360" w:lineRule="auto"/>
        <w:ind w:left="320" w:hanging="320" w:hangingChars="100"/>
        <w:textAlignment w:val="auto"/>
        <w:rPr>
          <w:rFonts w:ascii="楷体" w:hAnsi="楷体" w:eastAsia="楷体" w:cs="楷体_GB2312"/>
          <w:bCs/>
          <w:sz w:val="32"/>
          <w:szCs w:val="32"/>
        </w:rPr>
      </w:pPr>
      <w:r>
        <w:rPr>
          <w:rFonts w:hint="eastAsia" w:ascii="仿宋" w:hAnsi="仿宋" w:eastAsia="仿宋" w:cs="仿宋"/>
          <w:sz w:val="32"/>
          <w:szCs w:val="32"/>
        </w:rPr>
        <w:t>承办上级党委、人大、政府交办的其他事项。</w:t>
      </w:r>
    </w:p>
    <w:p w14:paraId="1800142B">
      <w:pPr>
        <w:keepNext w:val="0"/>
        <w:keepLines w:val="0"/>
        <w:pageBreakBefore w:val="0"/>
        <w:numPr>
          <w:ilvl w:val="0"/>
          <w:numId w:val="0"/>
        </w:numPr>
        <w:kinsoku/>
        <w:wordWrap/>
        <w:overflowPunct/>
        <w:topLinePunct w:val="0"/>
        <w:bidi w:val="0"/>
        <w:snapToGrid/>
        <w:spacing w:line="360" w:lineRule="auto"/>
        <w:textAlignment w:val="auto"/>
        <w:rPr>
          <w:rFonts w:ascii="楷体" w:hAnsi="楷体" w:eastAsia="楷体" w:cs="楷体_GB2312"/>
          <w:bCs/>
          <w:sz w:val="32"/>
          <w:szCs w:val="32"/>
        </w:rPr>
      </w:pPr>
      <w:r>
        <w:rPr>
          <w:rFonts w:hint="eastAsia" w:ascii="楷体" w:hAnsi="楷体" w:eastAsia="楷体" w:cs="楷体_GB2312"/>
          <w:bCs/>
          <w:sz w:val="32"/>
          <w:szCs w:val="32"/>
          <w:lang w:val="en-US" w:eastAsia="zh-CN"/>
        </w:rPr>
        <w:t xml:space="preserve">   </w:t>
      </w:r>
      <w:r>
        <w:rPr>
          <w:rFonts w:hint="eastAsia" w:ascii="楷体" w:hAnsi="楷体" w:eastAsia="楷体" w:cs="楷体_GB2312"/>
          <w:bCs/>
          <w:sz w:val="32"/>
          <w:szCs w:val="32"/>
        </w:rPr>
        <w:t>（二）部门收支预决算情况</w:t>
      </w:r>
    </w:p>
    <w:p w14:paraId="1AFA9C17">
      <w:pPr>
        <w:pStyle w:val="6"/>
        <w:shd w:val="clear" w:color="auto" w:fill="FFFFFF"/>
        <w:spacing w:line="580" w:lineRule="exact"/>
        <w:ind w:firstLine="627"/>
        <w:rPr>
          <w:rFonts w:hint="default" w:ascii="楷体" w:hAnsi="楷体" w:eastAsia="楷体" w:cs="楷体_GB2312"/>
          <w:bCs/>
          <w:sz w:val="36"/>
          <w:szCs w:val="36"/>
          <w:lang w:val="en-US"/>
        </w:rPr>
      </w:pPr>
      <w:r>
        <w:rPr>
          <w:rFonts w:hint="eastAsia" w:ascii="仿宋_GB2312" w:hAnsi="宋体" w:eastAsia="仿宋_GB2312"/>
          <w:sz w:val="32"/>
          <w:szCs w:val="32"/>
          <w:lang w:val="en-US" w:eastAsia="zh-CN"/>
        </w:rPr>
        <w:t>2024年决算收入数869.17万元。2024年决算支出数869.17万元。</w:t>
      </w:r>
      <w:r>
        <w:rPr>
          <w:rFonts w:hint="eastAsia" w:ascii="仿宋_GB2312" w:hAnsi="宋体" w:eastAsia="仿宋_GB2312"/>
          <w:sz w:val="32"/>
          <w:szCs w:val="32"/>
          <w:lang w:val="en-US" w:eastAsia="zh-CN"/>
        </w:rPr>
        <w:t>其中人员经费支出530.93万元，公用经费支出91.5万元，</w:t>
      </w:r>
      <w:bookmarkStart w:id="0" w:name="_GoBack"/>
      <w:r>
        <w:rPr>
          <w:rFonts w:hint="eastAsia" w:ascii="仿宋_GB2312" w:hAnsi="宋体" w:eastAsia="仿宋_GB2312"/>
          <w:sz w:val="32"/>
          <w:szCs w:val="32"/>
          <w:lang w:val="en-US" w:eastAsia="zh-CN"/>
        </w:rPr>
        <w:t>项目支出   元，</w:t>
      </w:r>
      <w:bookmarkEnd w:id="0"/>
      <w:r>
        <w:rPr>
          <w:rFonts w:hint="eastAsia" w:ascii="仿宋_GB2312" w:hAnsi="宋体" w:eastAsia="仿宋_GB2312"/>
          <w:sz w:val="32"/>
          <w:szCs w:val="32"/>
          <w:lang w:val="en-US" w:eastAsia="zh-CN"/>
        </w:rPr>
        <w:t>整体支出完成率100%。</w:t>
      </w:r>
    </w:p>
    <w:p w14:paraId="309ED5F5">
      <w:pPr>
        <w:adjustRightInd w:val="0"/>
        <w:snapToGrid w:val="0"/>
        <w:spacing w:line="560" w:lineRule="exact"/>
        <w:rPr>
          <w:rFonts w:ascii="楷体" w:hAnsi="楷体" w:eastAsia="楷体" w:cs="楷体_GB2312"/>
          <w:bCs/>
          <w:sz w:val="32"/>
          <w:szCs w:val="32"/>
        </w:rPr>
      </w:pPr>
      <w:r>
        <w:rPr>
          <w:rFonts w:hint="eastAsia" w:ascii="楷体" w:hAnsi="楷体" w:eastAsia="楷体" w:cs="楷体_GB2312"/>
          <w:bCs/>
          <w:sz w:val="32"/>
          <w:szCs w:val="32"/>
          <w:lang w:val="en-US" w:eastAsia="zh-CN"/>
        </w:rPr>
        <w:t xml:space="preserve">   </w:t>
      </w:r>
      <w:r>
        <w:rPr>
          <w:rFonts w:hint="eastAsia" w:ascii="楷体" w:hAnsi="楷体" w:eastAsia="楷体" w:cs="楷体_GB2312"/>
          <w:bCs/>
          <w:sz w:val="32"/>
          <w:szCs w:val="32"/>
        </w:rPr>
        <w:t>（三）部门整体支出绩效目标、指标</w:t>
      </w:r>
    </w:p>
    <w:p w14:paraId="68CD041C">
      <w:pPr>
        <w:keepNext w:val="0"/>
        <w:keepLines w:val="0"/>
        <w:pageBreakBefore w:val="0"/>
        <w:kinsoku/>
        <w:wordWrap/>
        <w:overflowPunct/>
        <w:topLinePunct w:val="0"/>
        <w:bidi w:val="0"/>
        <w:snapToGrid/>
        <w:spacing w:line="360" w:lineRule="auto"/>
        <w:ind w:firstLine="643" w:firstLineChars="200"/>
        <w:jc w:val="left"/>
        <w:textAlignment w:val="auto"/>
        <w:rPr>
          <w:rFonts w:hint="eastAsia" w:ascii="楷体" w:hAnsi="楷体" w:eastAsia="楷体" w:cs="楷体"/>
          <w:b/>
          <w:sz w:val="32"/>
          <w:szCs w:val="32"/>
          <w:u w:val="none"/>
        </w:rPr>
      </w:pPr>
      <w:r>
        <w:rPr>
          <w:rFonts w:hint="eastAsia" w:ascii="楷体" w:hAnsi="楷体" w:eastAsia="楷体" w:cs="楷体"/>
          <w:b/>
          <w:sz w:val="32"/>
          <w:szCs w:val="32"/>
          <w:u w:val="none"/>
          <w:lang w:eastAsia="zh-CN"/>
        </w:rPr>
        <w:t>（一</w:t>
      </w:r>
      <w:r>
        <w:rPr>
          <w:rFonts w:hint="eastAsia" w:ascii="楷体" w:hAnsi="楷体" w:eastAsia="楷体" w:cs="楷体"/>
          <w:b/>
          <w:sz w:val="32"/>
          <w:szCs w:val="32"/>
          <w:u w:val="none"/>
          <w:lang w:val="en-US" w:eastAsia="zh-CN"/>
        </w:rPr>
        <w:t xml:space="preserve"> ）</w:t>
      </w:r>
      <w:r>
        <w:rPr>
          <w:rFonts w:hint="eastAsia" w:ascii="楷体" w:hAnsi="楷体" w:eastAsia="楷体" w:cs="楷体"/>
          <w:b/>
          <w:sz w:val="32"/>
          <w:szCs w:val="32"/>
          <w:u w:val="none"/>
        </w:rPr>
        <w:t>总体绩效目标</w:t>
      </w:r>
    </w:p>
    <w:p w14:paraId="4F1EA7B4">
      <w:pPr>
        <w:pStyle w:val="9"/>
        <w:keepNext w:val="0"/>
        <w:keepLines w:val="0"/>
        <w:pageBreakBefore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bidi w:val="0"/>
        <w:snapToGrid/>
        <w:spacing w:beforeLines="0" w:afterLines="0" w:line="360" w:lineRule="auto"/>
        <w:ind w:firstLine="640"/>
        <w:textAlignment w:val="auto"/>
        <w:rPr>
          <w:rFonts w:hint="eastAsia" w:ascii="仿宋" w:hAnsi="仿宋" w:eastAsia="仿宋" w:cs="仿宋"/>
          <w:color w:val="000000"/>
          <w:sz w:val="32"/>
          <w:szCs w:val="32"/>
        </w:rPr>
      </w:pPr>
      <w:r>
        <w:rPr>
          <w:rFonts w:hint="eastAsia" w:ascii="仿宋" w:hAnsi="仿宋" w:eastAsia="仿宋" w:cs="仿宋"/>
          <w:color w:val="000000"/>
          <w:sz w:val="32"/>
          <w:szCs w:val="32"/>
          <w:lang w:val="en-US" w:eastAsia="zh-CN"/>
        </w:rPr>
        <w:t>1.</w:t>
      </w:r>
      <w:r>
        <w:rPr>
          <w:rFonts w:hint="eastAsia" w:ascii="仿宋" w:hAnsi="仿宋" w:eastAsia="仿宋" w:cs="仿宋"/>
          <w:b/>
          <w:bCs/>
          <w:color w:val="000000"/>
          <w:sz w:val="32"/>
          <w:szCs w:val="32"/>
        </w:rPr>
        <w:t>综合协调机关日常工作。</w:t>
      </w:r>
      <w:r>
        <w:rPr>
          <w:rFonts w:hint="eastAsia" w:ascii="仿宋" w:hAnsi="仿宋" w:eastAsia="仿宋" w:cs="仿宋"/>
          <w:color w:val="000000"/>
          <w:sz w:val="32"/>
          <w:szCs w:val="32"/>
        </w:rPr>
        <w:t>加强机关日常工作的综合协调和督促检查；维持机关文电、值班、会务、机要、保密、档案、党务政务公开、对外联络、后勤保障等日常运转工作；加强机关和所属</w:t>
      </w:r>
      <w:r>
        <w:rPr>
          <w:rFonts w:hint="eastAsia" w:ascii="仿宋" w:hAnsi="仿宋" w:eastAsia="仿宋" w:cs="仿宋"/>
          <w:color w:val="000000"/>
          <w:sz w:val="32"/>
          <w:szCs w:val="32"/>
          <w:lang w:eastAsia="zh-CN"/>
        </w:rPr>
        <w:t>部门</w:t>
      </w:r>
      <w:r>
        <w:rPr>
          <w:rFonts w:hint="eastAsia" w:ascii="仿宋" w:hAnsi="仿宋" w:eastAsia="仿宋" w:cs="仿宋"/>
          <w:color w:val="000000"/>
          <w:sz w:val="32"/>
          <w:szCs w:val="32"/>
        </w:rPr>
        <w:t>财务及国有资产管理等工作。加强指导基层自治和居民区建设工作，加强社区工作者的日常管理工作，指导基层开展社区社会工作实践，收集、反映社情民意;加强爱国卫生日常工作，加强健康教育就业服务、人口与计划生育工作，加强社会救助、残疾保障工作，开展居家养老服务、精神障碍患者康复等工作</w:t>
      </w:r>
    </w:p>
    <w:p w14:paraId="3707517A">
      <w:pPr>
        <w:pStyle w:val="9"/>
        <w:keepNext w:val="0"/>
        <w:keepLines w:val="0"/>
        <w:pageBreakBefore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bidi w:val="0"/>
        <w:snapToGrid/>
        <w:spacing w:beforeLines="0" w:afterLines="0" w:line="360" w:lineRule="auto"/>
        <w:ind w:firstLine="640"/>
        <w:textAlignment w:val="auto"/>
        <w:rPr>
          <w:rFonts w:hint="eastAsia" w:ascii="仿宋" w:hAnsi="仿宋" w:eastAsia="仿宋" w:cs="仿宋"/>
          <w:color w:val="000000"/>
          <w:sz w:val="32"/>
          <w:szCs w:val="32"/>
        </w:rPr>
      </w:pPr>
      <w:r>
        <w:rPr>
          <w:rFonts w:hint="eastAsia" w:ascii="仿宋" w:hAnsi="仿宋" w:eastAsia="仿宋" w:cs="仿宋_GB2312"/>
          <w:b/>
          <w:bCs/>
          <w:sz w:val="32"/>
          <w:szCs w:val="32"/>
          <w:u w:val="none"/>
          <w:lang w:val="en-US" w:eastAsia="zh-CN"/>
        </w:rPr>
        <w:t>2.</w:t>
      </w:r>
      <w:r>
        <w:rPr>
          <w:rFonts w:hint="eastAsia" w:ascii="仿宋" w:hAnsi="仿宋" w:eastAsia="仿宋" w:cs="仿宋_GB2312"/>
          <w:b/>
          <w:bCs/>
          <w:sz w:val="32"/>
          <w:szCs w:val="32"/>
          <w:u w:val="none"/>
        </w:rPr>
        <w:t>推进基层党建工作。</w:t>
      </w:r>
      <w:r>
        <w:rPr>
          <w:rFonts w:hint="eastAsia" w:ascii="仿宋" w:hAnsi="仿宋" w:eastAsia="仿宋" w:cs="仿宋"/>
          <w:color w:val="000000"/>
          <w:sz w:val="32"/>
          <w:szCs w:val="32"/>
        </w:rPr>
        <w:t>加强基层党的政治建设、组织建设、思想建设、宣传工作、意识形态、精神文明建设、统战工作、民族宗教事务、党管武装、组织人事等工作；加强指导村（居）民委员会建立健全各项自治制度，指导村（居）民委员会的换届选举;统筹推进区域化党建工作，领导辖区内人大工作，以及工会、共青团、妇联等群团工作。</w:t>
      </w:r>
    </w:p>
    <w:p w14:paraId="1DB3560D">
      <w:pPr>
        <w:pStyle w:val="9"/>
        <w:keepNext w:val="0"/>
        <w:keepLines w:val="0"/>
        <w:pageBreakBefore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bidi w:val="0"/>
        <w:snapToGrid/>
        <w:spacing w:beforeLines="0" w:afterLines="0" w:line="360" w:lineRule="auto"/>
        <w:ind w:firstLine="640"/>
        <w:textAlignment w:val="auto"/>
        <w:rPr>
          <w:rFonts w:hint="eastAsia" w:ascii="仿宋" w:hAnsi="仿宋" w:eastAsia="仿宋" w:cs="仿宋"/>
          <w:color w:val="000000"/>
          <w:sz w:val="32"/>
          <w:szCs w:val="32"/>
        </w:rPr>
      </w:pPr>
      <w:r>
        <w:rPr>
          <w:rFonts w:hint="eastAsia" w:ascii="仿宋" w:hAnsi="仿宋" w:eastAsia="仿宋" w:cs="仿宋_GB2312"/>
          <w:b/>
          <w:bCs/>
          <w:sz w:val="32"/>
          <w:szCs w:val="32"/>
          <w:u w:val="none"/>
          <w:lang w:val="en-US" w:eastAsia="zh-CN"/>
        </w:rPr>
        <w:t>3.</w:t>
      </w:r>
      <w:r>
        <w:rPr>
          <w:rFonts w:hint="eastAsia" w:ascii="仿宋" w:hAnsi="仿宋" w:eastAsia="仿宋" w:cs="仿宋_GB2312"/>
          <w:b/>
          <w:bCs/>
          <w:sz w:val="32"/>
          <w:szCs w:val="32"/>
          <w:u w:val="none"/>
        </w:rPr>
        <w:t>加强应急管理和社会治理</w:t>
      </w:r>
      <w:r>
        <w:rPr>
          <w:rFonts w:hint="eastAsia" w:ascii="仿宋" w:hAnsi="仿宋" w:eastAsia="仿宋" w:cs="仿宋_GB2312"/>
          <w:b/>
          <w:bCs/>
          <w:sz w:val="32"/>
          <w:szCs w:val="32"/>
          <w:u w:val="none"/>
          <w:lang w:eastAsia="zh-CN"/>
        </w:rPr>
        <w:t>。</w:t>
      </w:r>
      <w:r>
        <w:rPr>
          <w:rFonts w:hint="eastAsia" w:ascii="仿宋" w:hAnsi="仿宋" w:eastAsia="仿宋" w:cs="仿宋"/>
          <w:color w:val="000000"/>
          <w:sz w:val="32"/>
          <w:szCs w:val="32"/>
        </w:rPr>
        <w:t>加强应急管理工作，落实应急管理责任，制定突发事件应急预案，组织开展应急演练，加强消防、防汛抗洪、抗旱等防灾减灾相关工作；加强生产经营</w:t>
      </w:r>
      <w:r>
        <w:rPr>
          <w:rFonts w:hint="eastAsia" w:ascii="仿宋" w:hAnsi="仿宋" w:eastAsia="仿宋" w:cs="仿宋"/>
          <w:color w:val="000000"/>
          <w:sz w:val="32"/>
          <w:szCs w:val="32"/>
          <w:lang w:eastAsia="zh-CN"/>
        </w:rPr>
        <w:t>部门</w:t>
      </w:r>
      <w:r>
        <w:rPr>
          <w:rFonts w:hint="eastAsia" w:ascii="仿宋" w:hAnsi="仿宋" w:eastAsia="仿宋" w:cs="仿宋"/>
          <w:color w:val="000000"/>
          <w:sz w:val="32"/>
          <w:szCs w:val="32"/>
        </w:rPr>
        <w:t>安全生产状况的监督检查，协助上级有关部门依法履行安全生产监督管理职责；加强领导辖区传染病防治工作，自然灾害救助相关工作，护林和森林草原防火相关工作。加强基层治理综合指挥工作，建立健全综合指挥协调机制和工作流程，统筹协调指挥各类民生诉求事项、各类政府服务热线交办事项的受理、研判、转办、落实、反馈工作；加强基层网格化管理工作；加强组织协调互联网舆情化解和舆论引导工作，统筹推进信息化网络管理工作；加强指挥平台建设管理工作。加强社会治安综合治理、法制宣传教育、信访工作，调解各类纠纷；加强加强群防群治组织建设，做好防范邪教工作；会同司法部门开展社区矫正、社区戒毒、社区康复工作，加强刑满释放人员安置帮教工作，加强做好未成年人保护工作。</w:t>
      </w:r>
    </w:p>
    <w:p w14:paraId="052C61EA">
      <w:pPr>
        <w:pStyle w:val="10"/>
        <w:keepNext w:val="0"/>
        <w:keepLines w:val="0"/>
        <w:pageBreakBefore w:val="0"/>
        <w:widowControl/>
        <w:kinsoku/>
        <w:wordWrap/>
        <w:overflowPunct/>
        <w:topLinePunct w:val="0"/>
        <w:bidi w:val="0"/>
        <w:snapToGrid/>
        <w:spacing w:beforeLines="0" w:afterLines="0" w:line="360" w:lineRule="auto"/>
        <w:ind w:firstLine="640"/>
        <w:jc w:val="both"/>
        <w:textAlignment w:val="auto"/>
        <w:rPr>
          <w:rFonts w:hint="eastAsia" w:ascii="仿宋" w:hAnsi="仿宋" w:eastAsia="仿宋" w:cs="仿宋"/>
          <w:color w:val="000000"/>
          <w:sz w:val="32"/>
          <w:szCs w:val="32"/>
        </w:rPr>
      </w:pPr>
      <w:r>
        <w:rPr>
          <w:rFonts w:hint="eastAsia" w:ascii="仿宋" w:hAnsi="仿宋" w:eastAsia="仿宋" w:cs="仿宋"/>
          <w:b/>
          <w:bCs/>
          <w:color w:val="000000"/>
          <w:sz w:val="32"/>
          <w:szCs w:val="32"/>
          <w:lang w:val="en-US" w:eastAsia="zh-CN"/>
        </w:rPr>
        <w:t>4.</w:t>
      </w:r>
      <w:r>
        <w:rPr>
          <w:rFonts w:hint="eastAsia" w:ascii="仿宋" w:hAnsi="仿宋" w:eastAsia="仿宋" w:cs="仿宋"/>
          <w:b/>
          <w:bCs/>
          <w:color w:val="000000"/>
          <w:sz w:val="32"/>
          <w:szCs w:val="32"/>
        </w:rPr>
        <w:t>保护和监管自然资源。</w:t>
      </w:r>
      <w:r>
        <w:rPr>
          <w:rFonts w:hint="eastAsia" w:ascii="仿宋" w:hAnsi="仿宋" w:eastAsia="仿宋" w:cs="仿宋"/>
          <w:color w:val="000000"/>
          <w:sz w:val="32"/>
          <w:szCs w:val="32"/>
        </w:rPr>
        <w:t>加强自然资源保护和监管、人居环境改善、土地调查、村乡规划建设、基本农田保护管理等工作；加强大气、水、土壤污染防治，水资源保护、水环境治理、节约用水、全民义务植树、古树名木保护、园林绿化等工作，加强禁止露天焚烧秸秆、“散乱污”企业综合整治工作。</w:t>
      </w:r>
    </w:p>
    <w:p w14:paraId="6B7C44A4">
      <w:pPr>
        <w:pStyle w:val="10"/>
        <w:keepNext w:val="0"/>
        <w:keepLines w:val="0"/>
        <w:pageBreakBefore w:val="0"/>
        <w:widowControl/>
        <w:kinsoku/>
        <w:wordWrap/>
        <w:overflowPunct/>
        <w:topLinePunct w:val="0"/>
        <w:bidi w:val="0"/>
        <w:snapToGrid/>
        <w:spacing w:beforeLines="0" w:afterLines="0" w:line="360" w:lineRule="auto"/>
        <w:ind w:firstLine="640"/>
        <w:jc w:val="both"/>
        <w:textAlignment w:val="auto"/>
        <w:rPr>
          <w:rFonts w:hint="eastAsia" w:ascii="仿宋" w:hAnsi="仿宋" w:eastAsia="仿宋" w:cs="仿宋"/>
          <w:color w:val="000000"/>
          <w:sz w:val="32"/>
          <w:szCs w:val="32"/>
        </w:rPr>
      </w:pPr>
      <w:r>
        <w:rPr>
          <w:rFonts w:hint="eastAsia" w:ascii="仿宋" w:hAnsi="仿宋" w:eastAsia="仿宋" w:cs="仿宋"/>
          <w:b/>
          <w:bCs/>
          <w:color w:val="000000"/>
          <w:sz w:val="32"/>
          <w:szCs w:val="32"/>
          <w:lang w:val="en-US" w:eastAsia="zh-CN"/>
        </w:rPr>
        <w:t>5.</w:t>
      </w:r>
      <w:r>
        <w:rPr>
          <w:rFonts w:hint="eastAsia" w:ascii="仿宋" w:hAnsi="仿宋" w:eastAsia="仿宋" w:cs="仿宋"/>
          <w:b/>
          <w:bCs/>
          <w:color w:val="000000"/>
          <w:sz w:val="32"/>
          <w:szCs w:val="32"/>
        </w:rPr>
        <w:t>加强综合行政执法。</w:t>
      </w:r>
      <w:r>
        <w:rPr>
          <w:rFonts w:hint="eastAsia" w:ascii="仿宋" w:hAnsi="仿宋" w:eastAsia="仿宋" w:cs="仿宋"/>
          <w:color w:val="000000"/>
          <w:sz w:val="32"/>
          <w:szCs w:val="32"/>
        </w:rPr>
        <w:t xml:space="preserve">根据有关法律法规和上级部门授权、委托，承担城乡建设、生态环境、文化市场、农业农村、安全生产、民族宗教等领域行政执法工作。 </w:t>
      </w:r>
    </w:p>
    <w:p w14:paraId="7361104E">
      <w:pPr>
        <w:pStyle w:val="10"/>
        <w:keepNext w:val="0"/>
        <w:keepLines w:val="0"/>
        <w:pageBreakBefore w:val="0"/>
        <w:widowControl/>
        <w:kinsoku/>
        <w:wordWrap/>
        <w:overflowPunct/>
        <w:topLinePunct w:val="0"/>
        <w:bidi w:val="0"/>
        <w:snapToGrid/>
        <w:spacing w:beforeLines="0" w:afterLines="0" w:line="360" w:lineRule="auto"/>
        <w:ind w:firstLine="640"/>
        <w:jc w:val="both"/>
        <w:textAlignment w:val="auto"/>
        <w:rPr>
          <w:rFonts w:hint="eastAsia" w:ascii="仿宋" w:hAnsi="仿宋" w:eastAsia="仿宋" w:cs="仿宋"/>
          <w:color w:val="000000"/>
          <w:sz w:val="32"/>
          <w:szCs w:val="32"/>
        </w:rPr>
      </w:pPr>
      <w:r>
        <w:rPr>
          <w:rFonts w:hint="eastAsia" w:ascii="仿宋" w:hAnsi="仿宋" w:eastAsia="仿宋" w:cs="仿宋_GB2312"/>
          <w:b/>
          <w:bCs/>
          <w:sz w:val="32"/>
          <w:szCs w:val="32"/>
          <w:u w:val="none"/>
          <w:lang w:val="en-US" w:eastAsia="zh-CN"/>
        </w:rPr>
        <w:t>6.</w:t>
      </w:r>
      <w:r>
        <w:rPr>
          <w:rFonts w:hint="eastAsia" w:ascii="仿宋" w:hAnsi="仿宋" w:eastAsia="仿宋" w:cs="仿宋_GB2312"/>
          <w:b/>
          <w:bCs/>
          <w:sz w:val="32"/>
          <w:szCs w:val="32"/>
          <w:u w:val="none"/>
        </w:rPr>
        <w:t>优化便民服务</w:t>
      </w:r>
      <w:r>
        <w:rPr>
          <w:rFonts w:hint="eastAsia" w:ascii="仿宋" w:hAnsi="仿宋" w:eastAsia="仿宋" w:cs="仿宋"/>
          <w:color w:val="000000"/>
          <w:sz w:val="32"/>
          <w:szCs w:val="32"/>
        </w:rPr>
        <w:t>加强行政审批服务事项的受理、办理工作，提供政策和业务咨询；指导村便民服务点建设。加强开展群众文化艺术娱乐、体育活动，加强文化市场进行监督、巡查工作，加强文物普查、保护和开发利用工作，指导村文化室建设、文体设施规划建设。加强编制乡财政预决算，加强乡政府预算</w:t>
      </w:r>
      <w:r>
        <w:rPr>
          <w:rFonts w:hint="eastAsia" w:ascii="仿宋" w:hAnsi="仿宋" w:eastAsia="仿宋" w:cs="仿宋"/>
          <w:color w:val="000000"/>
          <w:sz w:val="32"/>
          <w:szCs w:val="32"/>
          <w:lang w:eastAsia="zh-CN"/>
        </w:rPr>
        <w:t>部门</w:t>
      </w:r>
      <w:r>
        <w:rPr>
          <w:rFonts w:hint="eastAsia" w:ascii="仿宋" w:hAnsi="仿宋" w:eastAsia="仿宋" w:cs="仿宋"/>
          <w:color w:val="000000"/>
          <w:sz w:val="32"/>
          <w:szCs w:val="32"/>
        </w:rPr>
        <w:t>的财务管理和核算，加强村级资金核拨和监督管理等相关工作。</w:t>
      </w:r>
    </w:p>
    <w:p w14:paraId="64096FA7">
      <w:pPr>
        <w:pStyle w:val="10"/>
        <w:keepNext w:val="0"/>
        <w:keepLines w:val="0"/>
        <w:pageBreakBefore w:val="0"/>
        <w:widowControl/>
        <w:kinsoku/>
        <w:wordWrap/>
        <w:overflowPunct/>
        <w:topLinePunct w:val="0"/>
        <w:bidi w:val="0"/>
        <w:snapToGrid/>
        <w:spacing w:beforeLines="0" w:afterLines="0" w:line="360" w:lineRule="auto"/>
        <w:ind w:firstLine="640"/>
        <w:jc w:val="both"/>
        <w:textAlignment w:val="auto"/>
        <w:rPr>
          <w:rFonts w:hint="eastAsia" w:ascii="仿宋" w:hAnsi="仿宋" w:eastAsia="仿宋" w:cs="仿宋"/>
          <w:color w:val="000000"/>
          <w:sz w:val="32"/>
          <w:szCs w:val="32"/>
        </w:rPr>
      </w:pPr>
      <w:r>
        <w:rPr>
          <w:rFonts w:hint="eastAsia" w:ascii="仿宋" w:hAnsi="仿宋" w:eastAsia="仿宋" w:cs="仿宋_GB2312"/>
          <w:b/>
          <w:bCs/>
          <w:sz w:val="32"/>
          <w:szCs w:val="32"/>
          <w:u w:val="none"/>
          <w:lang w:val="en-US" w:eastAsia="zh-CN"/>
        </w:rPr>
        <w:t>7.</w:t>
      </w:r>
      <w:r>
        <w:rPr>
          <w:rFonts w:hint="eastAsia" w:ascii="仿宋" w:hAnsi="仿宋" w:eastAsia="仿宋" w:cs="仿宋_GB2312"/>
          <w:b/>
          <w:bCs/>
          <w:sz w:val="32"/>
          <w:szCs w:val="32"/>
          <w:u w:val="none"/>
        </w:rPr>
        <w:t>做好军人事务。</w:t>
      </w:r>
      <w:r>
        <w:rPr>
          <w:rFonts w:hint="eastAsia" w:ascii="仿宋" w:hAnsi="仿宋" w:eastAsia="仿宋" w:cs="仿宋"/>
          <w:color w:val="000000"/>
          <w:sz w:val="32"/>
          <w:szCs w:val="32"/>
        </w:rPr>
        <w:t>加强退役军人就业创业扶持、拥军优属、优抚帮扶、走访慰问、信访接待、权益保障等工作；配合武装部做好征兵、民兵、预备役、国防教育、国民经济动员、人民防空、国防交通、国防设施保护等相关工作。</w:t>
      </w:r>
    </w:p>
    <w:p w14:paraId="309E2360">
      <w:pPr>
        <w:pStyle w:val="9"/>
        <w:keepNext w:val="0"/>
        <w:keepLines w:val="0"/>
        <w:pageBreakBefore w:val="0"/>
        <w:widowControl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bidi w:val="0"/>
        <w:snapToGrid/>
        <w:spacing w:beforeLines="0" w:afterLines="0" w:line="360" w:lineRule="auto"/>
        <w:textAlignment w:val="auto"/>
        <w:rPr>
          <w:rFonts w:hint="eastAsia" w:ascii="仿宋" w:hAnsi="仿宋" w:eastAsia="仿宋" w:cs="仿宋"/>
          <w:color w:val="000000"/>
          <w:sz w:val="32"/>
          <w:szCs w:val="32"/>
        </w:rPr>
      </w:pPr>
      <w:r>
        <w:rPr>
          <w:rFonts w:hint="eastAsia" w:ascii="仿宋" w:hAnsi="仿宋" w:eastAsia="仿宋" w:cs="仿宋_GB2312"/>
          <w:b/>
          <w:bCs/>
          <w:sz w:val="32"/>
          <w:szCs w:val="32"/>
          <w:u w:val="none"/>
          <w:lang w:val="en-US" w:eastAsia="zh-CN"/>
        </w:rPr>
        <w:t xml:space="preserve">    8.</w:t>
      </w:r>
      <w:r>
        <w:rPr>
          <w:rFonts w:hint="eastAsia" w:ascii="仿宋" w:hAnsi="仿宋" w:eastAsia="仿宋" w:cs="仿宋_GB2312"/>
          <w:b/>
          <w:bCs/>
          <w:sz w:val="32"/>
          <w:szCs w:val="32"/>
          <w:u w:val="none"/>
        </w:rPr>
        <w:t>提供农业综合服务。</w:t>
      </w:r>
      <w:r>
        <w:rPr>
          <w:rFonts w:hint="eastAsia" w:ascii="仿宋" w:hAnsi="仿宋" w:eastAsia="仿宋" w:cs="仿宋"/>
          <w:color w:val="000000"/>
          <w:sz w:val="32"/>
          <w:szCs w:val="32"/>
        </w:rPr>
        <w:t>加强农业、畜牧、林业、水利、农机等技术推广和服务工作，加强农产品质量安全监管工作，加强指导农业生产、技术培训和信息咨询服务；加强动植物病虫害及灾情的预报、防治、处置；加强指导新农村建设、乡村振兴、农村经济发展、农村体制改革、农村土地承包、扶贫开发、水土保持和综合治理等工作，加强农村环境卫生工作。</w:t>
      </w:r>
    </w:p>
    <w:p w14:paraId="16866734">
      <w:pPr>
        <w:adjustRightInd w:val="0"/>
        <w:snapToGrid w:val="0"/>
        <w:spacing w:line="560" w:lineRule="exact"/>
        <w:rPr>
          <w:rFonts w:ascii="黑体" w:hAnsi="黑体" w:eastAsia="黑体"/>
          <w:sz w:val="32"/>
          <w:szCs w:val="32"/>
        </w:rPr>
      </w:pPr>
      <w:r>
        <w:rPr>
          <w:rFonts w:hint="eastAsia" w:ascii="黑体" w:hAnsi="黑体" w:eastAsia="黑体"/>
          <w:sz w:val="32"/>
          <w:szCs w:val="32"/>
        </w:rPr>
        <w:t>二、自评工作开展情况</w:t>
      </w:r>
    </w:p>
    <w:p w14:paraId="5B8BC27B">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14:paraId="61B48F2C">
      <w:pPr>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本单位履职及履职效益情况良好。人员工资正常发放，部门高效运转，工作高效完成。本单位对各项支出严格按照预算额度进行控制，单位整体支出使用达到了预期。按照“财政拨款支出”、“基本支出“和“项目支出”分类进行明细核算，各项资金的使用与管理符合财政预算管理的有关规定，遵循公开、公平、公正和统筹规划、突出重点、讲求实效的原则，确保资金的规范、安全和高效。</w:t>
      </w:r>
    </w:p>
    <w:p w14:paraId="07D97012">
      <w:pPr>
        <w:rPr>
          <w:rFonts w:ascii="楷体" w:hAnsi="楷体" w:eastAsia="楷体" w:cs="楷体_GB2312"/>
          <w:bCs/>
          <w:sz w:val="32"/>
          <w:szCs w:val="32"/>
        </w:rPr>
      </w:pPr>
      <w:r>
        <w:rPr>
          <w:rFonts w:hint="eastAsia" w:ascii="楷体" w:hAnsi="楷体" w:eastAsia="楷体" w:cs="楷体_GB2312"/>
          <w:bCs/>
          <w:sz w:val="32"/>
          <w:szCs w:val="32"/>
          <w:lang w:val="en-US" w:eastAsia="zh-CN"/>
        </w:rPr>
        <w:t xml:space="preserve">  </w:t>
      </w:r>
      <w:r>
        <w:rPr>
          <w:rFonts w:hint="eastAsia" w:ascii="楷体" w:hAnsi="楷体" w:eastAsia="楷体" w:cs="楷体_GB2312"/>
          <w:bCs/>
          <w:sz w:val="32"/>
          <w:szCs w:val="32"/>
        </w:rPr>
        <w:t>（</w:t>
      </w:r>
      <w:r>
        <w:rPr>
          <w:rFonts w:hint="eastAsia" w:ascii="楷体" w:hAnsi="楷体" w:eastAsia="楷体" w:cs="楷体_GB2312"/>
          <w:bCs/>
          <w:sz w:val="32"/>
          <w:szCs w:val="32"/>
          <w:lang w:eastAsia="zh-CN"/>
        </w:rPr>
        <w:t>二</w:t>
      </w:r>
      <w:r>
        <w:rPr>
          <w:rFonts w:hint="eastAsia" w:ascii="楷体" w:hAnsi="楷体" w:eastAsia="楷体" w:cs="楷体_GB2312"/>
          <w:bCs/>
          <w:sz w:val="32"/>
          <w:szCs w:val="32"/>
        </w:rPr>
        <w:t>）自评的方法和过程</w:t>
      </w:r>
    </w:p>
    <w:p w14:paraId="2E6B4ECB">
      <w:pPr>
        <w:keepNext w:val="0"/>
        <w:keepLines w:val="0"/>
        <w:pageBreakBefore w:val="0"/>
        <w:widowControl w:val="0"/>
        <w:kinsoku/>
        <w:wordWrap/>
        <w:overflowPunct/>
        <w:topLinePunct w:val="0"/>
        <w:autoSpaceDE/>
        <w:autoSpaceDN/>
        <w:bidi w:val="0"/>
        <w:adjustRightInd/>
        <w:snapToGrid/>
        <w:spacing w:beforeAutospacing="0" w:line="240" w:lineRule="auto"/>
        <w:ind w:right="0" w:rightChars="0" w:firstLine="640" w:firstLineChars="200"/>
        <w:jc w:val="both"/>
        <w:textAlignment w:val="auto"/>
        <w:outlineLvl w:val="9"/>
      </w:pPr>
      <w:r>
        <w:rPr>
          <w:rFonts w:hint="eastAsia" w:ascii="仿宋" w:hAnsi="仿宋" w:eastAsia="仿宋" w:cs="仿宋"/>
          <w:color w:val="333333"/>
          <w:kern w:val="0"/>
          <w:sz w:val="32"/>
          <w:szCs w:val="32"/>
          <w:lang w:val="en-US" w:eastAsia="zh-CN" w:bidi="ar"/>
        </w:rPr>
        <w:t>认真学习县财政局下发有关项目资金绩效自评的工作要求与评价内容，重点了解项目资金绩效评价的共性指标要素，及时核查项目资金拔付到位情况，详细督查项目资金在项目实施过程中的使用情况</w:t>
      </w:r>
    </w:p>
    <w:p w14:paraId="4DBE4FAB">
      <w:pPr>
        <w:spacing w:line="560" w:lineRule="exact"/>
        <w:rPr>
          <w:rFonts w:ascii="黑体" w:hAnsi="黑体" w:eastAsia="黑体"/>
          <w:b/>
          <w:bCs/>
          <w:sz w:val="32"/>
          <w:szCs w:val="32"/>
        </w:rPr>
      </w:pPr>
      <w:r>
        <w:rPr>
          <w:rFonts w:hint="eastAsia" w:ascii="黑体" w:hAnsi="黑体" w:eastAsia="黑体"/>
          <w:sz w:val="32"/>
          <w:szCs w:val="32"/>
        </w:rPr>
        <w:t>三、部门整体支出绩效目标实现情况及指标分析</w:t>
      </w:r>
    </w:p>
    <w:p w14:paraId="202BD1D4">
      <w:pPr>
        <w:numPr>
          <w:ilvl w:val="0"/>
          <w:numId w:val="2"/>
        </w:numPr>
        <w:spacing w:line="560" w:lineRule="exact"/>
        <w:ind w:left="420" w:leftChars="200" w:firstLine="0" w:firstLineChars="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34AAAB91">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color="auto" w:fill="FFFFFF"/>
        <w:spacing w:before="0" w:beforeAutospacing="0" w:after="0" w:afterAutospacing="0" w:line="600" w:lineRule="atLeast"/>
        <w:ind w:left="0" w:right="0" w:firstLine="643"/>
        <w:jc w:val="both"/>
        <w:rPr>
          <w:rFonts w:hint="eastAsia" w:ascii="宋体" w:hAnsi="宋体" w:eastAsia="宋体" w:cs="宋体"/>
          <w:i w:val="0"/>
          <w:iCs w:val="0"/>
          <w:caps w:val="0"/>
          <w:color w:val="000000"/>
          <w:spacing w:val="0"/>
          <w:sz w:val="18"/>
          <w:szCs w:val="18"/>
        </w:rPr>
      </w:pPr>
      <w:r>
        <w:rPr>
          <w:rFonts w:hint="eastAsia" w:ascii="仿宋" w:hAnsi="仿宋" w:eastAsia="仿宋"/>
          <w:sz w:val="32"/>
          <w:szCs w:val="32"/>
          <w:lang w:val="en-US" w:eastAsia="zh-CN"/>
        </w:rPr>
        <w:t>本单位履职及履职效益情况良好。人员工资正常发放，部门高效运转，各项工作高效完成。本单位对各项支出严格按照预算额度进行控制，单位整体支出使用达到了预期目的。</w:t>
      </w:r>
      <w:r>
        <w:rPr>
          <w:rFonts w:hint="default" w:ascii="仿宋_GB2312" w:hAnsi="宋体" w:eastAsia="仿宋_GB2312" w:cs="仿宋_GB2312"/>
          <w:i w:val="0"/>
          <w:iCs w:val="0"/>
          <w:caps w:val="0"/>
          <w:color w:val="000000"/>
          <w:spacing w:val="0"/>
          <w:sz w:val="32"/>
          <w:szCs w:val="32"/>
          <w:shd w:val="clear" w:color="auto" w:fill="FFFFFF"/>
        </w:rPr>
        <w:t>我</w:t>
      </w:r>
      <w:r>
        <w:rPr>
          <w:rFonts w:hint="eastAsia" w:ascii="仿宋_GB2312" w:hAnsi="宋体" w:eastAsia="仿宋_GB2312" w:cs="仿宋_GB2312"/>
          <w:i w:val="0"/>
          <w:iCs w:val="0"/>
          <w:caps w:val="0"/>
          <w:color w:val="000000"/>
          <w:spacing w:val="0"/>
          <w:sz w:val="32"/>
          <w:szCs w:val="32"/>
          <w:shd w:val="clear" w:color="auto" w:fill="FFFFFF"/>
          <w:lang w:val="en-US" w:eastAsia="zh-CN"/>
        </w:rPr>
        <w:t>乡</w:t>
      </w:r>
      <w:r>
        <w:rPr>
          <w:rFonts w:hint="default" w:ascii="仿宋_GB2312" w:hAnsi="宋体" w:eastAsia="仿宋_GB2312" w:cs="仿宋_GB2312"/>
          <w:i w:val="0"/>
          <w:iCs w:val="0"/>
          <w:caps w:val="0"/>
          <w:color w:val="000000"/>
          <w:spacing w:val="0"/>
          <w:sz w:val="32"/>
          <w:szCs w:val="32"/>
          <w:shd w:val="clear" w:color="auto" w:fill="FFFFFF"/>
        </w:rPr>
        <w:t>在上级党委、政府的坚强领导下，在</w:t>
      </w:r>
      <w:r>
        <w:rPr>
          <w:rFonts w:hint="eastAsia" w:ascii="仿宋_GB2312" w:hAnsi="宋体" w:eastAsia="仿宋_GB2312" w:cs="仿宋_GB2312"/>
          <w:i w:val="0"/>
          <w:iCs w:val="0"/>
          <w:caps w:val="0"/>
          <w:color w:val="000000"/>
          <w:spacing w:val="0"/>
          <w:sz w:val="32"/>
          <w:szCs w:val="32"/>
          <w:shd w:val="clear" w:color="auto" w:fill="FFFFFF"/>
          <w:lang w:val="en-US" w:eastAsia="zh-CN"/>
        </w:rPr>
        <w:t>乡</w:t>
      </w:r>
      <w:r>
        <w:rPr>
          <w:rFonts w:hint="default" w:ascii="仿宋_GB2312" w:hAnsi="宋体" w:eastAsia="仿宋_GB2312" w:cs="仿宋_GB2312"/>
          <w:i w:val="0"/>
          <w:iCs w:val="0"/>
          <w:caps w:val="0"/>
          <w:color w:val="000000"/>
          <w:spacing w:val="0"/>
          <w:sz w:val="32"/>
          <w:szCs w:val="32"/>
          <w:shd w:val="clear" w:color="auto" w:fill="FFFFFF"/>
        </w:rPr>
        <w:t>人大的监督支持下，主动谋划、攻坚克难，较好完成了我经济社会发展的主要目标任务，实现了经济社会平稳较快发展。</w:t>
      </w:r>
    </w:p>
    <w:p w14:paraId="3AA4CCA9">
      <w:pPr>
        <w:spacing w:line="560" w:lineRule="exact"/>
        <w:ind w:firstLine="320" w:firstLineChars="100"/>
        <w:rPr>
          <w:rFonts w:ascii="楷体" w:hAnsi="楷体" w:eastAsia="楷体"/>
          <w:bCs/>
          <w:sz w:val="32"/>
          <w:szCs w:val="32"/>
        </w:rPr>
      </w:pPr>
      <w:r>
        <w:rPr>
          <w:rFonts w:hint="eastAsia" w:ascii="楷体" w:hAnsi="楷体" w:eastAsia="楷体" w:cs="楷体_GB2312"/>
          <w:bCs/>
          <w:sz w:val="32"/>
          <w:szCs w:val="32"/>
        </w:rPr>
        <w:t>（二）分项绩效目标实现情况及指标分析</w:t>
      </w:r>
    </w:p>
    <w:p w14:paraId="577CB5E5">
      <w:pPr>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产出指标</w:t>
      </w:r>
    </w:p>
    <w:p w14:paraId="51DE4EE4">
      <w:pPr>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1.2024年项目整体预期目标已经全部完成。得分10分。</w:t>
      </w:r>
    </w:p>
    <w:p w14:paraId="645F54CF">
      <w:pPr>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2.项目按期结项率100%，得10分。</w:t>
      </w:r>
    </w:p>
    <w:p w14:paraId="6536AA65">
      <w:pPr>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3.工期完工时间，提前完成，得10分。</w:t>
      </w:r>
    </w:p>
    <w:p w14:paraId="43FA131C">
      <w:pPr>
        <w:ind w:firstLine="640" w:firstLineChars="200"/>
        <w:rPr>
          <w:rFonts w:hint="default" w:ascii="仿宋" w:hAnsi="仿宋" w:eastAsia="仿宋"/>
          <w:sz w:val="32"/>
          <w:szCs w:val="32"/>
          <w:lang w:val="en-US" w:eastAsia="zh-CN"/>
        </w:rPr>
      </w:pPr>
      <w:r>
        <w:rPr>
          <w:rFonts w:hint="eastAsia" w:ascii="仿宋" w:hAnsi="仿宋" w:eastAsia="仿宋"/>
          <w:sz w:val="32"/>
          <w:szCs w:val="32"/>
          <w:lang w:val="en-US" w:eastAsia="zh-CN"/>
        </w:rPr>
        <w:t>4.预算资金完成率100%，得10分。</w:t>
      </w:r>
    </w:p>
    <w:p w14:paraId="7ABCE644">
      <w:pPr>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预算执行率指标</w:t>
      </w:r>
    </w:p>
    <w:p w14:paraId="77F704E7">
      <w:pPr>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预算执行率100%，得10分。</w:t>
      </w:r>
    </w:p>
    <w:p w14:paraId="28F09D8C">
      <w:pPr>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效益指标</w:t>
      </w:r>
    </w:p>
    <w:p w14:paraId="1A632DC8">
      <w:pPr>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项目工程完成情况100%，得40分。</w:t>
      </w:r>
    </w:p>
    <w:p w14:paraId="55449717">
      <w:pPr>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满意度指标</w:t>
      </w:r>
    </w:p>
    <w:p w14:paraId="4E182EC9">
      <w:pPr>
        <w:ind w:firstLine="640" w:firstLineChars="200"/>
        <w:rPr>
          <w:rFonts w:hint="eastAsia" w:ascii="黑体" w:hAnsi="黑体" w:eastAsia="黑体"/>
          <w:sz w:val="32"/>
          <w:szCs w:val="32"/>
        </w:rPr>
      </w:pPr>
      <w:r>
        <w:rPr>
          <w:rFonts w:hint="eastAsia" w:ascii="仿宋" w:hAnsi="仿宋" w:eastAsia="仿宋"/>
          <w:sz w:val="32"/>
          <w:szCs w:val="32"/>
          <w:lang w:val="en-US" w:eastAsia="zh-CN"/>
        </w:rPr>
        <w:t>服务调查对象满意度≥95%，得10分。</w:t>
      </w:r>
    </w:p>
    <w:p w14:paraId="60F68ACC">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3CE03C17">
      <w:pPr>
        <w:spacing w:line="560" w:lineRule="exact"/>
        <w:ind w:firstLine="640" w:firstLineChars="200"/>
        <w:rPr>
          <w:rFonts w:hint="eastAsia" w:ascii="仿宋" w:hAnsi="仿宋" w:eastAsia="仿宋"/>
          <w:sz w:val="32"/>
          <w:szCs w:val="32"/>
          <w:lang w:eastAsia="zh-CN"/>
        </w:rPr>
      </w:pPr>
      <w:r>
        <w:rPr>
          <w:rFonts w:hint="eastAsia" w:ascii="仿宋" w:hAnsi="仿宋" w:eastAsia="仿宋"/>
          <w:sz w:val="32"/>
          <w:szCs w:val="32"/>
          <w:lang w:val="en-US" w:eastAsia="zh-CN"/>
        </w:rPr>
        <w:t>2024年项目整体预期目标已经全部完成，</w:t>
      </w:r>
      <w:r>
        <w:rPr>
          <w:rFonts w:hint="eastAsia" w:ascii="仿宋" w:hAnsi="仿宋" w:eastAsia="仿宋"/>
          <w:sz w:val="32"/>
          <w:szCs w:val="32"/>
        </w:rPr>
        <w:t>根据项目执行情况和项目绩效情况，给出总得分，指标体系设定满分100分，项目综合绩效评价得分</w:t>
      </w:r>
      <w:r>
        <w:rPr>
          <w:rFonts w:hint="eastAsia" w:ascii="仿宋" w:hAnsi="仿宋" w:eastAsia="仿宋"/>
          <w:sz w:val="32"/>
          <w:szCs w:val="32"/>
          <w:lang w:val="en-US" w:eastAsia="zh-CN"/>
        </w:rPr>
        <w:t>100</w:t>
      </w:r>
      <w:r>
        <w:rPr>
          <w:rFonts w:hint="eastAsia" w:ascii="仿宋" w:hAnsi="仿宋" w:eastAsia="仿宋"/>
          <w:sz w:val="32"/>
          <w:szCs w:val="32"/>
        </w:rPr>
        <w:t>分</w:t>
      </w:r>
      <w:r>
        <w:rPr>
          <w:rFonts w:hint="eastAsia" w:ascii="仿宋" w:hAnsi="仿宋" w:eastAsia="仿宋"/>
          <w:sz w:val="32"/>
          <w:szCs w:val="32"/>
          <w:lang w:eastAsia="zh-CN"/>
        </w:rPr>
        <w:t>，</w:t>
      </w:r>
      <w:r>
        <w:rPr>
          <w:rFonts w:hint="eastAsia" w:ascii="仿宋" w:hAnsi="仿宋" w:eastAsia="仿宋"/>
          <w:sz w:val="32"/>
          <w:szCs w:val="32"/>
        </w:rPr>
        <w:t>为优秀</w:t>
      </w:r>
      <w:r>
        <w:rPr>
          <w:rFonts w:hint="eastAsia" w:ascii="仿宋" w:hAnsi="仿宋" w:eastAsia="仿宋"/>
          <w:sz w:val="32"/>
          <w:szCs w:val="32"/>
          <w:lang w:eastAsia="zh-CN"/>
        </w:rPr>
        <w:t>。</w:t>
      </w:r>
    </w:p>
    <w:p w14:paraId="659AF883">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524FD1E0">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14:paraId="3191E771">
      <w:pPr>
        <w:pStyle w:val="2"/>
        <w:ind w:left="0" w:leftChars="0" w:firstLine="640" w:firstLineChars="200"/>
        <w:rPr>
          <w:rFonts w:hint="default"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预算编制细化不到位，专业知识掌握不够全面透彻</w:t>
      </w:r>
    </w:p>
    <w:p w14:paraId="4923532B">
      <w:pPr>
        <w:spacing w:line="560" w:lineRule="exact"/>
        <w:ind w:firstLine="640" w:firstLineChars="200"/>
        <w:rPr>
          <w:rFonts w:ascii="楷体" w:hAnsi="楷体" w:eastAsia="楷体"/>
          <w:bCs/>
          <w:sz w:val="32"/>
          <w:szCs w:val="32"/>
        </w:rPr>
      </w:pPr>
      <w:r>
        <w:rPr>
          <w:rFonts w:hint="eastAsia" w:ascii="楷体" w:hAnsi="楷体" w:eastAsia="楷体"/>
          <w:bCs/>
          <w:sz w:val="32"/>
          <w:szCs w:val="32"/>
        </w:rPr>
        <w:t>（二）针对问题提出具体的改进措施或建议</w:t>
      </w:r>
    </w:p>
    <w:p w14:paraId="039D40B9">
      <w:pPr>
        <w:spacing w:line="560" w:lineRule="exact"/>
        <w:ind w:firstLine="640" w:firstLineChars="200"/>
        <w:rPr>
          <w:rFonts w:hint="eastAsia" w:ascii="仿宋" w:hAnsi="仿宋" w:eastAsia="仿宋"/>
          <w:sz w:val="32"/>
          <w:szCs w:val="32"/>
          <w:lang w:val="en-US" w:eastAsia="zh-CN"/>
        </w:rPr>
      </w:pPr>
      <w:r>
        <w:rPr>
          <w:rFonts w:hint="eastAsia" w:ascii="仿宋" w:hAnsi="仿宋" w:eastAsia="仿宋"/>
          <w:sz w:val="32"/>
          <w:szCs w:val="32"/>
          <w:lang w:val="en-US" w:eastAsia="zh-CN"/>
        </w:rPr>
        <w:t>加强业务知识学习，注重预算编制科学性、完整性，进一步</w:t>
      </w:r>
      <w:r>
        <w:rPr>
          <w:rFonts w:hint="eastAsia" w:ascii="仿宋" w:hAnsi="仿宋" w:eastAsia="仿宋"/>
          <w:sz w:val="32"/>
          <w:szCs w:val="32"/>
        </w:rPr>
        <w:t>加强预算编制管理，夯实预算执行基础。</w:t>
      </w:r>
      <w:r>
        <w:rPr>
          <w:rFonts w:hint="eastAsia" w:ascii="仿宋" w:hAnsi="仿宋" w:eastAsia="仿宋"/>
          <w:sz w:val="32"/>
          <w:szCs w:val="32"/>
          <w:lang w:val="en-US" w:eastAsia="zh-CN"/>
        </w:rPr>
        <w:t>遵循“量入为出、收支平衡”原则，有效推进预算支出进度。</w:t>
      </w:r>
    </w:p>
    <w:p w14:paraId="0DD3C7C6">
      <w:pPr>
        <w:spacing w:line="560" w:lineRule="exact"/>
        <w:ind w:firstLine="640" w:firstLineChars="200"/>
        <w:rPr>
          <w:rFonts w:hint="default" w:ascii="黑体" w:hAnsi="黑体" w:eastAsia="黑体"/>
          <w:sz w:val="32"/>
          <w:szCs w:val="32"/>
          <w:lang w:val="en-US" w:eastAsia="zh-CN"/>
        </w:rPr>
      </w:pPr>
      <w:r>
        <w:rPr>
          <w:rFonts w:hint="eastAsia" w:ascii="黑体" w:hAnsi="黑体" w:eastAsia="黑体"/>
          <w:sz w:val="32"/>
          <w:szCs w:val="32"/>
          <w:lang w:val="en-US" w:eastAsia="zh-CN"/>
        </w:rPr>
        <w:t>六</w:t>
      </w:r>
      <w:r>
        <w:rPr>
          <w:rFonts w:hint="eastAsia" w:ascii="黑体" w:hAnsi="黑体" w:eastAsia="黑体"/>
          <w:sz w:val="32"/>
          <w:szCs w:val="32"/>
        </w:rPr>
        <w:t>、</w:t>
      </w:r>
      <w:r>
        <w:rPr>
          <w:rFonts w:hint="eastAsia" w:ascii="黑体" w:hAnsi="黑体" w:eastAsia="黑体"/>
          <w:sz w:val="32"/>
          <w:szCs w:val="32"/>
          <w:lang w:val="en-US" w:eastAsia="zh-CN"/>
        </w:rPr>
        <w:t>评价工作组人员名单及签字</w:t>
      </w:r>
    </w:p>
    <w:p w14:paraId="2742F862">
      <w:pPr>
        <w:pStyle w:val="2"/>
        <w:rPr>
          <w:rFonts w:hint="default"/>
          <w:lang w:val="en-US" w:eastAsia="zh-CN"/>
        </w:rPr>
      </w:pPr>
    </w:p>
    <w:p w14:paraId="2F8BD8CE">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华文楷体">
    <w:altName w:val="宋体"/>
    <w:panose1 w:val="02010600040101010101"/>
    <w:charset w:val="86"/>
    <w:family w:val="auto"/>
    <w:pitch w:val="default"/>
    <w:sig w:usb0="00000000" w:usb1="00000000" w:usb2="00000000" w:usb3="00000000" w:csb0="0004009F" w:csb1="DFD7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ECDAA0">
    <w:pPr>
      <w:pStyle w:val="4"/>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14:paraId="6414E2A3">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DOqXm5zwAAAAUBAAAPAAAAAAAAAAEAIAAAACIAAABkcnMvZG93bnJldi54bWxQ&#10;SwECFAAUAAAACACHTuJA3cM7kccBAACmAwAADgAAAAAAAAABACAAAAAeAQAAZHJzL2Uyb0RvYy54&#10;bWxQSwUGAAAAAAYABgBZAQAAVwUAAAAA&#10;">
              <v:fill on="f" focussize="0,0"/>
              <v:stroke on="f"/>
              <v:imagedata o:title=""/>
              <o:lock v:ext="edit" aspectratio="f"/>
              <v:textbox inset="0mm,0mm,0mm,0mm" style="mso-fit-shape-to-text:t;">
                <w:txbxContent>
                  <w:p w14:paraId="6414E2A3">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20CA339"/>
    <w:multiLevelType w:val="singleLevel"/>
    <w:tmpl w:val="620CA339"/>
    <w:lvl w:ilvl="0" w:tentative="0">
      <w:start w:val="10"/>
      <w:numFmt w:val="chineseCounting"/>
      <w:suff w:val="nothing"/>
      <w:lvlText w:val="（%1）"/>
      <w:lvlJc w:val="left"/>
    </w:lvl>
  </w:abstractNum>
  <w:abstractNum w:abstractNumId="1">
    <w:nsid w:val="663B3252"/>
    <w:multiLevelType w:val="singleLevel"/>
    <w:tmpl w:val="663B3252"/>
    <w:lvl w:ilvl="0" w:tentative="0">
      <w:start w:val="1"/>
      <w:numFmt w:val="chineseCounting"/>
      <w:suff w:val="nothing"/>
      <w:lvlText w:val="（%1）"/>
      <w:lvlJc w:val="left"/>
      <w:pPr>
        <w:ind w:left="0" w:leftChars="0" w:firstLine="420" w:firstLineChars="0"/>
      </w:pPr>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bordersDoNotSurroundHeader w:val="0"/>
  <w:bordersDoNotSurroundFooter w:val="0"/>
  <w:doNotTrackMove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jQwOGMxMzBlNmE1ODZmMzI5MGIxYjIzMDAwNTE0YTMifQ=="/>
  </w:docVars>
  <w:rsids>
    <w:rsidRoot w:val="0EBD2122"/>
    <w:rsid w:val="000B0260"/>
    <w:rsid w:val="007E6C1F"/>
    <w:rsid w:val="00956A93"/>
    <w:rsid w:val="009E575C"/>
    <w:rsid w:val="00AF167E"/>
    <w:rsid w:val="00AF566A"/>
    <w:rsid w:val="00B478EA"/>
    <w:rsid w:val="00B6553A"/>
    <w:rsid w:val="00BC6576"/>
    <w:rsid w:val="00CE06BA"/>
    <w:rsid w:val="00F441CC"/>
    <w:rsid w:val="01B104CA"/>
    <w:rsid w:val="02106AB0"/>
    <w:rsid w:val="02B43A28"/>
    <w:rsid w:val="046F331E"/>
    <w:rsid w:val="05A25657"/>
    <w:rsid w:val="0691027B"/>
    <w:rsid w:val="07956271"/>
    <w:rsid w:val="09721397"/>
    <w:rsid w:val="0A933535"/>
    <w:rsid w:val="0BB63BED"/>
    <w:rsid w:val="0EB97A43"/>
    <w:rsid w:val="0EBD2122"/>
    <w:rsid w:val="0F214EAE"/>
    <w:rsid w:val="11B71E6A"/>
    <w:rsid w:val="1AAF0063"/>
    <w:rsid w:val="1BE140DE"/>
    <w:rsid w:val="20432FD7"/>
    <w:rsid w:val="230829CF"/>
    <w:rsid w:val="248C197D"/>
    <w:rsid w:val="252959AF"/>
    <w:rsid w:val="277A6671"/>
    <w:rsid w:val="292D35B7"/>
    <w:rsid w:val="33EB6CFF"/>
    <w:rsid w:val="340D0660"/>
    <w:rsid w:val="35A12947"/>
    <w:rsid w:val="37387040"/>
    <w:rsid w:val="3973007A"/>
    <w:rsid w:val="3B625C0A"/>
    <w:rsid w:val="3B6A6B59"/>
    <w:rsid w:val="3CEE1963"/>
    <w:rsid w:val="3FB21986"/>
    <w:rsid w:val="437B3C97"/>
    <w:rsid w:val="47E95580"/>
    <w:rsid w:val="490955EE"/>
    <w:rsid w:val="4C9C27FE"/>
    <w:rsid w:val="4E22422E"/>
    <w:rsid w:val="4FF9AD8B"/>
    <w:rsid w:val="512260B4"/>
    <w:rsid w:val="52BD6ACB"/>
    <w:rsid w:val="55537534"/>
    <w:rsid w:val="561A74F1"/>
    <w:rsid w:val="597244E8"/>
    <w:rsid w:val="5EB71C30"/>
    <w:rsid w:val="64F92600"/>
    <w:rsid w:val="66AF0CE5"/>
    <w:rsid w:val="66C9456C"/>
    <w:rsid w:val="6AC537CF"/>
    <w:rsid w:val="6E5B14A6"/>
    <w:rsid w:val="711B255E"/>
    <w:rsid w:val="74F32B18"/>
    <w:rsid w:val="75461C13"/>
    <w:rsid w:val="7BB51E06"/>
    <w:rsid w:val="7C387F7C"/>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unhideWhenUsed/>
    <w:qFormat/>
    <w:uiPriority w:val="1"/>
  </w:style>
  <w:style w:type="table" w:default="1" w:styleId="7">
    <w:name w:val="Normal Table"/>
    <w:unhideWhenUsed/>
    <w:qFormat/>
    <w:uiPriority w:val="99"/>
    <w:tblPr>
      <w:tblCellMar>
        <w:top w:w="0" w:type="dxa"/>
        <w:left w:w="108" w:type="dxa"/>
        <w:bottom w:w="0" w:type="dxa"/>
        <w:right w:w="108" w:type="dxa"/>
      </w:tblCellMar>
    </w:tblPr>
  </w:style>
  <w:style w:type="paragraph" w:styleId="2">
    <w:name w:val="Body Text First Indent 2"/>
    <w:basedOn w:val="3"/>
    <w:qFormat/>
    <w:uiPriority w:val="0"/>
    <w:pPr>
      <w:ind w:firstLine="420" w:firstLineChars="200"/>
    </w:pPr>
  </w:style>
  <w:style w:type="paragraph" w:styleId="3">
    <w:name w:val="Body Text Indent"/>
    <w:basedOn w:val="1"/>
    <w:qFormat/>
    <w:uiPriority w:val="0"/>
    <w:pPr>
      <w:spacing w:after="120" w:afterLines="0" w:afterAutospacing="0"/>
      <w:ind w:left="420" w:leftChars="200"/>
    </w:p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6">
    <w:name w:val="Normal (Web)"/>
    <w:basedOn w:val="1"/>
    <w:qFormat/>
    <w:uiPriority w:val="0"/>
    <w:pPr>
      <w:jc w:val="left"/>
    </w:pPr>
    <w:rPr>
      <w:kern w:val="0"/>
      <w:sz w:val="24"/>
    </w:rPr>
  </w:style>
  <w:style w:type="paragraph" w:customStyle="1" w:styleId="9">
    <w:name w:val="正文1"/>
    <w:basedOn w:val="10"/>
    <w:unhideWhenUsed/>
    <w:qFormat/>
    <w:uiPriority w:val="99"/>
    <w:pPr>
      <w:widowControl/>
      <w:spacing w:beforeLines="0" w:afterLines="0"/>
      <w:jc w:val="both"/>
    </w:pPr>
    <w:rPr>
      <w:rFonts w:hint="default" w:ascii="Calibri" w:hAnsi="Calibri" w:eastAsia="Calibri"/>
      <w:sz w:val="21"/>
    </w:rPr>
  </w:style>
  <w:style w:type="paragraph" w:customStyle="1" w:styleId="10">
    <w:name w:val="[Normal]"/>
    <w:qFormat/>
    <w:uiPriority w:val="6"/>
    <w:rPr>
      <w:rFonts w:ascii="宋体" w:hAnsi="宋体" w:eastAsia="宋体" w:cs="Times New Roman"/>
      <w:color w:val="auto"/>
      <w:position w:val="0"/>
      <w:sz w:val="24"/>
      <w:szCs w:val="22"/>
      <w:u w:val="none"/>
      <w:shd w:val="clear" w:color="auto" w:fill="auto"/>
      <w:lang w:val="en-US" w:eastAsia="en-US"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8</Pages>
  <Words>3904</Words>
  <Characters>4019</Characters>
  <Lines>4</Lines>
  <Paragraphs>1</Paragraphs>
  <TotalTime>19</TotalTime>
  <ScaleCrop>false</ScaleCrop>
  <LinksUpToDate>false</LinksUpToDate>
  <CharactersWithSpaces>4053</CharactersWithSpaces>
  <Application>WPS Office_12.1.0.21541_F1E327BC-269C-435d-A152-05C5408002CA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2020-02-04T11:46:00Z</dcterms:created>
  <dc:creator>欣欣大人</dc:creator>
  <cp:lastModifiedBy>非常</cp:lastModifiedBy>
  <cp:lastPrinted>2024-06-20T07:21:00Z</cp:lastPrinted>
  <dcterms:modified xsi:type="dcterms:W3CDTF">2025-07-04T09:14:01Z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2052-12.1.0.21541</vt:lpwstr>
  </property>
  <property fmtid="{D5CDD505-2E9C-101B-9397-08002B2CF9AE}" pid="3" name="ICV">
    <vt:lpwstr>82347FD59728469EB40370633E3052F5_13</vt:lpwstr>
  </property>
  <property fmtid="{D5CDD505-2E9C-101B-9397-08002B2CF9AE}" pid="4" name="KSOTemplateDocerSaveRecord">
    <vt:lpwstr>eyJoZGlkIjoiNjQwOGMxMzBlNmE1ODZmMzI5MGIxYjIzMDAwNTE0YTMiLCJ1c2VySWQiOiI0MTIwODcyNzYifQ==</vt:lpwstr>
  </property>
</Properties>
</file>