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A837F1">
      <w:pPr>
        <w:keepNext w:val="0"/>
        <w:keepLines w:val="0"/>
        <w:pageBreakBefore w:val="0"/>
        <w:kinsoku/>
        <w:wordWrap/>
        <w:overflowPunct/>
        <w:topLinePunct w:val="0"/>
        <w:autoSpaceDE/>
        <w:autoSpaceDN/>
        <w:bidi w:val="0"/>
        <w:spacing w:line="560" w:lineRule="exact"/>
        <w:jc w:val="center"/>
        <w:rPr>
          <w:rFonts w:ascii="宋体" w:hAnsi="宋体" w:cs="宋体"/>
          <w:b/>
          <w:bCs/>
          <w:sz w:val="44"/>
          <w:szCs w:val="44"/>
        </w:rPr>
      </w:pPr>
    </w:p>
    <w:p w14:paraId="7F954803">
      <w:pPr>
        <w:keepNext w:val="0"/>
        <w:keepLines w:val="0"/>
        <w:pageBreakBefore w:val="0"/>
        <w:kinsoku/>
        <w:wordWrap/>
        <w:overflowPunct/>
        <w:topLinePunct w:val="0"/>
        <w:autoSpaceDE/>
        <w:autoSpaceDN/>
        <w:bidi w:val="0"/>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河北赞皇经济开发区管理委员会</w:t>
      </w:r>
    </w:p>
    <w:p w14:paraId="56A069D1">
      <w:pPr>
        <w:keepNext w:val="0"/>
        <w:keepLines w:val="0"/>
        <w:pageBreakBefore w:val="0"/>
        <w:kinsoku/>
        <w:wordWrap/>
        <w:overflowPunct/>
        <w:topLinePunct w:val="0"/>
        <w:autoSpaceDE/>
        <w:autoSpaceDN/>
        <w:bidi w:val="0"/>
        <w:spacing w:line="560" w:lineRule="exact"/>
        <w:jc w:val="center"/>
        <w:rPr>
          <w:rFonts w:ascii="宋体" w:hAnsi="宋体" w:cs="宋体"/>
          <w:b/>
          <w:bCs/>
          <w:sz w:val="44"/>
          <w:szCs w:val="44"/>
        </w:rPr>
      </w:pPr>
      <w:r>
        <w:rPr>
          <w:rFonts w:hint="eastAsia" w:ascii="宋体" w:hAnsi="宋体" w:cs="宋体"/>
          <w:b/>
          <w:bCs/>
          <w:sz w:val="44"/>
          <w:szCs w:val="44"/>
          <w:lang w:eastAsia="zh-CN"/>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EE7F5E6">
      <w:pPr>
        <w:keepNext w:val="0"/>
        <w:keepLines w:val="0"/>
        <w:pageBreakBefore w:val="0"/>
        <w:kinsoku/>
        <w:wordWrap/>
        <w:overflowPunct/>
        <w:topLinePunct w:val="0"/>
        <w:autoSpaceDE/>
        <w:autoSpaceDN/>
        <w:bidi w:val="0"/>
        <w:spacing w:line="560" w:lineRule="exact"/>
        <w:jc w:val="center"/>
        <w:rPr>
          <w:rFonts w:ascii="宋体" w:hAnsi="宋体" w:cs="宋体"/>
          <w:sz w:val="32"/>
          <w:szCs w:val="32"/>
        </w:rPr>
      </w:pPr>
    </w:p>
    <w:p w14:paraId="2FB6DDB5">
      <w:pPr>
        <w:keepNext w:val="0"/>
        <w:keepLines w:val="0"/>
        <w:pageBreakBefore w:val="0"/>
        <w:kinsoku/>
        <w:wordWrap/>
        <w:overflowPunct/>
        <w:topLinePunct w:val="0"/>
        <w:autoSpaceDE/>
        <w:autoSpaceDN/>
        <w:bidi w:val="0"/>
        <w:spacing w:line="560" w:lineRule="exact"/>
        <w:jc w:val="center"/>
        <w:rPr>
          <w:rFonts w:ascii="华文楷体" w:eastAsia="华文楷体"/>
          <w:sz w:val="32"/>
          <w:szCs w:val="32"/>
        </w:rPr>
      </w:pPr>
    </w:p>
    <w:p w14:paraId="4A068266">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河北赞皇经济开发区管</w:t>
      </w:r>
      <w:bookmarkStart w:id="0" w:name="_GoBack"/>
      <w:bookmarkEnd w:id="0"/>
      <w:r>
        <w:rPr>
          <w:rFonts w:hint="eastAsia" w:ascii="仿宋" w:hAnsi="仿宋" w:eastAsia="仿宋"/>
          <w:sz w:val="32"/>
          <w:szCs w:val="32"/>
          <w:lang w:eastAsia="zh-CN"/>
        </w:rPr>
        <w:t>理委员会202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03639123">
      <w:pPr>
        <w:keepNext w:val="0"/>
        <w:keepLines w:val="0"/>
        <w:pageBreakBefore w:val="0"/>
        <w:kinsoku/>
        <w:wordWrap/>
        <w:overflowPunct/>
        <w:topLinePunct w:val="0"/>
        <w:autoSpaceDE/>
        <w:autoSpaceDN/>
        <w:bidi w:val="0"/>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7EE30BD">
      <w:pPr>
        <w:keepNext w:val="0"/>
        <w:keepLines w:val="0"/>
        <w:pageBreakBefore w:val="0"/>
        <w:kinsoku/>
        <w:wordWrap/>
        <w:overflowPunct/>
        <w:topLinePunct w:val="0"/>
        <w:autoSpaceDE/>
        <w:autoSpaceDN/>
        <w:bidi w:val="0"/>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5F9E3D89">
      <w:pPr>
        <w:pStyle w:val="9"/>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楷体" w:hAnsi="楷体" w:eastAsia="楷体" w:cs="楷体"/>
          <w:sz w:val="32"/>
          <w:szCs w:val="32"/>
        </w:rPr>
        <w:t>1、单位职责：</w:t>
      </w:r>
      <w:r>
        <w:rPr>
          <w:rFonts w:hint="eastAsia" w:ascii="仿宋" w:hAnsi="仿宋" w:eastAsia="仿宋" w:cs="仿宋"/>
          <w:sz w:val="32"/>
          <w:szCs w:val="32"/>
        </w:rPr>
        <w:t>编制辖区的总体规划和经济、社会发展规划，经批准后组织实施；编制辖区区域性城市发展规划、国土利用规划，经批准后组织实施；审批或审核辖区固定资产投资项目；负责辖区基础建设和公用设施的建设管理；负责辖区财政管理，实施辖区内财政预算决算、国有资产管理和财政监察工作；负责招商引资、进出口贸易和国内外经济技术合作；负责协调辖区内上级有关单位派驻机构的工作；负责赞皇县政府交办其他事项。</w:t>
      </w:r>
    </w:p>
    <w:p w14:paraId="144267FA">
      <w:pPr>
        <w:pStyle w:val="9"/>
        <w:keepNext w:val="0"/>
        <w:keepLines w:val="0"/>
        <w:pageBreakBefore w:val="0"/>
        <w:kinsoku/>
        <w:wordWrap/>
        <w:overflowPunct/>
        <w:topLinePunct w:val="0"/>
        <w:autoSpaceDE/>
        <w:autoSpaceDN/>
        <w:bidi w:val="0"/>
        <w:spacing w:line="560" w:lineRule="exact"/>
        <w:rPr>
          <w:rFonts w:hint="eastAsia" w:ascii="楷体" w:hAnsi="楷体" w:eastAsia="楷体" w:cs="楷体"/>
          <w:sz w:val="32"/>
          <w:szCs w:val="32"/>
        </w:rPr>
      </w:pPr>
      <w:r>
        <w:rPr>
          <w:rFonts w:hint="eastAsia" w:ascii="楷体" w:hAnsi="楷体" w:eastAsia="楷体" w:cs="楷体"/>
          <w:sz w:val="32"/>
          <w:szCs w:val="32"/>
        </w:rPr>
        <w:t>2.机构设置：</w:t>
      </w:r>
    </w:p>
    <w:p w14:paraId="075DBEF2">
      <w:pPr>
        <w:pStyle w:val="9"/>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lang w:eastAsia="zh-CN"/>
        </w:rPr>
      </w:pPr>
      <w:r>
        <w:rPr>
          <w:rFonts w:hint="eastAsia" w:ascii="仿宋" w:hAnsi="仿宋" w:eastAsia="仿宋" w:cs="仿宋"/>
          <w:sz w:val="32"/>
          <w:szCs w:val="32"/>
        </w:rPr>
        <w:t>按照精简、统一、效能原则，河北赞皇经济开发区党工委和管委会设5个内设机构。</w:t>
      </w:r>
      <w:r>
        <w:rPr>
          <w:rFonts w:hint="eastAsia" w:ascii="仿宋" w:hAnsi="仿宋" w:eastAsia="仿宋" w:cs="仿宋"/>
          <w:sz w:val="32"/>
          <w:szCs w:val="32"/>
          <w:lang w:eastAsia="zh-CN"/>
        </w:rPr>
        <w:t>分别是</w:t>
      </w:r>
      <w:r>
        <w:rPr>
          <w:rFonts w:hint="eastAsia" w:ascii="仿宋" w:hAnsi="仿宋" w:eastAsia="仿宋" w:cs="仿宋"/>
          <w:sz w:val="32"/>
          <w:szCs w:val="32"/>
        </w:rPr>
        <w:t>党政办公室</w:t>
      </w:r>
      <w:r>
        <w:rPr>
          <w:rFonts w:hint="eastAsia" w:ascii="仿宋" w:hAnsi="仿宋" w:eastAsia="仿宋" w:cs="仿宋"/>
          <w:sz w:val="32"/>
          <w:szCs w:val="32"/>
          <w:lang w:eastAsia="zh-CN"/>
        </w:rPr>
        <w:t>、</w:t>
      </w:r>
      <w:r>
        <w:rPr>
          <w:rFonts w:hint="eastAsia" w:ascii="仿宋" w:hAnsi="仿宋" w:eastAsia="仿宋" w:cs="仿宋"/>
          <w:sz w:val="32"/>
          <w:szCs w:val="32"/>
        </w:rPr>
        <w:t>经济发展局</w:t>
      </w:r>
      <w:r>
        <w:rPr>
          <w:rFonts w:hint="eastAsia" w:ascii="仿宋" w:hAnsi="仿宋" w:eastAsia="仿宋" w:cs="仿宋"/>
          <w:sz w:val="32"/>
          <w:szCs w:val="32"/>
          <w:lang w:eastAsia="zh-CN"/>
        </w:rPr>
        <w:t>、</w:t>
      </w:r>
      <w:r>
        <w:rPr>
          <w:rFonts w:hint="eastAsia" w:ascii="仿宋" w:hAnsi="仿宋" w:eastAsia="仿宋" w:cs="仿宋"/>
          <w:sz w:val="32"/>
          <w:szCs w:val="32"/>
        </w:rPr>
        <w:t>招商局</w:t>
      </w:r>
      <w:r>
        <w:rPr>
          <w:rFonts w:hint="eastAsia" w:ascii="仿宋" w:hAnsi="仿宋" w:eastAsia="仿宋" w:cs="仿宋"/>
          <w:sz w:val="32"/>
          <w:szCs w:val="32"/>
          <w:lang w:eastAsia="zh-CN"/>
        </w:rPr>
        <w:t>、</w:t>
      </w:r>
      <w:r>
        <w:rPr>
          <w:rFonts w:hint="eastAsia" w:ascii="仿宋" w:hAnsi="仿宋" w:eastAsia="仿宋" w:cs="仿宋"/>
          <w:sz w:val="32"/>
          <w:szCs w:val="32"/>
        </w:rPr>
        <w:t>建设管理局</w:t>
      </w:r>
      <w:r>
        <w:rPr>
          <w:rFonts w:hint="eastAsia" w:ascii="仿宋" w:hAnsi="仿宋" w:eastAsia="仿宋" w:cs="仿宋"/>
          <w:sz w:val="32"/>
          <w:szCs w:val="32"/>
          <w:lang w:eastAsia="zh-CN"/>
        </w:rPr>
        <w:t>、</w:t>
      </w:r>
      <w:r>
        <w:rPr>
          <w:rFonts w:hint="eastAsia" w:ascii="仿宋" w:hAnsi="仿宋" w:eastAsia="仿宋" w:cs="仿宋"/>
          <w:sz w:val="32"/>
          <w:szCs w:val="32"/>
        </w:rPr>
        <w:t>综合监管局</w:t>
      </w:r>
      <w:r>
        <w:rPr>
          <w:rFonts w:hint="eastAsia" w:ascii="仿宋" w:hAnsi="仿宋" w:eastAsia="仿宋" w:cs="仿宋"/>
          <w:sz w:val="32"/>
          <w:szCs w:val="32"/>
          <w:lang w:eastAsia="zh-CN"/>
        </w:rPr>
        <w:t>。</w:t>
      </w:r>
    </w:p>
    <w:p w14:paraId="12FE7538">
      <w:pPr>
        <w:keepNext w:val="0"/>
        <w:keepLines w:val="0"/>
        <w:pageBreakBefore w:val="0"/>
        <w:numPr>
          <w:ilvl w:val="0"/>
          <w:numId w:val="1"/>
        </w:numPr>
        <w:kinsoku/>
        <w:wordWrap/>
        <w:overflowPunct/>
        <w:topLinePunct w:val="0"/>
        <w:autoSpaceDE/>
        <w:autoSpaceDN/>
        <w:bidi w:val="0"/>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38F4AC2">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lang w:val="en-US" w:eastAsia="zh-CN"/>
        </w:rPr>
        <w:t>2024年部门预算收</w:t>
      </w:r>
      <w:r>
        <w:rPr>
          <w:rFonts w:hint="eastAsia" w:ascii="仿宋" w:hAnsi="仿宋" w:eastAsia="仿宋" w:cs="仿宋"/>
          <w:kern w:val="2"/>
          <w:sz w:val="32"/>
          <w:szCs w:val="32"/>
          <w:lang w:val="en-US" w:eastAsia="zh-CN" w:bidi="ar-SA"/>
        </w:rPr>
        <w:t>入957.88万元，其中一般公共预算拨款957.88</w:t>
      </w:r>
      <w:r>
        <w:rPr>
          <w:rFonts w:hint="eastAsia" w:ascii="仿宋" w:hAnsi="仿宋" w:eastAsia="仿宋" w:cs="仿宋"/>
          <w:bCs/>
          <w:sz w:val="32"/>
          <w:szCs w:val="32"/>
          <w:lang w:val="en-US" w:eastAsia="zh-CN"/>
        </w:rPr>
        <w:t>万元</w:t>
      </w:r>
      <w:r>
        <w:rPr>
          <w:rFonts w:hint="eastAsia" w:ascii="仿宋" w:hAnsi="仿宋" w:eastAsia="仿宋" w:cs="仿宋"/>
          <w:kern w:val="2"/>
          <w:sz w:val="32"/>
          <w:szCs w:val="32"/>
          <w:lang w:val="en-US" w:eastAsia="zh-CN" w:bidi="ar-SA"/>
        </w:rPr>
        <w:t>。2024年部门预算支出 957.88万元，其中：人员支出267.63万元；日常公用支出43.09万元，项目支出647.16</w:t>
      </w:r>
      <w:r>
        <w:rPr>
          <w:rFonts w:hint="eastAsia" w:ascii="仿宋" w:hAnsi="仿宋" w:eastAsia="仿宋" w:cs="仿宋"/>
          <w:bCs/>
          <w:sz w:val="32"/>
          <w:szCs w:val="32"/>
          <w:lang w:val="en-US" w:eastAsia="zh-CN"/>
        </w:rPr>
        <w:t>万元。</w:t>
      </w:r>
    </w:p>
    <w:p w14:paraId="0B2F8E67">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7C9A9B3">
      <w:pPr>
        <w:pStyle w:val="10"/>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lang w:val="en-US" w:eastAsia="zh-CN"/>
        </w:rPr>
        <w:t>2024年</w:t>
      </w:r>
      <w:r>
        <w:rPr>
          <w:rFonts w:hint="eastAsia" w:ascii="仿宋" w:hAnsi="仿宋" w:eastAsia="仿宋" w:cs="仿宋"/>
          <w:sz w:val="32"/>
          <w:szCs w:val="32"/>
        </w:rPr>
        <w:t>以来，在县委、县政府的坚强领导下，经开区党工委、管委会深入贯彻习近平新时代中国特色社会主义思想，树牢“项目为王”理念，积极开展“四比一争”干部执行力大提升行动，紧紧围绕“抓投资、上项目”这个主题，重点突出招商引资和项目建设，不断完善基础设施，进一步优化营商环境，努力开创经开区工作新局面。</w:t>
      </w:r>
    </w:p>
    <w:p w14:paraId="6DDDB807">
      <w:pPr>
        <w:keepNext w:val="0"/>
        <w:keepLines w:val="0"/>
        <w:pageBreakBefore w:val="0"/>
        <w:kinsoku/>
        <w:wordWrap/>
        <w:overflowPunct/>
        <w:topLinePunct w:val="0"/>
        <w:autoSpaceDE/>
        <w:autoSpaceDN/>
        <w:bidi w:val="0"/>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7B1B8A7">
      <w:pPr>
        <w:keepNext w:val="0"/>
        <w:keepLines w:val="0"/>
        <w:pageBreakBefore w:val="0"/>
        <w:kinsoku/>
        <w:wordWrap/>
        <w:overflowPunct/>
        <w:topLinePunct w:val="0"/>
        <w:autoSpaceDE/>
        <w:autoSpaceDN/>
        <w:bidi w:val="0"/>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9FFB5D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pacing w:before="0" w:beforeAutospacing="0" w:after="0" w:afterAutospacing="0" w:line="560" w:lineRule="exact"/>
        <w:ind w:left="0" w:right="0" w:firstLine="0"/>
        <w:jc w:val="both"/>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黑体"/>
          <w:kern w:val="2"/>
          <w:sz w:val="32"/>
          <w:szCs w:val="32"/>
          <w:lang w:val="en-US" w:eastAsia="zh-CN" w:bidi="ar-SA"/>
        </w:rPr>
        <w:t>按照科学规范、公正公开、绩效相关的原则，依据下达的预算，对项目评价资料收集，采用定量与定性相结合，专项经费投入与产出相结合的办法，对照项目实际完成内容，评价实际实施内容与批复预算的完成情况；依据项目资金计划文件和凭证，评价项目资金下拨、到位及使用情况。</w:t>
      </w:r>
    </w:p>
    <w:p w14:paraId="353C822A">
      <w:pPr>
        <w:keepNext w:val="0"/>
        <w:keepLines w:val="0"/>
        <w:pageBreakBefore w:val="0"/>
        <w:numPr>
          <w:ilvl w:val="0"/>
          <w:numId w:val="2"/>
        </w:numPr>
        <w:kinsoku/>
        <w:wordWrap/>
        <w:overflowPunct/>
        <w:topLinePunct w:val="0"/>
        <w:autoSpaceDE/>
        <w:autoSpaceDN/>
        <w:bidi w:val="0"/>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0A15212">
      <w:pPr>
        <w:pStyle w:val="2"/>
        <w:keepNext w:val="0"/>
        <w:keepLines w:val="0"/>
        <w:pageBreakBefore w:val="0"/>
        <w:numPr>
          <w:ilvl w:val="0"/>
          <w:numId w:val="0"/>
        </w:numPr>
        <w:kinsoku/>
        <w:wordWrap/>
        <w:overflowPunct/>
        <w:topLinePunct w:val="0"/>
        <w:autoSpaceDE/>
        <w:autoSpaceDN/>
        <w:bidi w:val="0"/>
        <w:spacing w:line="560" w:lineRule="exact"/>
        <w:rPr>
          <w:rFonts w:ascii="楷体" w:hAnsi="楷体" w:eastAsia="楷体" w:cs="楷体_GB2312"/>
          <w:bCs/>
          <w:sz w:val="32"/>
          <w:szCs w:val="32"/>
        </w:rPr>
      </w:pPr>
      <w:r>
        <w:rPr>
          <w:rFonts w:hint="eastAsia"/>
          <w:lang w:val="en-US" w:eastAsia="zh-CN"/>
        </w:rPr>
        <w:t xml:space="preserve">      </w:t>
      </w:r>
      <w:r>
        <w:rPr>
          <w:rFonts w:hint="eastAsia" w:ascii="仿宋" w:hAnsi="仿宋" w:eastAsia="仿宋" w:cs="仿宋"/>
          <w:kern w:val="2"/>
          <w:sz w:val="32"/>
          <w:szCs w:val="32"/>
          <w:lang w:val="en-US" w:eastAsia="zh-CN" w:bidi="ar-SA"/>
        </w:rPr>
        <w:t>采取自评和他评相结合方式，成立项目自评小组，结合评价内容，做到有计划，有安排，扎实开展本次自评工作。按照上级下达的项目支出绩效评价指标体系，自评小组针对申报内容、资金兑现、财务管理、社会效益等做出自我评价，认真听取企业建议和意见，做好自评工作。</w:t>
      </w:r>
    </w:p>
    <w:p w14:paraId="2C208CAF">
      <w:pPr>
        <w:keepNext w:val="0"/>
        <w:keepLines w:val="0"/>
        <w:pageBreakBefore w:val="0"/>
        <w:kinsoku/>
        <w:wordWrap/>
        <w:overflowPunct/>
        <w:topLinePunct w:val="0"/>
        <w:autoSpaceDE/>
        <w:autoSpaceDN/>
        <w:bidi w:val="0"/>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B2F87FD">
      <w:pPr>
        <w:keepNext w:val="0"/>
        <w:keepLines w:val="0"/>
        <w:pageBreakBefore w:val="0"/>
        <w:numPr>
          <w:ilvl w:val="0"/>
          <w:numId w:val="3"/>
        </w:numPr>
        <w:kinsoku/>
        <w:wordWrap/>
        <w:overflowPunct/>
        <w:topLinePunct w:val="0"/>
        <w:autoSpaceDE/>
        <w:autoSpaceDN/>
        <w:bidi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19A60E2">
      <w:pPr>
        <w:pStyle w:val="10"/>
        <w:keepNext w:val="0"/>
        <w:keepLines w:val="0"/>
        <w:pageBreakBefore w:val="0"/>
        <w:kinsoku/>
        <w:wordWrap/>
        <w:overflowPunct/>
        <w:topLinePunct w:val="0"/>
        <w:autoSpaceDE/>
        <w:autoSpaceDN/>
        <w:bidi w:val="0"/>
        <w:spacing w:line="560" w:lineRule="exact"/>
        <w:rPr>
          <w:rFonts w:hint="eastAsia" w:ascii="仿宋" w:hAnsi="仿宋" w:eastAsia="仿宋" w:cs="仿宋"/>
          <w:sz w:val="32"/>
          <w:szCs w:val="32"/>
        </w:rPr>
      </w:pPr>
      <w:r>
        <w:rPr>
          <w:rFonts w:hint="eastAsia" w:ascii="仿宋" w:hAnsi="仿宋" w:eastAsia="仿宋" w:cs="仿宋"/>
          <w:sz w:val="32"/>
          <w:szCs w:val="32"/>
        </w:rPr>
        <w:t>结合我县实际情况，开发区管委会经过深入调研、认真分析，厘清工作思路，明确提出要把突出抓好招商引资和项目建设作为开发区第一要务，实现开发区“新九通一平”。一是完善园区基础设施建设，改善园区形象，提升园区承载力。二是全面加大招商力度，优化营商环境，积极开展多种招商方式，重大项目要稳步跟进推动。三是全力推进项目建设，加大项目落地监督力度，对开工项目的手续办理和工程进度进行督导盯办。</w:t>
      </w:r>
      <w:r>
        <w:rPr>
          <w:rFonts w:hint="eastAsia" w:ascii="仿宋" w:hAnsi="仿宋" w:eastAsia="仿宋" w:cs="仿宋"/>
          <w:sz w:val="32"/>
          <w:szCs w:val="32"/>
          <w:lang w:eastAsia="zh-CN"/>
        </w:rPr>
        <w:t>四</w:t>
      </w:r>
      <w:r>
        <w:rPr>
          <w:rFonts w:hint="eastAsia" w:ascii="仿宋" w:hAnsi="仿宋" w:eastAsia="仿宋" w:cs="仿宋"/>
          <w:sz w:val="32"/>
          <w:szCs w:val="32"/>
        </w:rPr>
        <w:t>是抓好开发区经济运行，准确把握园区企业运行情况，切实科学做好经济运行上报工作，为全年省、市开发区考核进位奠定良好基础，确保综合考评位次前移。</w:t>
      </w:r>
    </w:p>
    <w:p w14:paraId="27EA7495">
      <w:pPr>
        <w:keepNext w:val="0"/>
        <w:keepLines w:val="0"/>
        <w:pageBreakBefore w:val="0"/>
        <w:numPr>
          <w:ilvl w:val="0"/>
          <w:numId w:val="3"/>
        </w:numPr>
        <w:kinsoku/>
        <w:wordWrap/>
        <w:overflowPunct/>
        <w:topLinePunct w:val="0"/>
        <w:autoSpaceDE/>
        <w:autoSpaceDN/>
        <w:bidi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7B941B63">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lang w:val="en-US" w:eastAsia="zh-CN"/>
        </w:rPr>
        <w:t>1、</w:t>
      </w:r>
      <w:r>
        <w:rPr>
          <w:rFonts w:hint="eastAsia" w:ascii="仿宋" w:hAnsi="仿宋" w:eastAsia="仿宋" w:cs="仿宋"/>
          <w:b w:val="0"/>
          <w:bCs/>
          <w:sz w:val="32"/>
        </w:rPr>
        <w:t>组织编制开发区发展规划和计划</w:t>
      </w:r>
    </w:p>
    <w:p w14:paraId="615FCB95">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sz w:val="32"/>
        </w:rPr>
      </w:pPr>
      <w:r>
        <w:rPr>
          <w:rFonts w:hint="eastAsia" w:ascii="仿宋" w:hAnsi="仿宋" w:eastAsia="仿宋" w:cs="仿宋"/>
          <w:b w:val="0"/>
          <w:bCs/>
          <w:sz w:val="32"/>
        </w:rPr>
        <w:t>绩效目标：编制开发区发</w:t>
      </w:r>
      <w:r>
        <w:rPr>
          <w:rFonts w:hint="eastAsia" w:ascii="仿宋" w:hAnsi="仿宋" w:eastAsia="仿宋" w:cs="仿宋"/>
          <w:sz w:val="32"/>
        </w:rPr>
        <w:t>展规划及产业布局规划，确保年度发展规划和重点计划与开发区发展中长期规划的衔接和协调。</w:t>
      </w:r>
    </w:p>
    <w:p w14:paraId="4BFE0332">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rPr>
        <w:t>绩效指标：规划编制完成率≥90%。</w:t>
      </w:r>
    </w:p>
    <w:p w14:paraId="20FFBA4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lang w:val="en-US" w:eastAsia="zh-CN"/>
        </w:rPr>
        <w:t>2、</w:t>
      </w:r>
      <w:r>
        <w:rPr>
          <w:rFonts w:hint="eastAsia" w:ascii="仿宋" w:hAnsi="仿宋" w:eastAsia="仿宋" w:cs="仿宋"/>
          <w:b w:val="0"/>
          <w:bCs/>
          <w:sz w:val="32"/>
        </w:rPr>
        <w:t>招商引资工作和项目建设</w:t>
      </w:r>
    </w:p>
    <w:p w14:paraId="585967F2">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rPr>
        <w:t>绩效目标：引进3-5个总投资5亿元以上的项目，确保重点项目顺利建设。</w:t>
      </w:r>
    </w:p>
    <w:p w14:paraId="71A04A5C">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rPr>
        <w:t>绩效指标：招商引资完成率≥90%。</w:t>
      </w:r>
    </w:p>
    <w:p w14:paraId="12CC8404">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sz w:val="32"/>
        </w:rPr>
      </w:pPr>
      <w:r>
        <w:rPr>
          <w:rFonts w:hint="eastAsia" w:ascii="仿宋" w:hAnsi="仿宋" w:eastAsia="仿宋" w:cs="仿宋"/>
          <w:b w:val="0"/>
          <w:bCs/>
          <w:sz w:val="32"/>
          <w:lang w:val="en-US" w:eastAsia="zh-CN"/>
        </w:rPr>
        <w:t>3、</w:t>
      </w:r>
      <w:r>
        <w:rPr>
          <w:rFonts w:hint="eastAsia" w:ascii="仿宋" w:hAnsi="仿宋" w:eastAsia="仿宋" w:cs="仿宋"/>
          <w:b w:val="0"/>
          <w:bCs/>
          <w:sz w:val="32"/>
        </w:rPr>
        <w:t>基础设施建设及环境和资源保护</w:t>
      </w:r>
    </w:p>
    <w:p w14:paraId="420C473C">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sz w:val="32"/>
        </w:rPr>
        <w:t>绩效目标：完善园区基础设施建设</w:t>
      </w:r>
      <w:r>
        <w:rPr>
          <w:rFonts w:hint="eastAsia" w:ascii="仿宋" w:hAnsi="仿宋" w:eastAsia="仿宋" w:cs="仿宋"/>
          <w:sz w:val="32"/>
        </w:rPr>
        <w:t>，打造良好的园区形象；</w:t>
      </w:r>
      <w:r>
        <w:rPr>
          <w:rFonts w:hint="eastAsia" w:ascii="仿宋" w:hAnsi="仿宋" w:eastAsia="仿宋" w:cs="仿宋"/>
          <w:b w:val="0"/>
          <w:bCs w:val="0"/>
          <w:sz w:val="32"/>
        </w:rPr>
        <w:t>做好工业区环境和资源保护工作。</w:t>
      </w:r>
    </w:p>
    <w:p w14:paraId="299F6545">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绩效指标：污水管网升级和园区主要道路提升及绿化、亮化等工程完成率≥90%。</w:t>
      </w:r>
    </w:p>
    <w:p w14:paraId="035FD013">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lang w:val="en-US" w:eastAsia="zh-CN"/>
        </w:rPr>
        <w:t>4、</w:t>
      </w:r>
      <w:r>
        <w:rPr>
          <w:rFonts w:hint="eastAsia" w:ascii="仿宋" w:hAnsi="仿宋" w:eastAsia="仿宋" w:cs="仿宋"/>
          <w:b w:val="0"/>
          <w:bCs w:val="0"/>
          <w:sz w:val="32"/>
        </w:rPr>
        <w:t>园区融资</w:t>
      </w:r>
    </w:p>
    <w:p w14:paraId="1A82B03C">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绩效目标：开发区融资金额稳步增长。</w:t>
      </w:r>
    </w:p>
    <w:p w14:paraId="67314643">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绩效指标：融资目标完成率=100%。</w:t>
      </w:r>
    </w:p>
    <w:p w14:paraId="757192AA">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lang w:val="en-US" w:eastAsia="zh-CN"/>
        </w:rPr>
        <w:t>5、</w:t>
      </w:r>
      <w:r>
        <w:rPr>
          <w:rFonts w:hint="eastAsia" w:ascii="仿宋" w:hAnsi="仿宋" w:eastAsia="仿宋" w:cs="仿宋"/>
          <w:b w:val="0"/>
          <w:bCs w:val="0"/>
          <w:sz w:val="32"/>
        </w:rPr>
        <w:t>土地收储工作</w:t>
      </w:r>
    </w:p>
    <w:p w14:paraId="282D09B9">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绩效目标：完成政府规定的土地收储目标。</w:t>
      </w:r>
    </w:p>
    <w:p w14:paraId="28E33857">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绩效指标：土地收储完成度=100%。</w:t>
      </w:r>
    </w:p>
    <w:p w14:paraId="210B407E">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lang w:val="en-US" w:eastAsia="zh-CN"/>
        </w:rPr>
        <w:t>6、</w:t>
      </w:r>
      <w:r>
        <w:rPr>
          <w:rFonts w:hint="eastAsia" w:ascii="仿宋" w:hAnsi="仿宋" w:eastAsia="仿宋" w:cs="仿宋"/>
          <w:b w:val="0"/>
          <w:bCs w:val="0"/>
          <w:sz w:val="32"/>
        </w:rPr>
        <w:t>园区政务管理</w:t>
      </w:r>
    </w:p>
    <w:p w14:paraId="239B434A">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绩效目标：加强人员管理及学习培训，确保机关正常、高效运转。</w:t>
      </w:r>
    </w:p>
    <w:p w14:paraId="17F3C7DB">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firstLine="560"/>
        <w:rPr>
          <w:rFonts w:hint="eastAsia" w:ascii="仿宋" w:hAnsi="仿宋" w:eastAsia="仿宋" w:cs="仿宋"/>
          <w:b w:val="0"/>
          <w:bCs w:val="0"/>
          <w:sz w:val="32"/>
        </w:rPr>
      </w:pPr>
      <w:r>
        <w:rPr>
          <w:rFonts w:hint="eastAsia" w:ascii="仿宋" w:hAnsi="仿宋" w:eastAsia="仿宋" w:cs="仿宋"/>
          <w:b w:val="0"/>
          <w:bCs w:val="0"/>
          <w:sz w:val="32"/>
        </w:rPr>
        <w:t>绩效指标：园区机关综合事务管理完成率=100%。</w:t>
      </w:r>
    </w:p>
    <w:p w14:paraId="667B55AF">
      <w:pPr>
        <w:keepNext w:val="0"/>
        <w:keepLines w:val="0"/>
        <w:pageBreakBefore w:val="0"/>
        <w:kinsoku/>
        <w:wordWrap/>
        <w:overflowPunct/>
        <w:topLinePunct w:val="0"/>
        <w:autoSpaceDE/>
        <w:autoSpaceDN/>
        <w:bidi w:val="0"/>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E0E755F">
      <w:pPr>
        <w:keepNext w:val="0"/>
        <w:keepLines w:val="0"/>
        <w:pageBreakBefore w:val="0"/>
        <w:kinsoku/>
        <w:wordWrap/>
        <w:overflowPunct/>
        <w:topLinePunct w:val="0"/>
        <w:autoSpaceDE/>
        <w:autoSpaceDN/>
        <w:bidi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95</w:t>
      </w:r>
      <w:r>
        <w:rPr>
          <w:rFonts w:hint="eastAsia" w:ascii="仿宋" w:hAnsi="仿宋" w:eastAsia="仿宋"/>
          <w:sz w:val="32"/>
          <w:szCs w:val="32"/>
        </w:rPr>
        <w:t>分，得出综合绩效评价等级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14:paraId="393FE486">
      <w:pPr>
        <w:keepNext w:val="0"/>
        <w:keepLines w:val="0"/>
        <w:pageBreakBefore w:val="0"/>
        <w:kinsoku/>
        <w:wordWrap/>
        <w:overflowPunct/>
        <w:topLinePunct w:val="0"/>
        <w:autoSpaceDE/>
        <w:autoSpaceDN/>
        <w:bidi w:val="0"/>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2633DA6">
      <w:pPr>
        <w:keepNext w:val="0"/>
        <w:keepLines w:val="0"/>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B69BE10">
      <w:pPr>
        <w:keepNext w:val="0"/>
        <w:keepLines w:val="0"/>
        <w:pageBreakBefore w:val="0"/>
        <w:widowControl w:val="0"/>
        <w:numPr>
          <w:ilvl w:val="0"/>
          <w:numId w:val="0"/>
        </w:numPr>
        <w:kinsoku/>
        <w:wordWrap/>
        <w:overflowPunct/>
        <w:topLinePunct w:val="0"/>
        <w:autoSpaceDE/>
        <w:autoSpaceDN/>
        <w:bidi w:val="0"/>
        <w:adjustRightInd/>
        <w:spacing w:line="560" w:lineRule="exact"/>
        <w:ind w:firstLine="640" w:firstLineChars="200"/>
        <w:jc w:val="both"/>
        <w:textAlignment w:val="auto"/>
        <w:rPr>
          <w:rFonts w:hint="eastAsia" w:ascii="楷体" w:hAnsi="楷体" w:eastAsia="楷体"/>
          <w:bCs/>
          <w:sz w:val="32"/>
          <w:szCs w:val="32"/>
        </w:rPr>
      </w:pPr>
      <w:r>
        <w:rPr>
          <w:rFonts w:hint="eastAsia" w:ascii="仿宋" w:hAnsi="仿宋" w:eastAsia="仿宋" w:cs="黑体"/>
          <w:kern w:val="2"/>
          <w:sz w:val="32"/>
          <w:szCs w:val="32"/>
          <w:lang w:val="en-US" w:eastAsia="zh-CN" w:bidi="ar-SA"/>
        </w:rPr>
        <w:t>一是预算资金执行进度尚需提高；二是绩效管理理念有待加强。长期以来“重资金使用，轻绩效评价”的思想根基较深厚，而“重产出、重结果”的绩效管理理念尚未全面深入人心，认为只要资金使用合法、合规就行，忽视财政资金的使用绩效，对绩效管理工作缺乏主动性，没有将绩效管理工作作为一项日常性重要工作来抓；三是绩效目标设计不够细化。项目实施单位对绩效评价指标体系建立还在摸索阶段，目前，建立的绩效指标评价体系在科学性、规范性、系统性关联性等方面都还有待进一步完善和细化。</w:t>
      </w:r>
    </w:p>
    <w:p w14:paraId="311B105F">
      <w:pPr>
        <w:keepNext w:val="0"/>
        <w:keepLines w:val="0"/>
        <w:pageBreakBefore w:val="0"/>
        <w:numPr>
          <w:ilvl w:val="0"/>
          <w:numId w:val="0"/>
        </w:numPr>
        <w:kinsoku/>
        <w:wordWrap/>
        <w:overflowPunct/>
        <w:topLinePunct w:val="0"/>
        <w:autoSpaceDE/>
        <w:autoSpaceDN/>
        <w:bidi w:val="0"/>
        <w:spacing w:line="560" w:lineRule="exact"/>
        <w:ind w:left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016CB507">
      <w:pPr>
        <w:pStyle w:val="2"/>
        <w:keepNext w:val="0"/>
        <w:keepLines w:val="0"/>
        <w:pageBreakBefore w:val="0"/>
        <w:widowControl w:val="0"/>
        <w:kinsoku/>
        <w:wordWrap/>
        <w:overflowPunct/>
        <w:topLinePunct w:val="0"/>
        <w:autoSpaceDE/>
        <w:autoSpaceDN/>
        <w:bidi w:val="0"/>
        <w:adjustRightInd/>
        <w:spacing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树立绩效理念，增强绩效意识。把绩效管理理念与方法引入财政支出全过程管理，充分利用各种新闻媒体、政府网络平台等，加强对绩效评价工作的宣传，对涉及群众利益、群众普遍关心的财政专项资金及时向社会公开，不断强化部门单位的支出责任，广泛接收社会监督。</w:t>
      </w:r>
    </w:p>
    <w:p w14:paraId="2F0E2DF2">
      <w:pPr>
        <w:pStyle w:val="2"/>
        <w:keepNext w:val="0"/>
        <w:keepLines w:val="0"/>
        <w:pageBreakBefore w:val="0"/>
        <w:widowControl w:val="0"/>
        <w:kinsoku/>
        <w:wordWrap/>
        <w:overflowPunct/>
        <w:topLinePunct w:val="0"/>
        <w:autoSpaceDE/>
        <w:autoSpaceDN/>
        <w:bidi w:val="0"/>
        <w:adjustRightInd/>
        <w:spacing w:after="0" w:line="56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提高对项目绩效评价工作的关注度，建立完善的项目绩效评价体系，建立健全绩效评价工作机制，对绩效评价实施精细化管理，制定合理、细化、量化的绩效目标，建立完善的项目绩效评价指标体系将有利于评价项目实施的具体情况和指导日后工作的开展。</w:t>
      </w:r>
    </w:p>
    <w:p w14:paraId="55E1DBDB">
      <w:pPr>
        <w:pStyle w:val="2"/>
        <w:keepNext w:val="0"/>
        <w:keepLines w:val="0"/>
        <w:pageBreakBefore w:val="0"/>
        <w:widowControl w:val="0"/>
        <w:kinsoku/>
        <w:wordWrap/>
        <w:overflowPunct/>
        <w:topLinePunct w:val="0"/>
        <w:autoSpaceDE/>
        <w:autoSpaceDN/>
        <w:bidi w:val="0"/>
        <w:adjustRightInd/>
        <w:spacing w:after="0" w:line="560" w:lineRule="exact"/>
        <w:ind w:left="0" w:leftChars="0" w:firstLine="640" w:firstLineChars="200"/>
        <w:textAlignment w:val="auto"/>
        <w:rPr>
          <w:rFonts w:hint="eastAsia" w:ascii="仿宋" w:hAnsi="仿宋" w:eastAsia="仿宋" w:cs="黑体"/>
          <w:kern w:val="2"/>
          <w:sz w:val="32"/>
          <w:szCs w:val="32"/>
          <w:lang w:val="en-US" w:eastAsia="zh-CN" w:bidi="ar-SA"/>
        </w:rPr>
      </w:pPr>
    </w:p>
    <w:p w14:paraId="7ABB5323">
      <w:pPr>
        <w:pStyle w:val="2"/>
        <w:keepNext w:val="0"/>
        <w:keepLines w:val="0"/>
        <w:pageBreakBefore w:val="0"/>
        <w:widowControl w:val="0"/>
        <w:kinsoku/>
        <w:wordWrap/>
        <w:overflowPunct/>
        <w:topLinePunct w:val="0"/>
        <w:autoSpaceDE/>
        <w:autoSpaceDN/>
        <w:bidi w:val="0"/>
        <w:adjustRightInd/>
        <w:spacing w:after="0" w:line="560" w:lineRule="exact"/>
        <w:ind w:left="0" w:leftChars="0" w:firstLine="6400" w:firstLineChars="20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2025年4月20日</w:t>
      </w:r>
    </w:p>
    <w:p w14:paraId="2322CCE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cs="仿宋"/>
          <w:sz w:val="32"/>
          <w:szCs w:val="32"/>
        </w:rPr>
      </w:pPr>
    </w:p>
    <w:p w14:paraId="29360B97">
      <w:pPr>
        <w:pStyle w:val="2"/>
        <w:keepNext w:val="0"/>
        <w:keepLines w:val="0"/>
        <w:pageBreakBefore w:val="0"/>
        <w:kinsoku/>
        <w:wordWrap/>
        <w:overflowPunct/>
        <w:topLinePunct w:val="0"/>
        <w:autoSpaceDE/>
        <w:autoSpaceDN/>
        <w:bidi w:val="0"/>
        <w:spacing w:line="560" w:lineRule="exact"/>
        <w:rPr>
          <w:rFonts w:ascii="仿宋" w:hAnsi="仿宋" w:eastAsia="仿宋" w:cs="仿宋"/>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46F29">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2C32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E2C32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462B023"/>
    <w:multiLevelType w:val="singleLevel"/>
    <w:tmpl w:val="6462B023"/>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2948F2"/>
    <w:rsid w:val="046F331E"/>
    <w:rsid w:val="05AD7513"/>
    <w:rsid w:val="07956271"/>
    <w:rsid w:val="08795696"/>
    <w:rsid w:val="09287663"/>
    <w:rsid w:val="095E3ED9"/>
    <w:rsid w:val="09721397"/>
    <w:rsid w:val="0BB63BED"/>
    <w:rsid w:val="0D692839"/>
    <w:rsid w:val="0E7A48E9"/>
    <w:rsid w:val="0EB97A43"/>
    <w:rsid w:val="0EBD2122"/>
    <w:rsid w:val="0F214EAE"/>
    <w:rsid w:val="11B71E6A"/>
    <w:rsid w:val="163D24CE"/>
    <w:rsid w:val="1AAF0063"/>
    <w:rsid w:val="1BE140DE"/>
    <w:rsid w:val="1E240488"/>
    <w:rsid w:val="1FB37996"/>
    <w:rsid w:val="21736403"/>
    <w:rsid w:val="23CB3B95"/>
    <w:rsid w:val="24571346"/>
    <w:rsid w:val="248C197D"/>
    <w:rsid w:val="252959AF"/>
    <w:rsid w:val="2564376A"/>
    <w:rsid w:val="2572595F"/>
    <w:rsid w:val="267B5AC6"/>
    <w:rsid w:val="268F4C66"/>
    <w:rsid w:val="277A6671"/>
    <w:rsid w:val="28086671"/>
    <w:rsid w:val="283B0253"/>
    <w:rsid w:val="28832D32"/>
    <w:rsid w:val="292D35B7"/>
    <w:rsid w:val="2AA35184"/>
    <w:rsid w:val="2B3A731D"/>
    <w:rsid w:val="2B9F3273"/>
    <w:rsid w:val="2BA62281"/>
    <w:rsid w:val="2CBE62A5"/>
    <w:rsid w:val="2E6136A4"/>
    <w:rsid w:val="2EF17594"/>
    <w:rsid w:val="2FFB5743"/>
    <w:rsid w:val="31A91DD1"/>
    <w:rsid w:val="31E77D87"/>
    <w:rsid w:val="33EB6CFF"/>
    <w:rsid w:val="3474193F"/>
    <w:rsid w:val="34A018E8"/>
    <w:rsid w:val="359E6C39"/>
    <w:rsid w:val="35A12947"/>
    <w:rsid w:val="35EE2907"/>
    <w:rsid w:val="36D861B6"/>
    <w:rsid w:val="37387040"/>
    <w:rsid w:val="38A63BE6"/>
    <w:rsid w:val="3B625C0A"/>
    <w:rsid w:val="3CEE1963"/>
    <w:rsid w:val="3EB61E2F"/>
    <w:rsid w:val="41CD5C6D"/>
    <w:rsid w:val="45A82735"/>
    <w:rsid w:val="487877F8"/>
    <w:rsid w:val="4C9C27FE"/>
    <w:rsid w:val="4EDA66DF"/>
    <w:rsid w:val="4FF9AD8B"/>
    <w:rsid w:val="50BC224C"/>
    <w:rsid w:val="512260B4"/>
    <w:rsid w:val="513E7F2D"/>
    <w:rsid w:val="52BD6ACB"/>
    <w:rsid w:val="52E44543"/>
    <w:rsid w:val="54273E81"/>
    <w:rsid w:val="544D38E7"/>
    <w:rsid w:val="549F610D"/>
    <w:rsid w:val="54F94CCB"/>
    <w:rsid w:val="55537534"/>
    <w:rsid w:val="561A74F1"/>
    <w:rsid w:val="58075BBC"/>
    <w:rsid w:val="597244E8"/>
    <w:rsid w:val="5C9620DF"/>
    <w:rsid w:val="5EB71C30"/>
    <w:rsid w:val="65A85175"/>
    <w:rsid w:val="66AF0CE5"/>
    <w:rsid w:val="66C46341"/>
    <w:rsid w:val="6AC537CF"/>
    <w:rsid w:val="6B923E7E"/>
    <w:rsid w:val="6C2E1DF8"/>
    <w:rsid w:val="6DBE71AC"/>
    <w:rsid w:val="6E4A5A7E"/>
    <w:rsid w:val="6E5B14A6"/>
    <w:rsid w:val="711B255E"/>
    <w:rsid w:val="71AA478F"/>
    <w:rsid w:val="71DC5E53"/>
    <w:rsid w:val="74174F5C"/>
    <w:rsid w:val="75F130F9"/>
    <w:rsid w:val="7B2F349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360" w:lineRule="auto"/>
      <w:ind w:firstLine="200" w:firstLineChars="200"/>
      <w:textAlignment w:val="baseline"/>
    </w:pPr>
    <w:rPr>
      <w:rFonts w:hint="eastAsia" w:eastAsia="宋体"/>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Normal]"/>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2177</Words>
  <Characters>2250</Characters>
  <Lines>4</Lines>
  <Paragraphs>1</Paragraphs>
  <TotalTime>14</TotalTime>
  <ScaleCrop>false</ScaleCrop>
  <LinksUpToDate>false</LinksUpToDate>
  <CharactersWithSpaces>2274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今非昔比`</cp:lastModifiedBy>
  <cp:lastPrinted>2022-01-19T15:24:00Z</cp:lastPrinted>
  <dcterms:modified xsi:type="dcterms:W3CDTF">2025-09-30T01:17:39Z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C8FCCCB3286F4F4EB6086290E072D6A0_13</vt:lpwstr>
  </property>
</Properties>
</file>