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0B21C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3337DE4F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赞皇县农业农村局</w:t>
      </w:r>
    </w:p>
    <w:p w14:paraId="650AFE2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24D4F56E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3AF66F6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政府《关于全面</w:t>
      </w:r>
      <w:r>
        <w:rPr>
          <w:rFonts w:hint="eastAsia" w:ascii="仿宋" w:hAnsi="仿宋" w:eastAsia="仿宋"/>
          <w:sz w:val="32"/>
          <w:szCs w:val="32"/>
          <w:lang w:eastAsia="zh-CN"/>
        </w:rPr>
        <w:t>实施</w:t>
      </w:r>
      <w:r>
        <w:rPr>
          <w:rFonts w:hint="eastAsia" w:ascii="仿宋" w:hAnsi="仿宋" w:eastAsia="仿宋"/>
          <w:sz w:val="32"/>
          <w:szCs w:val="32"/>
        </w:rPr>
        <w:t>预算绩效管理</w:t>
      </w:r>
      <w:r>
        <w:rPr>
          <w:rFonts w:hint="eastAsia" w:ascii="仿宋" w:hAnsi="仿宋" w:eastAsia="仿宋"/>
          <w:sz w:val="32"/>
          <w:szCs w:val="32"/>
          <w:lang w:eastAsia="zh-CN"/>
        </w:rPr>
        <w:t>工作方案</w:t>
      </w:r>
      <w:r>
        <w:rPr>
          <w:rFonts w:hint="eastAsia" w:ascii="仿宋" w:hAnsi="仿宋" w:eastAsia="仿宋"/>
          <w:sz w:val="32"/>
          <w:szCs w:val="32"/>
        </w:rPr>
        <w:t>》（</w:t>
      </w:r>
      <w:r>
        <w:rPr>
          <w:rFonts w:hint="eastAsia" w:ascii="仿宋" w:hAnsi="仿宋" w:eastAsia="仿宋"/>
          <w:sz w:val="32"/>
          <w:szCs w:val="32"/>
          <w:lang w:eastAsia="zh-CN"/>
        </w:rPr>
        <w:t>赞财预</w:t>
      </w:r>
      <w:r>
        <w:rPr>
          <w:rFonts w:hint="eastAsia" w:ascii="仿宋" w:hAnsi="仿宋" w:eastAsia="仿宋"/>
          <w:sz w:val="32"/>
          <w:szCs w:val="32"/>
        </w:rPr>
        <w:t>﹝2019﹞</w:t>
      </w:r>
      <w:r>
        <w:rPr>
          <w:rFonts w:hint="eastAsia" w:ascii="仿宋" w:hAnsi="仿宋" w:eastAsia="仿宋"/>
          <w:sz w:val="32"/>
          <w:szCs w:val="32"/>
          <w:lang w:eastAsia="zh-CN"/>
        </w:rPr>
        <w:t>７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赞皇县农业农村局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2FDA6E9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1E17CA6">
      <w:pPr>
        <w:ind w:firstLine="648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部门概况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：</w:t>
      </w:r>
      <w:bookmarkStart w:id="0" w:name="_GoBack"/>
      <w:bookmarkEnd w:id="0"/>
    </w:p>
    <w:p w14:paraId="34B1E62E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（一）统筹研究和组织实施全县“三农”工作的发展战略、中长期规划、重大政策。</w:t>
      </w:r>
    </w:p>
    <w:p w14:paraId="68F94D74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（二）协调推动发展全县农村社会事业、农村公共服务、农村文化、农村基础设施和乡村治理。</w:t>
      </w:r>
    </w:p>
    <w:p w14:paraId="2FD3EB70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（三）贯彻执行中央、省市深化农村经济体制改革和巩固完善农村基本经营制度的政策。</w:t>
      </w:r>
    </w:p>
    <w:p w14:paraId="38FDAE49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（四）指导全县乡村产业、农产品加工业和休闲农业发展工作。</w:t>
      </w:r>
    </w:p>
    <w:p w14:paraId="591EF4E4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（五）负责全县种植业、畜牧业、渔业、农垦、农业机械化等农业各产业的监督管理。</w:t>
      </w:r>
    </w:p>
    <w:p w14:paraId="58BB642B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（六）负责全县农产品质量安全监督管理。</w:t>
      </w:r>
    </w:p>
    <w:p w14:paraId="3F31B8BA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（七）负责全县农业资源保护、开发与利用。</w:t>
      </w:r>
    </w:p>
    <w:p w14:paraId="05817EB4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（八）负责有关农业生产资料和农业投入品的监督管理。</w:t>
      </w:r>
    </w:p>
    <w:p w14:paraId="5A9064A6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（九）负责农业防灾减灾、农作物重大病虫害预测预报及防治工作。</w:t>
      </w:r>
    </w:p>
    <w:p w14:paraId="6DC56D29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（十）负责农业投资管理。</w:t>
      </w:r>
    </w:p>
    <w:p w14:paraId="3BD28693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（十一）推动农业科技体制改革和农业科技创新体系建设。</w:t>
      </w:r>
    </w:p>
    <w:p w14:paraId="55A5447B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（十二）负责农业农村人才工作。</w:t>
      </w:r>
    </w:p>
    <w:p w14:paraId="77C93B81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（十三）牵头开展农业对外合作工作。</w:t>
      </w:r>
    </w:p>
    <w:p w14:paraId="2671BC60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（十四）完成县委、县政府和县委农村工作领导小组交办的其他任务。</w:t>
      </w:r>
    </w:p>
    <w:p w14:paraId="66A5B3A4">
      <w:pPr>
        <w:ind w:firstLine="648"/>
        <w:rPr>
          <w:rFonts w:ascii="楷体" w:hAnsi="楷体" w:eastAsia="楷体" w:cs="Times New Roman"/>
          <w:b/>
          <w:sz w:val="32"/>
          <w:szCs w:val="32"/>
        </w:rPr>
      </w:pPr>
      <w:r>
        <w:rPr>
          <w:rFonts w:hint="eastAsia" w:ascii="楷体" w:hAnsi="楷体" w:eastAsia="楷体" w:cs="Times New Roman"/>
          <w:b/>
          <w:sz w:val="32"/>
          <w:szCs w:val="32"/>
        </w:rPr>
        <w:t>机构设置：</w:t>
      </w:r>
    </w:p>
    <w:p w14:paraId="195684CC">
      <w:pPr>
        <w:jc w:val="center"/>
        <w:outlineLvl w:val="0"/>
        <w:rPr>
          <w:rFonts w:ascii="仿宋" w:hAnsi="仿宋" w:eastAsia="仿宋" w:cs="Times New Roman"/>
          <w:sz w:val="32"/>
          <w:szCs w:val="24"/>
        </w:rPr>
      </w:pPr>
      <w:r>
        <w:rPr>
          <w:rFonts w:hint="eastAsia" w:ascii="仿宋" w:hAnsi="仿宋" w:eastAsia="仿宋" w:cs="Times New Roman"/>
          <w:sz w:val="32"/>
          <w:szCs w:val="24"/>
          <w:lang w:eastAsia="zh-CN"/>
        </w:rPr>
        <w:t>单位</w:t>
      </w:r>
      <w:r>
        <w:rPr>
          <w:rFonts w:hint="eastAsia" w:ascii="仿宋" w:hAnsi="仿宋" w:eastAsia="仿宋" w:cs="Times New Roman"/>
          <w:sz w:val="32"/>
          <w:szCs w:val="24"/>
        </w:rPr>
        <w:t>机构设置情况</w:t>
      </w:r>
    </w:p>
    <w:tbl>
      <w:tblPr>
        <w:tblStyle w:val="5"/>
        <w:tblW w:w="8457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4"/>
        <w:gridCol w:w="1134"/>
        <w:gridCol w:w="1089"/>
        <w:gridCol w:w="2880"/>
      </w:tblGrid>
      <w:tr w14:paraId="705300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354" w:type="dxa"/>
            <w:vMerge w:val="restart"/>
            <w:vAlign w:val="center"/>
          </w:tcPr>
          <w:p w14:paraId="5EC32AED">
            <w:pPr>
              <w:spacing w:line="300" w:lineRule="exact"/>
              <w:jc w:val="center"/>
              <w:rPr>
                <w:rFonts w:ascii="仿宋" w:hAnsi="仿宋" w:eastAsia="仿宋" w:cs="Times New Roman"/>
                <w:b/>
                <w:szCs w:val="24"/>
              </w:rPr>
            </w:pPr>
            <w:r>
              <w:rPr>
                <w:rFonts w:ascii="仿宋" w:hAnsi="仿宋" w:eastAsia="仿宋" w:cs="Times New Roman"/>
                <w:b/>
                <w:szCs w:val="24"/>
              </w:rP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14:paraId="56ADFFE1">
            <w:pPr>
              <w:spacing w:line="300" w:lineRule="exact"/>
              <w:jc w:val="center"/>
              <w:rPr>
                <w:rFonts w:ascii="仿宋" w:hAnsi="仿宋" w:eastAsia="仿宋" w:cs="Times New Roman"/>
                <w:b/>
                <w:szCs w:val="24"/>
              </w:rPr>
            </w:pPr>
            <w:r>
              <w:rPr>
                <w:rFonts w:ascii="仿宋" w:hAnsi="仿宋" w:eastAsia="仿宋" w:cs="Times New Roman"/>
                <w:b/>
                <w:szCs w:val="24"/>
              </w:rPr>
              <w:t>单位性质</w:t>
            </w:r>
          </w:p>
        </w:tc>
        <w:tc>
          <w:tcPr>
            <w:tcW w:w="1089" w:type="dxa"/>
            <w:vMerge w:val="restart"/>
            <w:vAlign w:val="center"/>
          </w:tcPr>
          <w:p w14:paraId="0C870D38">
            <w:pPr>
              <w:spacing w:line="300" w:lineRule="exact"/>
              <w:jc w:val="center"/>
              <w:rPr>
                <w:rFonts w:ascii="仿宋" w:hAnsi="仿宋" w:eastAsia="仿宋" w:cs="Times New Roman"/>
                <w:b/>
                <w:szCs w:val="24"/>
              </w:rPr>
            </w:pPr>
            <w:r>
              <w:rPr>
                <w:rFonts w:ascii="仿宋" w:hAnsi="仿宋" w:eastAsia="仿宋" w:cs="Times New Roman"/>
                <w:b/>
                <w:szCs w:val="24"/>
              </w:rPr>
              <w:t>单位规格</w:t>
            </w:r>
          </w:p>
        </w:tc>
        <w:tc>
          <w:tcPr>
            <w:tcW w:w="2880" w:type="dxa"/>
            <w:vMerge w:val="restart"/>
            <w:vAlign w:val="center"/>
          </w:tcPr>
          <w:p w14:paraId="2B1A9715">
            <w:pPr>
              <w:spacing w:line="300" w:lineRule="exact"/>
              <w:jc w:val="center"/>
              <w:rPr>
                <w:rFonts w:ascii="仿宋" w:hAnsi="仿宋" w:eastAsia="仿宋" w:cs="Times New Roman"/>
                <w:b/>
                <w:szCs w:val="24"/>
              </w:rPr>
            </w:pPr>
            <w:r>
              <w:rPr>
                <w:rFonts w:ascii="仿宋" w:hAnsi="仿宋" w:eastAsia="仿宋" w:cs="Times New Roman"/>
                <w:b/>
                <w:szCs w:val="24"/>
              </w:rPr>
              <w:t>经费保障形式</w:t>
            </w:r>
          </w:p>
        </w:tc>
      </w:tr>
      <w:tr w14:paraId="6D540A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354" w:type="dxa"/>
            <w:vMerge w:val="continue"/>
            <w:vAlign w:val="center"/>
          </w:tcPr>
          <w:p w14:paraId="334161BE"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384D03CE"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1089" w:type="dxa"/>
            <w:vMerge w:val="continue"/>
            <w:vAlign w:val="center"/>
          </w:tcPr>
          <w:p w14:paraId="20D6F264"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2880" w:type="dxa"/>
            <w:vMerge w:val="continue"/>
            <w:vAlign w:val="center"/>
          </w:tcPr>
          <w:p w14:paraId="6A173DE7"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</w:tr>
      <w:tr w14:paraId="37E19E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3354" w:type="dxa"/>
            <w:vAlign w:val="center"/>
          </w:tcPr>
          <w:p w14:paraId="775F030F">
            <w:pPr>
              <w:spacing w:line="300" w:lineRule="exact"/>
              <w:jc w:val="left"/>
              <w:rPr>
                <w:rFonts w:hint="eastAsia"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 w:cs="Times New Roman"/>
                <w:szCs w:val="24"/>
              </w:rPr>
              <w:t>赞皇县农业农村局</w:t>
            </w:r>
          </w:p>
        </w:tc>
        <w:tc>
          <w:tcPr>
            <w:tcW w:w="1134" w:type="dxa"/>
            <w:vAlign w:val="center"/>
          </w:tcPr>
          <w:p w14:paraId="0D1706B3"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行政</w:t>
            </w:r>
          </w:p>
        </w:tc>
        <w:tc>
          <w:tcPr>
            <w:tcW w:w="1089" w:type="dxa"/>
            <w:vAlign w:val="center"/>
          </w:tcPr>
          <w:p w14:paraId="5DFEF866"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正科级</w:t>
            </w:r>
          </w:p>
        </w:tc>
        <w:tc>
          <w:tcPr>
            <w:tcW w:w="2880" w:type="dxa"/>
            <w:vAlign w:val="center"/>
          </w:tcPr>
          <w:p w14:paraId="5DC6DF92">
            <w:pPr>
              <w:spacing w:line="300" w:lineRule="exact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财政拨款</w:t>
            </w:r>
          </w:p>
        </w:tc>
      </w:tr>
    </w:tbl>
    <w:p w14:paraId="5F6299E7">
      <w:pPr>
        <w:ind w:firstLine="643" w:firstLineChars="200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</w:p>
    <w:p w14:paraId="2B00490D">
      <w:pPr>
        <w:ind w:firstLine="643" w:firstLineChars="200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国有资产情况：</w:t>
      </w:r>
    </w:p>
    <w:p w14:paraId="3617935E">
      <w:pPr>
        <w:ind w:firstLine="640" w:firstLineChars="200"/>
        <w:rPr>
          <w:rFonts w:ascii="仿宋" w:hAnsi="仿宋" w:eastAsia="仿宋" w:cs="Times New Roman"/>
          <w:color w:val="000000" w:themeColor="text1"/>
          <w:sz w:val="32"/>
          <w:szCs w:val="32"/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</w:rPr>
        <w:t>农业农村局上年末固定资产金额为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1121.04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万元（详见下表），本年度拟购置固定资产总额为0万元。</w:t>
      </w:r>
    </w:p>
    <w:tbl>
      <w:tblPr>
        <w:tblStyle w:val="5"/>
        <w:tblW w:w="8946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17"/>
        <w:gridCol w:w="2127"/>
        <w:gridCol w:w="3402"/>
      </w:tblGrid>
      <w:tr w14:paraId="4F9A6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89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645D18">
            <w:pPr>
              <w:widowControl/>
              <w:jc w:val="center"/>
              <w:rPr>
                <w:rFonts w:ascii="仿宋" w:hAnsi="仿宋" w:eastAsia="仿宋" w:cs="宋体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赞皇县县直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  <w:lang w:eastAsia="zh-CN"/>
              </w:rPr>
              <w:t>单位</w:t>
            </w:r>
            <w:r>
              <w:rPr>
                <w:rFonts w:hint="eastAsia" w:ascii="仿宋" w:hAnsi="仿宋" w:eastAsia="仿宋" w:cs="宋体"/>
                <w:kern w:val="0"/>
                <w:sz w:val="32"/>
                <w:szCs w:val="32"/>
              </w:rPr>
              <w:t>固定资产占用情况表</w:t>
            </w:r>
          </w:p>
        </w:tc>
      </w:tr>
      <w:tr w14:paraId="3B376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54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597390"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编制</w:t>
            </w:r>
            <w:r>
              <w:rPr>
                <w:rFonts w:hint="eastAsia" w:ascii="仿宋" w:hAnsi="仿宋" w:eastAsia="仿宋" w:cs="宋体"/>
                <w:kern w:val="0"/>
                <w:sz w:val="22"/>
                <w:lang w:eastAsia="zh-CN"/>
              </w:rPr>
              <w:t>单位</w:t>
            </w:r>
            <w:r>
              <w:rPr>
                <w:rFonts w:hint="eastAsia" w:ascii="仿宋" w:hAnsi="仿宋" w:eastAsia="仿宋" w:cs="宋体"/>
                <w:kern w:val="0"/>
                <w:sz w:val="22"/>
              </w:rPr>
              <w:t>：赞皇县农业农村局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17DC8E"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截止时间：202</w:t>
            </w:r>
            <w:r>
              <w:rPr>
                <w:rFonts w:hint="eastAsia" w:ascii="仿宋" w:hAnsi="仿宋" w:eastAsia="仿宋" w:cs="宋体"/>
                <w:kern w:val="0"/>
                <w:sz w:val="22"/>
                <w:lang w:val="en-US" w:eastAsia="zh-CN"/>
              </w:rPr>
              <w:t>4</w:t>
            </w:r>
            <w:r>
              <w:rPr>
                <w:rFonts w:hint="eastAsia" w:ascii="仿宋" w:hAnsi="仿宋" w:eastAsia="仿宋" w:cs="宋体"/>
                <w:kern w:val="0"/>
                <w:sz w:val="22"/>
              </w:rPr>
              <w:t xml:space="preserve">年12月31日  </w:t>
            </w:r>
          </w:p>
        </w:tc>
      </w:tr>
      <w:tr w14:paraId="741FE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D81C83"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项   目</w:t>
            </w:r>
          </w:p>
        </w:tc>
        <w:tc>
          <w:tcPr>
            <w:tcW w:w="21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D60D59"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数量</w:t>
            </w:r>
          </w:p>
        </w:tc>
        <w:tc>
          <w:tcPr>
            <w:tcW w:w="34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8C8D25"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价值（金额单位：万元）</w:t>
            </w:r>
          </w:p>
        </w:tc>
      </w:tr>
      <w:tr w14:paraId="39CF2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4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C0C243"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资产总额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6032FA"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——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06C6AE"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lang w:val="en-US" w:eastAsia="zh-CN"/>
              </w:rPr>
              <w:t>11746.74</w:t>
            </w:r>
          </w:p>
        </w:tc>
      </w:tr>
      <w:tr w14:paraId="51E82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4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20251E"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1、房屋（平方米）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7757E53"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lang w:val="en-US" w:eastAsia="zh-CN"/>
              </w:rPr>
              <w:t>3862.85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6FC913"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lang w:val="en-US" w:eastAsia="zh-CN"/>
              </w:rPr>
              <w:t>59.22</w:t>
            </w:r>
          </w:p>
        </w:tc>
      </w:tr>
      <w:tr w14:paraId="371BA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4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5A55A8"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 xml:space="preserve">  其中：办公用房（平方米）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0CC341"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lang w:val="en-US" w:eastAsia="zh-CN"/>
              </w:rPr>
              <w:t>791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DC309C">
            <w:pPr>
              <w:widowControl/>
              <w:tabs>
                <w:tab w:val="center" w:pos="1653"/>
                <w:tab w:val="left" w:pos="2179"/>
              </w:tabs>
              <w:jc w:val="center"/>
              <w:rPr>
                <w:rFonts w:hint="default" w:ascii="仿宋" w:hAnsi="仿宋" w:eastAsia="仿宋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lang w:val="en-US" w:eastAsia="zh-CN"/>
              </w:rPr>
              <w:t>12.13</w:t>
            </w:r>
          </w:p>
        </w:tc>
      </w:tr>
      <w:tr w14:paraId="5E403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4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CB3B7"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2、车辆（台、辆）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A202A2A"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2"/>
                <w:lang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lang w:val="en-US" w:eastAsia="zh-CN"/>
              </w:rPr>
              <w:t>2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0FBFB5">
            <w:pPr>
              <w:widowControl/>
              <w:jc w:val="center"/>
              <w:rPr>
                <w:rFonts w:hint="default" w:ascii="仿宋" w:hAnsi="仿宋" w:eastAsia="仿宋" w:cs="宋体"/>
                <w:kern w:val="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  <w:lang w:val="en-US" w:eastAsia="zh-CN"/>
              </w:rPr>
              <w:t>13.35</w:t>
            </w:r>
          </w:p>
        </w:tc>
      </w:tr>
      <w:tr w14:paraId="5FBFFE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4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39BED6"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3、单价在20万元以上设备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C430A7"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——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1457027"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</w:rPr>
            </w:pPr>
          </w:p>
        </w:tc>
      </w:tr>
      <w:tr w14:paraId="5C71F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341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EE5D6">
            <w:pPr>
              <w:widowControl/>
              <w:jc w:val="left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4、其他固定资产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EFA4C7C">
            <w:pPr>
              <w:widowControl/>
              <w:jc w:val="center"/>
              <w:rPr>
                <w:rFonts w:ascii="仿宋" w:hAnsi="仿宋" w:eastAsia="仿宋" w:cs="宋体"/>
                <w:kern w:val="0"/>
                <w:sz w:val="22"/>
              </w:rPr>
            </w:pPr>
            <w:r>
              <w:rPr>
                <w:rFonts w:hint="eastAsia" w:ascii="仿宋" w:hAnsi="仿宋" w:eastAsia="仿宋" w:cs="宋体"/>
                <w:kern w:val="0"/>
                <w:sz w:val="22"/>
              </w:rPr>
              <w:t>——</w:t>
            </w:r>
          </w:p>
        </w:tc>
        <w:tc>
          <w:tcPr>
            <w:tcW w:w="34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258F2A">
            <w:pPr>
              <w:widowControl/>
              <w:jc w:val="center"/>
              <w:rPr>
                <w:rFonts w:hint="eastAsia" w:ascii="仿宋" w:hAnsi="仿宋" w:eastAsia="仿宋" w:cs="宋体"/>
                <w:kern w:val="0"/>
                <w:sz w:val="22"/>
              </w:rPr>
            </w:pPr>
          </w:p>
        </w:tc>
      </w:tr>
    </w:tbl>
    <w:p w14:paraId="3844F0F2">
      <w:pPr>
        <w:adjustRightInd w:val="0"/>
        <w:snapToGrid w:val="0"/>
        <w:spacing w:line="560" w:lineRule="exact"/>
        <w:rPr>
          <w:rFonts w:hint="eastAsia" w:ascii="仿宋" w:hAnsi="仿宋" w:eastAsia="仿宋"/>
          <w:sz w:val="32"/>
          <w:szCs w:val="32"/>
        </w:rPr>
      </w:pPr>
    </w:p>
    <w:p w14:paraId="710E42DE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6FA8DB47">
      <w:pPr>
        <w:ind w:firstLine="648"/>
        <w:rPr>
          <w:rFonts w:hint="eastAsia" w:ascii="FZFangSong-Z02" w:hAnsi="FZFangSong-Z02" w:eastAsia="FZFangSong-Z02"/>
          <w:color w:val="000000"/>
          <w:sz w:val="28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按照预算管理有关规定，目前我省单位预算的编制实行综合预算管理，即全部收入和支出都反映在预算中</w:t>
      </w:r>
      <w:r>
        <w:rPr>
          <w:rFonts w:hint="eastAsia" w:ascii="FZFangSong-Z02" w:hAnsi="FZFangSong-Z02" w:eastAsia="FZFangSong-Z02"/>
          <w:color w:val="000000"/>
          <w:sz w:val="28"/>
        </w:rPr>
        <w:t xml:space="preserve">。 </w:t>
      </w:r>
    </w:p>
    <w:p w14:paraId="7B180D7E">
      <w:pPr>
        <w:ind w:firstLine="648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1.收入说明</w:t>
      </w:r>
    </w:p>
    <w:p w14:paraId="3755B821">
      <w:pPr>
        <w:spacing w:line="500" w:lineRule="exact"/>
        <w:ind w:firstLine="640" w:firstLineChars="200"/>
        <w:jc w:val="left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反映本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当年全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部收入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202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年预算收入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</w:rPr>
        <w:t>46952.98962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</w:rPr>
        <w:t>。</w:t>
      </w:r>
    </w:p>
    <w:p w14:paraId="18F0896E">
      <w:pPr>
        <w:ind w:firstLine="648"/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 w:themeColor="text1"/>
          <w:sz w:val="32"/>
          <w:szCs w:val="32"/>
        </w:rPr>
        <w:t>2.支出说明</w:t>
      </w:r>
    </w:p>
    <w:p w14:paraId="52F200A5">
      <w:pPr>
        <w:pStyle w:val="7"/>
        <w:outlineLvl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收支预算总表支出栏、基本支出表、项目支出表按经济分类和支出功能分类科目编制，反映农业农村局年度单位预算中支出预算的总体情况。2024年支出预算46952.98962万元，项目支出45269.23962万元，主要为农业生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产发展专项资金、省级农田建设补助资金、省级财政衔接推进乡村振兴补助资金等。</w:t>
      </w:r>
    </w:p>
    <w:p w14:paraId="60AA507D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730978F1">
      <w:pPr>
        <w:pStyle w:val="7"/>
        <w:outlineLvl w:val="9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1、全力保障粮食等重要农产品供给。抓好粮食安全工程。大力推进优质粮食产业发展，积极推进间作套种和大豆玉米复合种植，年内创建绿色高质高效千亩示范片4个，深入实施科技兴农战略，以管促收，集中精力抓好小麦、玉米等农作物田间管理，强化技术指导服务，扎实开展灾害性天气预防和病虫害防控，确保丰产丰收。抓好高标准农田建设工程。全面落实防止耕地“非粮化”长效管理机制，深入开展高标准农田建设，同步抓好地力提升和高效节水灌溉工作，提高建设标准和质量，促进农业可持续发展，确保完成全年改造提升高标准农田1万亩的任务。抓好畜牧业提质增效工程。围绕国家级种质资源太行鸡，开展太行鸡育种创新攻关和种质资源保护项目，不断提高太行鸡品种市场竞争力。巩固和恢复生猪基础产能，能繁母猪保持在6000头以上，生猪存栏稳定在正常年份水平；继续扩大太行鸡等优质蛋鸡存栏量，全年肉蛋奶总产量稳定在5万吨左右，确保市场稳定供应。</w:t>
      </w:r>
    </w:p>
    <w:p w14:paraId="233420F7">
      <w:pPr>
        <w:pStyle w:val="7"/>
        <w:outlineLvl w:val="9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 xml:space="preserve">2、持续推动现代农业高质量发展。强化农业科技和装备支撑。把科技服务进村入户“最后一公里”变成“最好一公里”；继续推进农机购置补贴，加大适用丘陵山区专用小型农机具推广力度，全县主要农作物耕种收综合机械化水平保持在89%以上；发挥酸枣等产业发展专家顾问（团队）作用，为我县特色产业种养结构调优诊；持续推进高素质农民培训，培育农业经营主体、种养加能手和乡村振兴带头人等各类高素质农民500人次以上。强化生态农业发展。重点强化病虫害统防统治和绿色防控技术的集成应用，确保化肥、农兽药使用量保持负增长推进农业废弃物处理能力提档升级，全县农作物秸秆综合利用率、农膜回收率分别保持在90%和85%以上，规模化养殖场畜禽粪污综合利用率达到95%以上。强化农资市场监管。加强监管种子、化肥、农兽药、饲料等农业生产资料市场，持续推动农产品质量安全“治违禁、控药残、促提升”三年行动，健全农产品质量安全网格化监管体系，建好“两品一标”认证和质量安全追溯体系，强化畜禽屠宰管理，确保农产品例行检测合格率达到98%以上。                                                                              </w:t>
      </w:r>
    </w:p>
    <w:p w14:paraId="3F1DC3FD">
      <w:pPr>
        <w:pStyle w:val="7"/>
        <w:outlineLvl w:val="9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3、不断激发乡村产业兴旺新动能。做好乡村“土特产”文章，全面提升和美乡村建设水平。实施美丽乡村建设提升工程。依托槐河沿岸乡村振兴示范区建设项目及河庄、平泉湖乡村振兴基础设施建设等项目的二期工程，结合各乡镇沟域经济发展规划，以“原村布落”和“蜜蜂谷”两个片区为重点，积极谋划2024年和美乡村示范村建设。实施农村人居环境整治提升工程。以公共环境提升为突破点，以农村厕所改造、生活污水治理、生活垃圾处理为重点，同步开展村庄清洁和硬化绿化亮化，美丽庭院示范创建等工作，并将灾后水毁设施修复重建纳入和美乡村创建的过程，改造提升村容村貌，绿化美化公共空间，实现环境干净整洁、风貌协调统一。</w:t>
      </w:r>
    </w:p>
    <w:p w14:paraId="58AFBDF3">
      <w:pPr>
        <w:pStyle w:val="7"/>
        <w:outlineLvl w:val="9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4、全面激发农村发展新活力。推进农村承包土地制度改革。进一步健全农村承包地承包经营权流转服务体系，用好确权登记颁证成果，完善信息资源共享，实现市、县、乡三级数据实时互联互通。大力开展承包地调解仲裁员培训活动，有效化解纠纷矛盾，基本做到“小事不出村，大事不出乡，矛盾不上交”。深化农村集体产权制度改革。进一步巩固完善农村集体产权制度改革成果，全面盘活农村各类资产资源，持续发展新型农村集体经济，提高农民收入水平。年内村集体经济收入10万元以下村全部清零，20万元万元以上村达到一半以上。大力实施家庭农场培育计划，扎实开展农民合作社规范提升行动，不断健全完善新型农业经营主体和社会化服务指导服务体系，全面提升农业生产托管服务的专业化、标准化、规模化水平。强化农村宅基地制度改革。学习借鉴行唐等地宅基地改革试点经验，以沟域经济试点为重点，稳妥推进宅基地规范管理和闲置宅基地闲置住宅盘活利用。进一步加大宅基地法律法规宣传培训力度，落实好乡镇宅基地审批和执法监管机制，持续开展农村宅基地私搭乱建专项整治，分类规范解决违规违法问题。强化农业综合行政执法改革。围绕提升执法能力和执法形象，聚焦主责主业，创新执法方式，改进执法方法，提高执法效率和办案水平，为农业农村加快发展保好驾护好航。</w:t>
      </w:r>
    </w:p>
    <w:p w14:paraId="31EAAD4C">
      <w:pPr>
        <w:pStyle w:val="7"/>
        <w:outlineLvl w:val="9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5、持续巩固产业帮扶成果，继续做好项目增收扶贫，用好用活产业帮扶资金，实施一批“补短板、促发展”农业特色产业项目，增强产业发展后劲;持续抓好“一村一品”建设，培育壮大经营实体；年内市级以上龙头企业要保持在19家以上，产业化联合体达到10家以上。</w:t>
      </w:r>
    </w:p>
    <w:p w14:paraId="495F968E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63632CB6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5C11157B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36"/>
        <w:rPr>
          <w:rFonts w:hint="eastAsia" w:ascii="宋体" w:hAnsi="宋体" w:eastAsia="仿宋_GB2312" w:cs="宋体"/>
          <w:i w:val="0"/>
          <w:caps w:val="0"/>
          <w:color w:val="000000"/>
          <w:spacing w:val="0"/>
          <w:sz w:val="24"/>
          <w:szCs w:val="24"/>
          <w:lang w:val="en-US" w:eastAsia="zh-CN"/>
        </w:rPr>
      </w:pPr>
      <w:r>
        <w:rPr>
          <w:rFonts w:ascii="仿宋_GB2312" w:hAnsi="微软雅黑" w:eastAsia="仿宋_GB2312" w:cs="宋体"/>
          <w:spacing w:val="-2"/>
          <w:sz w:val="32"/>
          <w:szCs w:val="32"/>
        </w:rPr>
        <w:t>为确实做好20</w:t>
      </w:r>
      <w:r>
        <w:rPr>
          <w:rFonts w:hint="eastAsia" w:ascii="仿宋_GB2312" w:hAnsi="微软雅黑" w:eastAsia="仿宋_GB2312" w:cs="宋体"/>
          <w:spacing w:val="-2"/>
          <w:sz w:val="32"/>
          <w:szCs w:val="32"/>
        </w:rPr>
        <w:t>2</w:t>
      </w:r>
      <w:r>
        <w:rPr>
          <w:rFonts w:hint="eastAsia" w:ascii="仿宋_GB2312" w:hAnsi="微软雅黑" w:eastAsia="仿宋_GB2312" w:cs="宋体"/>
          <w:spacing w:val="-2"/>
          <w:sz w:val="32"/>
          <w:szCs w:val="32"/>
          <w:lang w:val="en-US" w:eastAsia="zh-CN"/>
        </w:rPr>
        <w:t>4</w:t>
      </w:r>
      <w:r>
        <w:rPr>
          <w:rFonts w:ascii="仿宋_GB2312" w:hAnsi="微软雅黑" w:eastAsia="仿宋_GB2312" w:cs="宋体"/>
          <w:spacing w:val="-2"/>
          <w:sz w:val="32"/>
          <w:szCs w:val="32"/>
        </w:rPr>
        <w:t>年</w:t>
      </w:r>
      <w:r>
        <w:rPr>
          <w:rFonts w:hint="eastAsia" w:ascii="仿宋_GB2312" w:hAnsi="微软雅黑" w:eastAsia="仿宋_GB2312" w:cs="宋体"/>
          <w:spacing w:val="-2"/>
          <w:sz w:val="32"/>
          <w:szCs w:val="32"/>
        </w:rPr>
        <w:t>预算项目</w:t>
      </w:r>
      <w:r>
        <w:rPr>
          <w:rFonts w:ascii="仿宋_GB2312" w:hAnsi="微软雅黑" w:eastAsia="仿宋_GB2312" w:cs="宋体"/>
          <w:spacing w:val="-2"/>
          <w:sz w:val="32"/>
          <w:szCs w:val="32"/>
        </w:rPr>
        <w:t>整体绩效自评工作，提高财政资金使用效益，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根据</w:t>
      </w:r>
      <w:r>
        <w:rPr>
          <w:rFonts w:hint="eastAsia" w:ascii="仿宋_GB2312" w:hAnsi="微软雅黑" w:eastAsia="仿宋_GB2312" w:cs="宋体"/>
          <w:spacing w:val="-2"/>
          <w:sz w:val="32"/>
          <w:szCs w:val="32"/>
        </w:rPr>
        <w:t>县财政局通知</w:t>
      </w:r>
      <w:r>
        <w:rPr>
          <w:rFonts w:ascii="仿宋_GB2312" w:hAnsi="微软雅黑" w:eastAsia="仿宋_GB2312" w:cs="宋体"/>
          <w:spacing w:val="-2"/>
          <w:sz w:val="32"/>
          <w:szCs w:val="32"/>
        </w:rPr>
        <w:t>文件精神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和财政项目预算安排资金情况</w:t>
      </w:r>
      <w:r>
        <w:rPr>
          <w:rFonts w:ascii="仿宋_GB2312" w:hAnsi="微软雅黑" w:eastAsia="仿宋_GB2312" w:cs="宋体"/>
          <w:spacing w:val="-2"/>
          <w:sz w:val="32"/>
          <w:szCs w:val="32"/>
        </w:rPr>
        <w:t>结合实际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对各项目进行绩效评价工作。</w:t>
      </w:r>
    </w:p>
    <w:p w14:paraId="4AF6ECAA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36"/>
        <w:rPr>
          <w:rFonts w:hint="eastAsia" w:ascii="宋体" w:hAnsi="宋体" w:eastAsia="宋体" w:cs="宋体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微软雅黑" w:eastAsia="仿宋_GB2312" w:cs="宋体"/>
          <w:spacing w:val="-2"/>
          <w:sz w:val="32"/>
          <w:szCs w:val="32"/>
        </w:rPr>
        <w:t>1.全面学习政策。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全面履行各项工作职责，扎实推进各项工作开展，明确责任，确保效果，</w:t>
      </w:r>
      <w:r>
        <w:rPr>
          <w:rFonts w:hint="eastAsia" w:ascii="仿宋_GB2312" w:hAnsi="微软雅黑" w:eastAsia="仿宋_GB2312" w:cs="宋体"/>
          <w:spacing w:val="-2"/>
          <w:sz w:val="32"/>
          <w:szCs w:val="32"/>
        </w:rPr>
        <w:t>要求大家全面深入学习，确保评价工作开展前充分把握相关政策</w:t>
      </w:r>
      <w:r>
        <w:rPr>
          <w:rFonts w:hint="eastAsia" w:ascii="仿宋_GB2312" w:hAnsi="微软雅黑" w:eastAsia="仿宋_GB2312" w:cs="宋体"/>
          <w:spacing w:val="-2"/>
          <w:sz w:val="32"/>
          <w:szCs w:val="32"/>
          <w:lang w:eastAsia="zh-CN"/>
        </w:rPr>
        <w:t>，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认真落实各项工作自评。</w:t>
      </w:r>
    </w:p>
    <w:p w14:paraId="1F2CE4B3">
      <w:pPr>
        <w:spacing w:line="360" w:lineRule="auto"/>
        <w:ind w:firstLine="632" w:firstLineChars="200"/>
        <w:rPr>
          <w:rFonts w:hint="eastAsia" w:ascii="仿宋_GB2312" w:hAnsi="微软雅黑" w:eastAsia="仿宋_GB2312" w:cs="宋体"/>
          <w:spacing w:val="-2"/>
          <w:sz w:val="32"/>
          <w:szCs w:val="32"/>
        </w:rPr>
      </w:pPr>
      <w:r>
        <w:rPr>
          <w:rFonts w:hint="eastAsia" w:ascii="仿宋_GB2312" w:hAnsi="微软雅黑" w:eastAsia="仿宋_GB2312" w:cs="宋体"/>
          <w:spacing w:val="-2"/>
          <w:sz w:val="32"/>
          <w:szCs w:val="32"/>
          <w:lang w:val="en-US" w:eastAsia="zh-CN"/>
        </w:rPr>
        <w:t>2、</w:t>
      </w:r>
      <w:r>
        <w:rPr>
          <w:rFonts w:hint="eastAsia" w:ascii="仿宋_GB2312" w:hAnsi="微软雅黑" w:eastAsia="仿宋_GB2312" w:cs="宋体"/>
          <w:spacing w:val="-2"/>
          <w:sz w:val="32"/>
          <w:szCs w:val="32"/>
        </w:rPr>
        <w:t>加强沟通协调。积极与相关各方沟通，加快工作进度，一是与财政局沟通，对工作的具体安排和政策要求进行咨询；二是与各项目的业务科室沟通，督促其尽快落实自评工作，要求其按时提交自评材料，为下一步绩效评价工作做好准备。</w:t>
      </w:r>
    </w:p>
    <w:p w14:paraId="4A0A6239">
      <w:pPr>
        <w:spacing w:line="360" w:lineRule="auto"/>
        <w:ind w:firstLine="632" w:firstLineChars="200"/>
        <w:rPr>
          <w:rFonts w:hint="eastAsia" w:ascii="仿宋_GB2312" w:hAnsi="微软雅黑" w:eastAsia="仿宋_GB2312" w:cs="宋体"/>
          <w:spacing w:val="-2"/>
          <w:sz w:val="32"/>
          <w:szCs w:val="32"/>
          <w:lang w:val="en-US" w:eastAsia="zh-CN"/>
        </w:rPr>
      </w:pPr>
      <w:r>
        <w:rPr>
          <w:rFonts w:hint="eastAsia" w:ascii="仿宋_GB2312" w:hAnsi="微软雅黑" w:eastAsia="仿宋_GB2312" w:cs="宋体"/>
          <w:spacing w:val="-2"/>
          <w:sz w:val="32"/>
          <w:szCs w:val="32"/>
          <w:lang w:val="en-US" w:eastAsia="zh-CN"/>
        </w:rPr>
        <w:t>3、部门日常财务管理、专项监督检查</w:t>
      </w:r>
    </w:p>
    <w:p w14:paraId="1DFB89C2">
      <w:pPr>
        <w:spacing w:line="360" w:lineRule="auto"/>
        <w:ind w:firstLine="632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微软雅黑" w:eastAsia="仿宋_GB2312" w:cs="宋体"/>
          <w:spacing w:val="-2"/>
          <w:sz w:val="32"/>
          <w:szCs w:val="32"/>
          <w:lang w:val="en-US" w:eastAsia="zh-CN"/>
        </w:rPr>
        <w:t>预算资金的使用与管理符合财政预算管理的有关规定，具有相应的监控机制，遵循公开、公平、公正和统筹规划、突出重点、讲求实效原则，确保资金规范、安全和高效。</w:t>
      </w:r>
    </w:p>
    <w:p w14:paraId="39878782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2CF1493">
      <w:pPr>
        <w:spacing w:line="52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绩效自评结果对比倒查的年初绩效目标，制定了项目质量标准，采取了相应的项目质量检查、验收等必需的控制措施或手段。绩效目标设定清晰准确，绩效指标全面完整、科学合理，绩效标准恰当适宜、易于评价。</w:t>
      </w:r>
    </w:p>
    <w:p w14:paraId="6A8E0D75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0CCEC863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5F1BD3C0">
      <w:pPr>
        <w:pStyle w:val="4"/>
        <w:spacing w:before="0" w:beforeAutospacing="0" w:after="0" w:afterAutospacing="0" w:line="540" w:lineRule="atLeast"/>
        <w:ind w:firstLine="560"/>
        <w:jc w:val="both"/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微软雅黑" w:eastAsia="仿宋_GB2312"/>
          <w:sz w:val="32"/>
          <w:szCs w:val="32"/>
        </w:rPr>
        <w:t>我单位高度重视财政资金的支出绩效，资金从预算、执行、验收、资金支付等流程层层把关，严格按照部门预算进行支出。所有项目资金严格按照项目申报的实施方案组织实施，并责成项目实施科室加强日常监督，做好项目实施的跟踪协调工作，达到预期绩效目标。</w:t>
      </w:r>
    </w:p>
    <w:p w14:paraId="5A133813">
      <w:pPr>
        <w:spacing w:line="560" w:lineRule="exact"/>
        <w:rPr>
          <w:rFonts w:ascii="楷体" w:hAnsi="楷体" w:eastAsia="楷体"/>
          <w:bCs/>
          <w:color w:val="000000" w:themeColor="text1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  <w:r>
        <w:rPr>
          <w:rFonts w:hint="eastAsia" w:ascii="仿宋" w:hAnsi="仿宋" w:eastAsia="仿宋" w:cs="楷体_GB2312"/>
          <w:b/>
          <w:bCs/>
          <w:color w:val="000000" w:themeColor="text1"/>
          <w:sz w:val="32"/>
          <w:szCs w:val="32"/>
        </w:rPr>
        <w:t xml:space="preserve">   </w:t>
      </w:r>
      <w:r>
        <w:rPr>
          <w:rFonts w:hint="eastAsia" w:ascii="楷体" w:hAnsi="楷体" w:eastAsia="楷体" w:cs="楷体_GB2312"/>
          <w:bCs/>
          <w:color w:val="000000" w:themeColor="text1"/>
          <w:sz w:val="32"/>
          <w:szCs w:val="32"/>
        </w:rPr>
        <w:t>（二）分项绩效目标实现情况及指标分析</w:t>
      </w:r>
    </w:p>
    <w:p w14:paraId="512960B2">
      <w:pPr>
        <w:pStyle w:val="7"/>
        <w:rPr>
          <w:rFonts w:hint="eastAsia" w:ascii="仿宋" w:hAnsi="仿宋" w:eastAsia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1、大豆玉米复合种植</w:t>
      </w:r>
      <w:r>
        <w:rPr>
          <w:rFonts w:hint="eastAsia" w:ascii="仿宋" w:hAnsi="仿宋" w:eastAsia="仿宋"/>
          <w:color w:val="000000" w:themeColor="text1"/>
          <w:sz w:val="32"/>
          <w:szCs w:val="32"/>
        </w:rPr>
        <w:t>项目</w:t>
      </w:r>
    </w:p>
    <w:p w14:paraId="5BE3680D">
      <w:pPr>
        <w:pStyle w:val="7"/>
        <w:rPr>
          <w:rFonts w:hint="default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绩效目标：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在玉米主产区推广大豆玉米复合种植模式，完成5000亩大豆玉米复合种植任务，实现大豆玉米协同产收益不减少，助力粮油生产提质增收。</w:t>
      </w:r>
    </w:p>
    <w:p w14:paraId="79FFF758">
      <w:pPr>
        <w:pStyle w:val="7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绩效指标：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</w:rPr>
        <w:t>大豆玉米复合种植5000亩，带状复合种植完成率100%，种植任务完成及时率100%，补贴标准200元/亩。实现玉米协同产收益不减少，调优农业种植结构稳定农民收入</w:t>
      </w: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。</w:t>
      </w:r>
    </w:p>
    <w:p w14:paraId="214DCA7A">
      <w:pPr>
        <w:pStyle w:val="7"/>
        <w:numPr>
          <w:ilvl w:val="0"/>
          <w:numId w:val="4"/>
        </w:numP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美丽乡村建设项目</w:t>
      </w:r>
    </w:p>
    <w:p w14:paraId="2D64481C">
      <w:pPr>
        <w:pStyle w:val="7"/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绩效目标：全县11个乡镇23个村道路硬化8392平方米米，新建小广场2768平方米，便道铺砖3576平方米，沥青道路铺设4507平方米，路灯安装213盏。</w:t>
      </w:r>
    </w:p>
    <w:p w14:paraId="77E449F3">
      <w:pPr>
        <w:pStyle w:val="7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</w:rPr>
        <w:t>绩效指标：11个乡镇23个村道路硬化8392平方米米，新建小广场2768平方米，便道铺砖3576平方米，沥青道路铺设4507平方米，路灯安装213盏，项目建设合格率100%，按合同约定时限完成，改善农民居住环境。</w:t>
      </w:r>
    </w:p>
    <w:p w14:paraId="29856019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0B666DA0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1F4320D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7217EB46">
      <w:pPr>
        <w:tabs>
          <w:tab w:val="left" w:pos="2220"/>
        </w:tabs>
        <w:spacing w:line="520" w:lineRule="exact"/>
        <w:ind w:firstLine="640" w:firstLineChars="200"/>
        <w:rPr>
          <w:rFonts w:hint="eastAsia"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1、进一步健全和完善财务管理制度及内部控制制度，创新管理手段，</w:t>
      </w:r>
      <w:r>
        <w:rPr>
          <w:rFonts w:hint="eastAsia" w:ascii="仿宋_GB2312" w:hAnsi="微软雅黑" w:eastAsia="仿宋_GB2312" w:cs="宋体"/>
          <w:kern w:val="0"/>
          <w:sz w:val="32"/>
          <w:szCs w:val="32"/>
          <w:lang w:eastAsia="zh-CN"/>
        </w:rPr>
        <w:t>注重科学性、完整性、细化性，</w:t>
      </w:r>
      <w:r>
        <w:rPr>
          <w:rFonts w:hint="eastAsia" w:ascii="仿宋_GB2312" w:hAnsi="微软雅黑" w:eastAsia="仿宋_GB2312" w:cs="宋体"/>
          <w:kern w:val="0"/>
          <w:sz w:val="32"/>
          <w:szCs w:val="32"/>
        </w:rPr>
        <w:t>用新思路、新方法，改进完善财务管理方法。</w:t>
      </w:r>
    </w:p>
    <w:p w14:paraId="2347C066">
      <w:pPr>
        <w:tabs>
          <w:tab w:val="left" w:pos="2220"/>
        </w:tabs>
        <w:spacing w:line="520" w:lineRule="exact"/>
        <w:rPr>
          <w:rFonts w:ascii="微软雅黑" w:hAnsi="微软雅黑" w:cs="宋体"/>
          <w:kern w:val="0"/>
          <w:sz w:val="24"/>
          <w:szCs w:val="24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  <w:lang w:val="en-US" w:eastAsia="zh-CN"/>
        </w:rPr>
        <w:t xml:space="preserve">    2、加强预算编制管理，夯实预算执行基础。遵循“量入为出、收支平衡”的原则，采取更有效程序和方法，合理安排资金，有效推进预算支出进度，达到综合预算、不偏不漏。</w:t>
      </w:r>
    </w:p>
    <w:p w14:paraId="370F11F1">
      <w:pPr>
        <w:spacing w:line="52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微软雅黑" w:eastAsia="仿宋_GB2312" w:cs="宋体"/>
          <w:kern w:val="0"/>
          <w:sz w:val="32"/>
          <w:szCs w:val="32"/>
        </w:rPr>
        <w:t>、按照财政支出绩效管理的要求，建立科学的财政资金效益考评制度体系，不断提高财政资金使用管理的水平和效率。</w:t>
      </w:r>
    </w:p>
    <w:p w14:paraId="34791F91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FZFangSong-Z02">
    <w:altName w:val="宋体"/>
    <w:panose1 w:val="02000000000000000000"/>
    <w:charset w:val="86"/>
    <w:family w:val="swiss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14A679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772577F9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E7FDBF0"/>
    <w:multiLevelType w:val="singleLevel"/>
    <w:tmpl w:val="BE7FDBF0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CB743A88"/>
    <w:multiLevelType w:val="singleLevel"/>
    <w:tmpl w:val="CB743A88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6035C4C"/>
    <w:rsid w:val="07956271"/>
    <w:rsid w:val="09721397"/>
    <w:rsid w:val="0BB63BED"/>
    <w:rsid w:val="0DF5C7A6"/>
    <w:rsid w:val="0EB97A43"/>
    <w:rsid w:val="0EBD2122"/>
    <w:rsid w:val="0F214EAE"/>
    <w:rsid w:val="11A77022"/>
    <w:rsid w:val="11B71E6A"/>
    <w:rsid w:val="1AAF0063"/>
    <w:rsid w:val="1AF3243E"/>
    <w:rsid w:val="1BE140DE"/>
    <w:rsid w:val="1CFE0A23"/>
    <w:rsid w:val="239C4E5F"/>
    <w:rsid w:val="240739AA"/>
    <w:rsid w:val="248C197D"/>
    <w:rsid w:val="252959AF"/>
    <w:rsid w:val="257C6868"/>
    <w:rsid w:val="277A6671"/>
    <w:rsid w:val="292D35B7"/>
    <w:rsid w:val="2FC10ECB"/>
    <w:rsid w:val="2FFD5B31"/>
    <w:rsid w:val="337F9E10"/>
    <w:rsid w:val="33EB6CFF"/>
    <w:rsid w:val="34B36452"/>
    <w:rsid w:val="35A12947"/>
    <w:rsid w:val="37387040"/>
    <w:rsid w:val="37BF54E2"/>
    <w:rsid w:val="3B625C0A"/>
    <w:rsid w:val="3CEE1963"/>
    <w:rsid w:val="3EDF07F6"/>
    <w:rsid w:val="3FFFCC99"/>
    <w:rsid w:val="43CB4646"/>
    <w:rsid w:val="46AF3074"/>
    <w:rsid w:val="4C9C27FE"/>
    <w:rsid w:val="4CEDD5DC"/>
    <w:rsid w:val="4FF9AD8B"/>
    <w:rsid w:val="512260B4"/>
    <w:rsid w:val="52BD6ACB"/>
    <w:rsid w:val="55537534"/>
    <w:rsid w:val="561A74F1"/>
    <w:rsid w:val="579F3795"/>
    <w:rsid w:val="58D4331C"/>
    <w:rsid w:val="597244E8"/>
    <w:rsid w:val="5E33FDA0"/>
    <w:rsid w:val="5E512BED"/>
    <w:rsid w:val="5EB71C30"/>
    <w:rsid w:val="5FDF4715"/>
    <w:rsid w:val="66AF0CE5"/>
    <w:rsid w:val="6AC537CF"/>
    <w:rsid w:val="6BEF8227"/>
    <w:rsid w:val="6C813391"/>
    <w:rsid w:val="6CD40E95"/>
    <w:rsid w:val="6E5B14A6"/>
    <w:rsid w:val="6EDEABBC"/>
    <w:rsid w:val="6FF34908"/>
    <w:rsid w:val="701B6E7E"/>
    <w:rsid w:val="711B255E"/>
    <w:rsid w:val="78FBD64B"/>
    <w:rsid w:val="7BB51E06"/>
    <w:rsid w:val="7BC73963"/>
    <w:rsid w:val="7BF8B905"/>
    <w:rsid w:val="7C366FC1"/>
    <w:rsid w:val="7C387F7C"/>
    <w:rsid w:val="7CBE5974"/>
    <w:rsid w:val="7D0B4077"/>
    <w:rsid w:val="7DFD96F6"/>
    <w:rsid w:val="7E6B4945"/>
    <w:rsid w:val="7E7F4340"/>
    <w:rsid w:val="7F7F9BCB"/>
    <w:rsid w:val="7F9F648B"/>
    <w:rsid w:val="7FE83423"/>
    <w:rsid w:val="AEFD4594"/>
    <w:rsid w:val="BAFEA325"/>
    <w:rsid w:val="BCD32437"/>
    <w:rsid w:val="CFF7F818"/>
    <w:rsid w:val="DFF4D16B"/>
    <w:rsid w:val="E250F50E"/>
    <w:rsid w:val="E7C3F532"/>
    <w:rsid w:val="EFBEBD04"/>
    <w:rsid w:val="F3AFCEEC"/>
    <w:rsid w:val="F6DFB158"/>
    <w:rsid w:val="F7F5AE1C"/>
    <w:rsid w:val="FB9D100F"/>
    <w:rsid w:val="FECAA44D"/>
    <w:rsid w:val="FF7CC54B"/>
    <w:rsid w:val="FFBFB7E0"/>
    <w:rsid w:val="FFDFBA07"/>
    <w:rsid w:val="FFF6D44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4003</Words>
  <Characters>4172</Characters>
  <Lines>4</Lines>
  <Paragraphs>1</Paragraphs>
  <TotalTime>71</TotalTime>
  <ScaleCrop>false</ScaleCrop>
  <LinksUpToDate>false</LinksUpToDate>
  <CharactersWithSpaces>4282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2020-02-07T11:46:00Z</dcterms:created>
  <dc:creator>欣欣大人</dc:creator>
  <cp:lastModifiedBy>柒月</cp:lastModifiedBy>
  <cp:lastPrinted>2023-09-03T22:18:00Z</cp:lastPrinted>
  <dcterms:modified xsi:type="dcterms:W3CDTF">2025-09-29T02:06:09Z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AEDB84068944A204EB4CF164E007B868</vt:lpwstr>
  </property>
  <property fmtid="{D5CDD505-2E9C-101B-9397-08002B2CF9AE}" pid="4" name="KSOTemplateDocerSaveRecord">
    <vt:lpwstr>eyJoZGlkIjoiYzVlNjJiOTc4MWU5ODYzNDA0OTgzY2ZmMzgzNzZhNTgiLCJ1c2VySWQiOiI5MDk4MDQ1MDIifQ==</vt:lpwstr>
  </property>
</Properties>
</file>