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赞皇县交通运输局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2024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赞皇县交通运输局</w:t>
      </w:r>
      <w:r>
        <w:rPr>
          <w:rFonts w:hint="eastAsia" w:ascii="仿宋" w:hAnsi="仿宋" w:eastAsia="仿宋"/>
          <w:sz w:val="32"/>
          <w:szCs w:val="32"/>
          <w:lang w:eastAsia="zh-CN"/>
        </w:rPr>
        <w:t>2024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widowControl/>
        <w:suppressLineNumbers w:val="0"/>
        <w:spacing w:before="0" w:beforeAutospacing="0" w:after="0" w:afterAutospacing="0" w:line="315" w:lineRule="atLeast"/>
        <w:ind w:left="0" w:right="0" w:firstLine="48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1．主要职能。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（一）拟定全县交通运输行业发展规划并组织实施；起草交通运输方面有关政策规定草案；参与拟定有关物流业发展规划并监督实施。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会同有关部门编制全县综合运输体系发展规划并组织实施。协调规划全县综合运输体系建设，组织协调相关运输方式的合理布局和有效衔接；建立完善交通运输行业联运服务体系；拟定全县公路建设、城市公共交通（不含轨道交通、下同）建设和道路（含水路，下同）运输中长期发展规划，拟定公路建设与养护年度指令性计划并组织实施；负责交通运输枢纽规划和管理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承担全县公路建设市场监管责任。负责全县国省干线公路（含国防公路）的规划、建设、养护、管理，依法维护路产路权、保护公路设施，开发公路用地；依法查处超限超载运输车辆；负责交通运输工程建设、工程质量和安全生产的监管；负责全县交通基本建设项目招投标活动的监督管理；负责全县收费公路管理；配合做好国防交通有关工作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承担道路运输市场监管责任。负责道路运输经营、道路运输相关业务和城市公共交通等行业管理工作；负责县内公交站、场、点的规划、建设和管理，依法保护和支持合法经营，取缔非法运输；指导城乡客运及有关设施规划和管理；承担有关物流市场管理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（五）承担管辖水域水上交通安全监管责任。负责全县渔船检验和监督管理工作，会同有关部门，依法组织或参与事故调查处理。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负责提出全县交通运输行业固定资产投资规模和方向、县财政性资金安排意见；负责监督县本级交通运输系统国有资产经营管理工作；负责全县交通运输资金的管理、使用和投资开发工作；指导交通系统内部审计工作；承担交通运输行业财政预算资金的绩效监督和管理工作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（七）制订全县交通运输行业科技发展规划，组织行业科技创新应用，推动行业科技进步。负责交通运输行业信息化建设，监测分析运行情况，开展相关统计工作。指导交通运输行业环境保护和节能减排。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（八）负责全县交通运输综合行政执法和队伍建设有关工作；统筹协调交通运输综合行政执法工作；负责交通运输行业体制改革工作。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负责交通运输系统安全生产和应急管理工作；牵头负责铁路沿线环境安全监管责任；按规定组织协调国家、省、市、县重点物资和紧急客货运输；负责县内高速公路及国、省重点干线公路网运行监测和应急处置协调工作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（十）负责全县交通运输行业的涉外事宜，指导利用外资，开展交通运输经济技术合作与交流。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（十一）推进京津冀协同发展交通一体化工作。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（十二）指导各乡（镇）交通运输相关工作。</w:t>
      </w:r>
    </w:p>
    <w:p>
      <w:pPr>
        <w:spacing w:line="600" w:lineRule="exact"/>
        <w:ind w:firstLine="64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（十三）完成县委、县政府交办的其他任务。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 w:line="315" w:lineRule="atLeast"/>
        <w:ind w:left="0" w:right="0" w:firstLine="48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2．机构情况。</w:t>
      </w:r>
    </w:p>
    <w:tbl>
      <w:tblPr>
        <w:tblStyle w:val="6"/>
        <w:tblW w:w="9747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7"/>
        <w:gridCol w:w="1418"/>
        <w:gridCol w:w="1276"/>
        <w:gridCol w:w="240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  <w:tblHeader/>
        </w:trPr>
        <w:tc>
          <w:tcPr>
            <w:tcW w:w="4647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Cs w:val="24"/>
              </w:rPr>
              <w:t>单位名称</w:t>
            </w:r>
          </w:p>
        </w:tc>
        <w:tc>
          <w:tcPr>
            <w:tcW w:w="1418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Cs w:val="24"/>
              </w:rPr>
              <w:t>单位性质</w:t>
            </w:r>
          </w:p>
        </w:tc>
        <w:tc>
          <w:tcPr>
            <w:tcW w:w="1276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Cs w:val="24"/>
              </w:rPr>
              <w:t>单位规格</w:t>
            </w:r>
          </w:p>
        </w:tc>
        <w:tc>
          <w:tcPr>
            <w:tcW w:w="2406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Cs w:val="24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tblHeader/>
        </w:trPr>
        <w:tc>
          <w:tcPr>
            <w:tcW w:w="4647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Cs w:val="24"/>
              </w:rPr>
            </w:pPr>
          </w:p>
        </w:tc>
        <w:tc>
          <w:tcPr>
            <w:tcW w:w="1418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Cs w:val="24"/>
              </w:rPr>
            </w:pPr>
          </w:p>
        </w:tc>
        <w:tc>
          <w:tcPr>
            <w:tcW w:w="1276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Cs w:val="24"/>
              </w:rPr>
            </w:pPr>
          </w:p>
        </w:tc>
        <w:tc>
          <w:tcPr>
            <w:tcW w:w="2406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hint="eastAsia"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464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赞皇县交通运输局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</w:rPr>
              <w:t>行政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</w:rPr>
              <w:t>正科级</w:t>
            </w:r>
          </w:p>
        </w:tc>
        <w:tc>
          <w:tcPr>
            <w:tcW w:w="240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</w:rPr>
              <w:t>财政拨款</w:t>
            </w:r>
          </w:p>
        </w:tc>
      </w:tr>
    </w:tbl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2024</w:t>
      </w:r>
      <w:r>
        <w:rPr>
          <w:rFonts w:hint="eastAsia" w:ascii="仿宋_GB2312" w:eastAsia="仿宋_GB2312"/>
          <w:sz w:val="32"/>
          <w:szCs w:val="32"/>
        </w:rPr>
        <w:t>年赞皇县交通运输局年初预算为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15607.96</w:t>
      </w:r>
      <w:r>
        <w:rPr>
          <w:rFonts w:hint="eastAsia" w:ascii="仿宋_GB2312" w:eastAsia="仿宋_GB2312"/>
          <w:sz w:val="32"/>
          <w:szCs w:val="32"/>
        </w:rPr>
        <w:t>万元，年底决算数支出为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21905.853477 </w:t>
      </w:r>
      <w:r>
        <w:rPr>
          <w:rFonts w:hint="eastAsia" w:ascii="仿宋_GB2312" w:eastAsia="仿宋_GB2312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参照部门预算绩效文本中绩效目标、指标。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度预算项目的日常管理工作均按照相关管理制度执行，建立了工作有计划、实施有方案、日常有监督的管理机制，工作取得了较好的成效，效能得到了提高、获得了社会公众的好评100%。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2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项目资金的使用与管理符合财政预算管理的有关规定，遵循公开、公平、公正和统筹规划、突出重点、讲求实效的原则，确保资金的规范、安全和高效。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对于专项资金和预算支出我局严格按照县财政预算管理，合理安排支出，使绩效目标完成率达到95%以上。在专项资金用于公路建设及公路养护、城乡客运管理及超限超载治理上的绩效执行及完成率达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到</w:t>
      </w:r>
      <w:r>
        <w:rPr>
          <w:rFonts w:hint="eastAsia" w:ascii="仿宋" w:hAnsi="仿宋" w:eastAsia="仿宋" w:cs="仿宋"/>
          <w:sz w:val="32"/>
          <w:szCs w:val="32"/>
        </w:rPr>
        <w:t>了100%，为便捷群众出行、方便货物运输方面做出了贡献，得到群众一致好评。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>
      <w:pPr>
        <w:numPr>
          <w:ilvl w:val="0"/>
          <w:numId w:val="0"/>
        </w:numPr>
        <w:spacing w:line="560" w:lineRule="exact"/>
        <w:ind w:left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1.</w:t>
      </w:r>
      <w:r>
        <w:rPr>
          <w:rFonts w:hint="eastAsia" w:ascii="楷体" w:hAnsi="楷体" w:eastAsia="楷体" w:cs="楷体_GB2312"/>
          <w:bCs/>
          <w:sz w:val="32"/>
          <w:szCs w:val="32"/>
        </w:rPr>
        <w:t>预算执行情况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100%，实际完成值100%，自评得分10分。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</w:t>
      </w:r>
    </w:p>
    <w:p>
      <w:pPr>
        <w:spacing w:line="560" w:lineRule="exact"/>
        <w:ind w:firstLine="321" w:firstLineChars="1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楷体_GB2312"/>
          <w:bCs/>
          <w:sz w:val="32"/>
          <w:szCs w:val="32"/>
        </w:rPr>
        <w:t>项目产出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数量指标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：完成的项目工作量预期指标值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自评得分10分；质量指标：按质完成项目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，实际完成值100%，自评得分10分；时效指标：在规定时间内有序完成项目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100%，实际完成值100%，自评得分10分；成本指标：资金成本、受益人数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100%，实际完成值100%，自评得分9分。</w:t>
      </w:r>
    </w:p>
    <w:p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3.</w:t>
      </w:r>
      <w:r>
        <w:rPr>
          <w:rFonts w:hint="eastAsia" w:ascii="楷体" w:hAnsi="楷体" w:eastAsia="楷体" w:cs="楷体_GB2312"/>
          <w:bCs/>
          <w:sz w:val="32"/>
          <w:szCs w:val="32"/>
        </w:rPr>
        <w:t>项目效益</w:t>
      </w:r>
    </w:p>
    <w:p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经济效益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指标：社会公众出行成本降低，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实际完成值100%，自评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得分10分。</w:t>
      </w:r>
      <w:r>
        <w:rPr>
          <w:rFonts w:hint="eastAsia" w:ascii="仿宋" w:hAnsi="仿宋" w:eastAsia="仿宋"/>
          <w:sz w:val="32"/>
          <w:szCs w:val="32"/>
        </w:rPr>
        <w:t>社会效益指标</w:t>
      </w:r>
      <w:r>
        <w:rPr>
          <w:rFonts w:hint="eastAsia" w:ascii="仿宋" w:hAnsi="仿宋" w:eastAsia="仿宋"/>
          <w:sz w:val="32"/>
          <w:szCs w:val="32"/>
          <w:lang w:eastAsia="zh-CN"/>
        </w:rPr>
        <w:t>：社会公众出行方便程度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提高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实际完成值100%，自评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得分10分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生态效益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指标：节能减排绿色出行意识提高，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实际完成值100%，自评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得分10分。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可持续影响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指标：基本公共服务有所提高，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实际完成值100%，自评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得分9分。</w:t>
      </w:r>
    </w:p>
    <w:p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4.</w:t>
      </w:r>
      <w:r>
        <w:rPr>
          <w:rFonts w:hint="eastAsia" w:ascii="楷体" w:hAnsi="楷体" w:eastAsia="楷体" w:cs="楷体_GB2312"/>
          <w:bCs/>
          <w:sz w:val="32"/>
          <w:szCs w:val="32"/>
        </w:rPr>
        <w:t>满意度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满意度指标：社会公众满意度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100%，实际完成值100%，得分10分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年度项目主要用于全县普通干线公路及农村公路的建设及养护、道路运输管理、城乡客运管理及超限超载治理等。通过自评，我局的绩效自评为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pStyle w:val="2"/>
        <w:rPr>
          <w:rFonts w:hint="eastAsia" w:eastAsia="仿宋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预算编制不够细化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pStyle w:val="2"/>
        <w:numPr>
          <w:ilvl w:val="0"/>
          <w:numId w:val="0"/>
        </w:numPr>
        <w:ind w:leftChars="200" w:firstLine="640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在今后的</w:t>
      </w:r>
      <w:r>
        <w:rPr>
          <w:rFonts w:hint="eastAsia" w:ascii="仿宋" w:hAnsi="仿宋" w:eastAsia="仿宋" w:cs="仿宋"/>
          <w:sz w:val="32"/>
          <w:szCs w:val="32"/>
        </w:rPr>
        <w:t>预算编制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工作中</w:t>
      </w:r>
      <w:r>
        <w:rPr>
          <w:rFonts w:hint="eastAsia" w:ascii="仿宋" w:hAnsi="仿宋" w:eastAsia="仿宋" w:cs="仿宋"/>
          <w:sz w:val="32"/>
          <w:szCs w:val="32"/>
        </w:rPr>
        <w:t>严格按照县财政预算管理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加强预算编制管理，夯实预算执行基础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李毅杰  韩俊广  王立峰  李建斌  郝思乾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程永军  王立乾  田凯峰  张亚光  高静飞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7B790ED1"/>
    <w:multiLevelType w:val="singleLevel"/>
    <w:tmpl w:val="7B790ED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3BD0E2A"/>
    <w:rsid w:val="046F331E"/>
    <w:rsid w:val="050E7D9A"/>
    <w:rsid w:val="07956271"/>
    <w:rsid w:val="09721397"/>
    <w:rsid w:val="0BB63BED"/>
    <w:rsid w:val="0CB42E31"/>
    <w:rsid w:val="0EB97A43"/>
    <w:rsid w:val="0EBD2122"/>
    <w:rsid w:val="0F214EAE"/>
    <w:rsid w:val="11B71E6A"/>
    <w:rsid w:val="13332DBD"/>
    <w:rsid w:val="167E2C3A"/>
    <w:rsid w:val="1AAF0063"/>
    <w:rsid w:val="1BBA3E08"/>
    <w:rsid w:val="1BE140DE"/>
    <w:rsid w:val="1CB52B94"/>
    <w:rsid w:val="1CFB0D79"/>
    <w:rsid w:val="1E251721"/>
    <w:rsid w:val="248C197D"/>
    <w:rsid w:val="252959AF"/>
    <w:rsid w:val="25952CF3"/>
    <w:rsid w:val="26CF6142"/>
    <w:rsid w:val="277A6671"/>
    <w:rsid w:val="292D35B7"/>
    <w:rsid w:val="29F330EB"/>
    <w:rsid w:val="33EB6CFF"/>
    <w:rsid w:val="35A12947"/>
    <w:rsid w:val="37387040"/>
    <w:rsid w:val="3B625C0A"/>
    <w:rsid w:val="3CEE1963"/>
    <w:rsid w:val="40CC7E04"/>
    <w:rsid w:val="441F71D0"/>
    <w:rsid w:val="443B187D"/>
    <w:rsid w:val="4A811C61"/>
    <w:rsid w:val="4C9C27FE"/>
    <w:rsid w:val="4ECB3C5B"/>
    <w:rsid w:val="4FF9AD8B"/>
    <w:rsid w:val="512260B4"/>
    <w:rsid w:val="52BD6ACB"/>
    <w:rsid w:val="52DC4B00"/>
    <w:rsid w:val="55537534"/>
    <w:rsid w:val="561A74F1"/>
    <w:rsid w:val="58851FFB"/>
    <w:rsid w:val="597244E8"/>
    <w:rsid w:val="5EB71C30"/>
    <w:rsid w:val="63042DE5"/>
    <w:rsid w:val="66AF0CE5"/>
    <w:rsid w:val="6895488F"/>
    <w:rsid w:val="6AC537CF"/>
    <w:rsid w:val="6E5B14A6"/>
    <w:rsid w:val="711B255E"/>
    <w:rsid w:val="72A76167"/>
    <w:rsid w:val="74BC69E4"/>
    <w:rsid w:val="778C4DF1"/>
    <w:rsid w:val="7B231458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0"/>
    <w:pPr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112</TotalTime>
  <ScaleCrop>false</ScaleCrop>
  <LinksUpToDate>false</LinksUpToDate>
  <CharactersWithSpaces>669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Administrator</cp:lastModifiedBy>
  <cp:lastPrinted>2022-01-19T15:24:00Z</cp:lastPrinted>
  <dcterms:modified xsi:type="dcterms:W3CDTF">2025-04-03T01:03:45Z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