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23251F">
      <w:pPr>
        <w:spacing w:line="560" w:lineRule="exact"/>
        <w:jc w:val="center"/>
        <w:rPr>
          <w:rFonts w:ascii="宋体" w:hAnsi="宋体" w:cs="宋体"/>
          <w:b/>
          <w:bCs/>
          <w:sz w:val="44"/>
          <w:szCs w:val="44"/>
        </w:rPr>
      </w:pPr>
      <w:r>
        <w:rPr>
          <w:rFonts w:hint="eastAsia" w:ascii="宋体" w:hAnsi="宋体" w:cs="宋体"/>
          <w:b/>
          <w:bCs/>
          <w:sz w:val="44"/>
          <w:szCs w:val="44"/>
        </w:rPr>
        <w:t>赞皇县医疗保障局部门</w:t>
      </w:r>
    </w:p>
    <w:p w14:paraId="092D70C3">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0853273F">
      <w:pPr>
        <w:spacing w:line="560" w:lineRule="exact"/>
        <w:jc w:val="center"/>
        <w:rPr>
          <w:rFonts w:ascii="华文楷体" w:eastAsia="华文楷体"/>
          <w:sz w:val="32"/>
          <w:szCs w:val="32"/>
        </w:rPr>
      </w:pPr>
    </w:p>
    <w:p w14:paraId="60021EA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贯彻赞皇县财政局《关于落实部门预算绩效管理办法》的通知（赞财预﹝2019﹞11号）文件精神，遵循“科学性、规范性、客观性和公正性”的原则，对赞皇县医疗保障局部门202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1F515656">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2B328233">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3B1D1F80">
      <w:pPr>
        <w:ind w:firstLine="648"/>
        <w:rPr>
          <w:rFonts w:ascii="楷体" w:hAnsi="楷体" w:eastAsia="楷体" w:cs="Times New Roman"/>
          <w:bCs/>
          <w:sz w:val="32"/>
          <w:szCs w:val="32"/>
        </w:rPr>
      </w:pPr>
      <w:r>
        <w:rPr>
          <w:rFonts w:hint="eastAsia" w:ascii="楷体" w:hAnsi="楷体" w:eastAsia="楷体" w:cs="Times New Roman"/>
          <w:bCs/>
          <w:sz w:val="32"/>
          <w:szCs w:val="32"/>
        </w:rPr>
        <w:t>1、部门</w:t>
      </w:r>
      <w:r>
        <w:rPr>
          <w:rFonts w:ascii="楷体" w:hAnsi="楷体" w:eastAsia="楷体" w:cs="Times New Roman"/>
          <w:bCs/>
          <w:sz w:val="32"/>
          <w:szCs w:val="32"/>
        </w:rPr>
        <w:t>职责：</w:t>
      </w:r>
    </w:p>
    <w:p w14:paraId="6B9EFE9F">
      <w:pPr>
        <w:spacing w:line="57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（1）拟订全县城镇职工和城乡居民医疗保险、生育保险、长期护理保险、医疗救助等医疗保障地方性法规、政府规章草案以及政策、制度、规划和标准。</w:t>
      </w:r>
    </w:p>
    <w:p w14:paraId="451AD1C5">
      <w:pPr>
        <w:spacing w:line="57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（2）拟订完善全县医疗保障基金监督管理办法,建立健全医疗保障基金安全防控机制，组织建设网络信息和智能监控平台，推进医疗保障基金支付方式改革，并组织实施。</w:t>
      </w:r>
    </w:p>
    <w:p w14:paraId="2E86CD2A">
      <w:pPr>
        <w:spacing w:line="57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（3）组织制定全县城镇职工、城乡居民参保筹资和保障待遇政策，统筹城乡医疗保障政策标准，建立健全与筹资水平相适应的待遇调整机制。拟订长期护理保险制度方案及政策标准并组织实施。</w:t>
      </w:r>
    </w:p>
    <w:p w14:paraId="46D1B939">
      <w:pPr>
        <w:spacing w:line="57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（4）组织制定全县城乡统一的药品、医用耗材、医疗服务项目、医疗服务设施等医保支付标准，建立动态调整机制，并组织实施。</w:t>
      </w:r>
    </w:p>
    <w:p w14:paraId="775CB48E">
      <w:pPr>
        <w:spacing w:line="57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(5）组织制定全县药品、医用耗材价格和医疗服务项目、医疗服务设施收费等政策。建立医保支付医药服务价格合理确定和动态调整机制，依法管理药品、医用耗材、医疗服务价格政策执行情况。建立完善药品、医用耗材和医疗服务价格监测信息发布制度。</w:t>
      </w:r>
    </w:p>
    <w:p w14:paraId="08C3F3A8">
      <w:pPr>
        <w:spacing w:line="570" w:lineRule="exact"/>
        <w:ind w:firstLine="480" w:firstLineChars="150"/>
        <w:rPr>
          <w:rFonts w:ascii="仿宋_GB2312" w:hAnsi="仿宋_GB2312" w:eastAsia="仿宋_GB2312" w:cs="仿宋_GB2312"/>
          <w:sz w:val="32"/>
          <w:szCs w:val="32"/>
        </w:rPr>
      </w:pPr>
      <w:r>
        <w:rPr>
          <w:rFonts w:hint="eastAsia" w:ascii="仿宋_GB2312" w:hAnsi="仿宋_GB2312" w:eastAsia="仿宋_GB2312" w:cs="仿宋_GB2312"/>
          <w:sz w:val="32"/>
          <w:szCs w:val="32"/>
        </w:rPr>
        <w:t>（6）制定全县药品、医用耗材的招标采购政策并监督实施，指导药品、医用耗材招标采购平台建设。</w:t>
      </w:r>
    </w:p>
    <w:p w14:paraId="2B4CC8D6">
      <w:pPr>
        <w:spacing w:line="57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(7）制定全县定点医药机构协议和支付管理办法并组织实施。建立健全医疗保障信用评价体系和信息披露制度，监督管理定点医药机构的医疗服务行为、医疗费用和医药价格，依法查处医疗保障领域违法违规行为。</w:t>
      </w:r>
    </w:p>
    <w:p w14:paraId="7B34B2C8">
      <w:pPr>
        <w:spacing w:line="57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(8）负责医疗保障经办管理、公共服务体系和信息化建设。组织制定和完善异地就医管理和费用结算政策并组织实施。建立健全医疗保障关系转移接续制度。</w:t>
      </w:r>
    </w:p>
    <w:p w14:paraId="14F47C46">
      <w:pPr>
        <w:autoSpaceDE w:val="0"/>
        <w:autoSpaceDN w:val="0"/>
        <w:adjustRightInd w:val="0"/>
        <w:spacing w:line="570" w:lineRule="exact"/>
        <w:ind w:firstLine="480"/>
        <w:rPr>
          <w:rFonts w:ascii="仿宋_GB2312" w:hAnsi="仿宋_GB2312" w:eastAsia="仿宋_GB2312" w:cs="仿宋_GB2312"/>
          <w:color w:val="000000"/>
          <w:kern w:val="0"/>
          <w:sz w:val="32"/>
          <w:szCs w:val="32"/>
          <w:lang w:val="zh-CN"/>
        </w:rPr>
      </w:pPr>
      <w:r>
        <w:rPr>
          <w:rFonts w:hint="eastAsia" w:ascii="仿宋_GB2312" w:hAnsi="仿宋_GB2312" w:eastAsia="仿宋_GB2312" w:cs="仿宋_GB2312"/>
          <w:color w:val="000000"/>
          <w:kern w:val="0"/>
          <w:sz w:val="32"/>
          <w:szCs w:val="32"/>
          <w:lang w:val="zh-CN"/>
        </w:rPr>
        <w:t>2．机构情况</w:t>
      </w:r>
    </w:p>
    <w:p w14:paraId="06198BC6">
      <w:pPr>
        <w:spacing w:line="57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赞皇县医疗保障局根据工作需要，设有赞皇县医疗保障中心（事业编制），办公室、医疗保障股。</w:t>
      </w:r>
    </w:p>
    <w:p w14:paraId="7193EE55">
      <w:pPr>
        <w:numPr>
          <w:ilvl w:val="0"/>
          <w:numId w:val="1"/>
        </w:numPr>
        <w:spacing w:line="57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人员情况</w:t>
      </w:r>
    </w:p>
    <w:p w14:paraId="269BA89C">
      <w:pPr>
        <w:numPr>
          <w:ilvl w:val="0"/>
          <w:numId w:val="0"/>
        </w:numPr>
        <w:spacing w:line="57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医疗保障局机关行政编制人员</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医疗保障中心</w:t>
      </w:r>
      <w:r>
        <w:rPr>
          <w:rFonts w:hint="eastAsia" w:ascii="仿宋_GB2312" w:hAnsi="仿宋_GB2312" w:eastAsia="仿宋_GB2312" w:cs="仿宋_GB2312"/>
          <w:sz w:val="32"/>
          <w:szCs w:val="32"/>
          <w:lang w:val="en-US" w:eastAsia="zh-CN"/>
        </w:rPr>
        <w:t>编制19人，实有</w:t>
      </w:r>
      <w:r>
        <w:rPr>
          <w:rFonts w:hint="eastAsia" w:ascii="仿宋_GB2312" w:hAnsi="仿宋_GB2312" w:eastAsia="仿宋_GB2312" w:cs="仿宋_GB2312"/>
          <w:sz w:val="32"/>
          <w:szCs w:val="32"/>
        </w:rPr>
        <w:t>人员1</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人，退休人员1人。</w:t>
      </w:r>
    </w:p>
    <w:p w14:paraId="55BFFDF6">
      <w:pPr>
        <w:numPr>
          <w:ilvl w:val="0"/>
          <w:numId w:val="2"/>
        </w:num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部门收支预决算情况</w:t>
      </w:r>
    </w:p>
    <w:p w14:paraId="042215B4">
      <w:pPr>
        <w:spacing w:line="570" w:lineRule="exact"/>
        <w:ind w:firstLine="640"/>
        <w:rPr>
          <w:rFonts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val="zh-CN"/>
        </w:rPr>
        <w:t>202</w:t>
      </w:r>
      <w:r>
        <w:rPr>
          <w:rFonts w:hint="eastAsia" w:ascii="仿宋_GB2312" w:hAnsi="仿宋_GB2312" w:eastAsia="仿宋_GB2312" w:cs="仿宋_GB2312"/>
          <w:color w:val="000000"/>
          <w:kern w:val="0"/>
          <w:sz w:val="32"/>
          <w:szCs w:val="32"/>
          <w:lang w:val="en-US" w:eastAsia="zh-CN"/>
        </w:rPr>
        <w:t>4</w:t>
      </w:r>
      <w:r>
        <w:rPr>
          <w:rFonts w:hint="eastAsia" w:ascii="仿宋_GB2312" w:hAnsi="仿宋_GB2312" w:eastAsia="仿宋_GB2312" w:cs="仿宋_GB2312"/>
          <w:color w:val="000000"/>
          <w:kern w:val="0"/>
          <w:sz w:val="32"/>
          <w:szCs w:val="32"/>
          <w:lang w:val="zh-CN"/>
        </w:rPr>
        <w:t>年度，赞皇县医疗保障</w:t>
      </w:r>
      <w:r>
        <w:rPr>
          <w:rFonts w:hint="eastAsia" w:ascii="仿宋_GB2312" w:hAnsi="仿宋_GB2312" w:eastAsia="仿宋_GB2312" w:cs="仿宋_GB2312"/>
          <w:color w:val="000000"/>
          <w:kern w:val="0"/>
          <w:sz w:val="32"/>
          <w:szCs w:val="32"/>
        </w:rPr>
        <w:t>部门</w:t>
      </w:r>
      <w:r>
        <w:rPr>
          <w:rFonts w:hint="eastAsia" w:ascii="仿宋_GB2312" w:hAnsi="仿宋_GB2312" w:eastAsia="仿宋_GB2312" w:cs="仿宋_GB2312"/>
          <w:color w:val="000000"/>
          <w:kern w:val="0"/>
          <w:sz w:val="32"/>
          <w:szCs w:val="32"/>
          <w:lang w:val="zh-CN"/>
        </w:rPr>
        <w:t>总</w:t>
      </w:r>
      <w:r>
        <w:rPr>
          <w:rFonts w:hint="eastAsia" w:ascii="仿宋_GB2312" w:hAnsi="仿宋_GB2312" w:eastAsia="仿宋_GB2312" w:cs="仿宋_GB2312"/>
          <w:color w:val="000000"/>
          <w:kern w:val="0"/>
          <w:sz w:val="32"/>
          <w:szCs w:val="32"/>
        </w:rPr>
        <w:t>收入</w:t>
      </w:r>
      <w:r>
        <w:rPr>
          <w:rFonts w:hint="eastAsia" w:ascii="仿宋" w:hAnsi="仿宋" w:eastAsia="仿宋" w:cs="仿宋"/>
          <w:color w:val="000000"/>
          <w:kern w:val="0"/>
          <w:sz w:val="32"/>
          <w:szCs w:val="32"/>
          <w:lang w:val="en-US" w:eastAsia="zh-CN"/>
        </w:rPr>
        <w:t>612.83</w:t>
      </w:r>
      <w:r>
        <w:rPr>
          <w:rFonts w:hint="eastAsia" w:ascii="仿宋_GB2312" w:hAnsi="仿宋_GB2312" w:eastAsia="仿宋_GB2312" w:cs="仿宋_GB2312"/>
          <w:sz w:val="32"/>
          <w:szCs w:val="32"/>
          <w:lang w:val="en-US" w:eastAsia="zh-CN"/>
        </w:rPr>
        <w:t>万</w:t>
      </w:r>
      <w:r>
        <w:rPr>
          <w:rFonts w:hint="eastAsia" w:ascii="仿宋_GB2312" w:hAnsi="仿宋_GB2312" w:eastAsia="仿宋_GB2312" w:cs="仿宋_GB2312"/>
          <w:sz w:val="32"/>
          <w:szCs w:val="32"/>
        </w:rPr>
        <w:t>元，</w:t>
      </w:r>
      <w:r>
        <w:rPr>
          <w:rFonts w:hint="eastAsia" w:ascii="仿宋_GB2312" w:hAnsi="仿宋_GB2312" w:eastAsia="仿宋_GB2312" w:cs="仿宋_GB2312"/>
          <w:color w:val="000000"/>
          <w:kern w:val="0"/>
          <w:sz w:val="32"/>
          <w:szCs w:val="32"/>
          <w:lang w:val="zh-CN"/>
        </w:rPr>
        <w:t>其中财政拨款收入</w:t>
      </w:r>
      <w:r>
        <w:rPr>
          <w:rFonts w:hint="eastAsia" w:ascii="仿宋" w:hAnsi="仿宋" w:eastAsia="仿宋" w:cs="仿宋"/>
          <w:color w:val="000000"/>
          <w:kern w:val="0"/>
          <w:sz w:val="32"/>
          <w:szCs w:val="32"/>
          <w:lang w:val="en-US" w:eastAsia="zh-CN"/>
        </w:rPr>
        <w:t>612.83</w:t>
      </w:r>
      <w:r>
        <w:rPr>
          <w:rFonts w:hint="eastAsia" w:ascii="仿宋_GB2312" w:hAnsi="仿宋_GB2312" w:eastAsia="仿宋_GB2312" w:cs="仿宋_GB2312"/>
          <w:sz w:val="32"/>
          <w:szCs w:val="32"/>
          <w:lang w:val="en-US" w:eastAsia="zh-CN"/>
        </w:rPr>
        <w:t>万</w:t>
      </w:r>
      <w:r>
        <w:rPr>
          <w:rFonts w:hint="eastAsia" w:ascii="仿宋_GB2312" w:hAnsi="仿宋_GB2312" w:eastAsia="仿宋_GB2312" w:cs="仿宋_GB2312"/>
          <w:sz w:val="32"/>
          <w:szCs w:val="32"/>
          <w:lang w:val="zh-CN"/>
        </w:rPr>
        <w:t>元。</w:t>
      </w:r>
    </w:p>
    <w:p w14:paraId="1E33FF4B">
      <w:pPr>
        <w:spacing w:line="570" w:lineRule="exact"/>
        <w:ind w:firstLine="640"/>
        <w:rPr>
          <w:rFonts w:ascii="仿宋_GB2312" w:hAnsi="仿宋_GB2312" w:eastAsia="仿宋_GB2312" w:cs="仿宋_GB2312"/>
          <w:color w:val="000000"/>
          <w:kern w:val="0"/>
          <w:sz w:val="32"/>
          <w:szCs w:val="32"/>
          <w:lang w:val="zh-CN"/>
        </w:rPr>
      </w:pPr>
      <w:r>
        <w:rPr>
          <w:rFonts w:hint="eastAsia" w:ascii="仿宋_GB2312" w:hAnsi="仿宋_GB2312" w:eastAsia="仿宋_GB2312" w:cs="仿宋_GB2312"/>
          <w:color w:val="000000"/>
          <w:kern w:val="0"/>
          <w:sz w:val="32"/>
          <w:szCs w:val="32"/>
          <w:lang w:val="zh-CN"/>
        </w:rPr>
        <w:t>赞皇县医疗保障局总支出</w:t>
      </w:r>
      <w:r>
        <w:rPr>
          <w:rFonts w:hint="eastAsia" w:ascii="仿宋" w:hAnsi="仿宋" w:eastAsia="仿宋" w:cs="仿宋"/>
          <w:color w:val="000000"/>
          <w:kern w:val="0"/>
          <w:sz w:val="32"/>
          <w:szCs w:val="32"/>
          <w:lang w:val="en-US" w:eastAsia="zh-CN"/>
        </w:rPr>
        <w:t>377.01</w:t>
      </w:r>
      <w:r>
        <w:rPr>
          <w:rFonts w:hint="eastAsia" w:ascii="仿宋_GB2312" w:hAnsi="仿宋_GB2312" w:eastAsia="仿宋_GB2312" w:cs="仿宋_GB2312"/>
          <w:sz w:val="32"/>
          <w:szCs w:val="32"/>
          <w:lang w:val="en-US" w:eastAsia="zh-CN"/>
        </w:rPr>
        <w:t>万</w:t>
      </w:r>
      <w:r>
        <w:rPr>
          <w:rFonts w:hint="eastAsia" w:ascii="仿宋_GB2312" w:hAnsi="仿宋_GB2312" w:eastAsia="仿宋_GB2312" w:cs="仿宋_GB2312"/>
          <w:color w:val="000000"/>
          <w:kern w:val="0"/>
          <w:sz w:val="32"/>
          <w:szCs w:val="32"/>
          <w:lang w:val="zh-CN"/>
        </w:rPr>
        <w:t>元，其中：</w:t>
      </w:r>
      <w:r>
        <w:rPr>
          <w:rFonts w:hint="eastAsia" w:ascii="仿宋_GB2312" w:hAnsi="仿宋_GB2312" w:eastAsia="仿宋_GB2312" w:cs="仿宋_GB2312"/>
          <w:kern w:val="0"/>
          <w:sz w:val="32"/>
          <w:szCs w:val="32"/>
        </w:rPr>
        <w:t>基本支出</w:t>
      </w:r>
      <w:r>
        <w:rPr>
          <w:rFonts w:hint="eastAsia" w:ascii="仿宋" w:hAnsi="仿宋" w:eastAsia="仿宋" w:cs="仿宋"/>
          <w:color w:val="000000"/>
          <w:kern w:val="0"/>
          <w:sz w:val="32"/>
          <w:szCs w:val="32"/>
          <w:lang w:val="en-US" w:eastAsia="zh-CN"/>
        </w:rPr>
        <w:t>159.49</w:t>
      </w:r>
      <w:r>
        <w:rPr>
          <w:rFonts w:hint="eastAsia" w:ascii="仿宋_GB2312" w:hAnsi="仿宋_GB2312" w:eastAsia="仿宋_GB2312" w:cs="仿宋_GB2312"/>
          <w:sz w:val="32"/>
          <w:szCs w:val="32"/>
          <w:lang w:val="en-US" w:eastAsia="zh-CN"/>
        </w:rPr>
        <w:t>万</w:t>
      </w:r>
      <w:r>
        <w:rPr>
          <w:rFonts w:hint="eastAsia" w:ascii="仿宋_GB2312" w:hAnsi="仿宋_GB2312" w:eastAsia="仿宋_GB2312" w:cs="仿宋_GB2312"/>
          <w:color w:val="000000"/>
          <w:kern w:val="0"/>
          <w:sz w:val="32"/>
          <w:szCs w:val="32"/>
          <w:lang w:val="zh-CN"/>
        </w:rPr>
        <w:t>元（人员经费支出</w:t>
      </w:r>
      <w:r>
        <w:rPr>
          <w:rFonts w:hint="eastAsia" w:ascii="仿宋" w:hAnsi="仿宋" w:eastAsia="仿宋" w:cs="仿宋"/>
          <w:kern w:val="0"/>
          <w:sz w:val="32"/>
          <w:szCs w:val="32"/>
          <w:lang w:val="en-US" w:eastAsia="zh-CN"/>
        </w:rPr>
        <w:t>96.12</w:t>
      </w:r>
      <w:r>
        <w:rPr>
          <w:rFonts w:hint="eastAsia" w:ascii="仿宋_GB2312" w:hAnsi="仿宋_GB2312" w:eastAsia="仿宋_GB2312" w:cs="仿宋_GB2312"/>
          <w:sz w:val="32"/>
          <w:szCs w:val="32"/>
          <w:lang w:val="en-US" w:eastAsia="zh-CN"/>
        </w:rPr>
        <w:t>万</w:t>
      </w:r>
      <w:r>
        <w:rPr>
          <w:rFonts w:hint="eastAsia" w:ascii="仿宋_GB2312" w:hAnsi="仿宋_GB2312" w:eastAsia="仿宋_GB2312" w:cs="仿宋_GB2312"/>
          <w:kern w:val="0"/>
          <w:sz w:val="32"/>
          <w:szCs w:val="32"/>
        </w:rPr>
        <w:t>元，公用经费</w:t>
      </w:r>
      <w:r>
        <w:rPr>
          <w:rFonts w:hint="eastAsia" w:ascii="仿宋_GB2312" w:hAnsi="仿宋_GB2312" w:eastAsia="仿宋_GB2312" w:cs="仿宋_GB2312"/>
          <w:color w:val="000000"/>
          <w:kern w:val="0"/>
          <w:sz w:val="32"/>
          <w:szCs w:val="32"/>
          <w:lang w:val="zh-CN"/>
        </w:rPr>
        <w:t>支出</w:t>
      </w:r>
      <w:r>
        <w:rPr>
          <w:rFonts w:hint="eastAsia" w:ascii="仿宋" w:hAnsi="仿宋" w:eastAsia="仿宋" w:cs="仿宋"/>
          <w:kern w:val="0"/>
          <w:sz w:val="32"/>
          <w:szCs w:val="32"/>
          <w:lang w:val="en-US" w:eastAsia="zh-CN"/>
        </w:rPr>
        <w:t>63.37</w:t>
      </w:r>
      <w:r>
        <w:rPr>
          <w:rFonts w:hint="eastAsia" w:ascii="仿宋_GB2312" w:hAnsi="仿宋_GB2312" w:eastAsia="仿宋_GB2312" w:cs="仿宋_GB2312"/>
          <w:sz w:val="32"/>
          <w:szCs w:val="32"/>
          <w:lang w:val="en-US" w:eastAsia="zh-CN"/>
        </w:rPr>
        <w:t>万</w:t>
      </w:r>
      <w:r>
        <w:rPr>
          <w:rFonts w:hint="eastAsia" w:ascii="仿宋_GB2312" w:hAnsi="仿宋_GB2312" w:eastAsia="仿宋_GB2312" w:cs="仿宋_GB2312"/>
          <w:kern w:val="0"/>
          <w:sz w:val="32"/>
          <w:szCs w:val="32"/>
        </w:rPr>
        <w:t>元。），项目支出</w:t>
      </w:r>
      <w:r>
        <w:rPr>
          <w:rFonts w:hint="eastAsia" w:ascii="仿宋" w:hAnsi="仿宋" w:eastAsia="仿宋" w:cs="仿宋"/>
          <w:kern w:val="0"/>
          <w:sz w:val="32"/>
          <w:szCs w:val="32"/>
          <w:lang w:val="en-US" w:eastAsia="zh-CN"/>
        </w:rPr>
        <w:t>217.52</w:t>
      </w:r>
      <w:r>
        <w:rPr>
          <w:rFonts w:hint="eastAsia" w:ascii="仿宋_GB2312" w:hAnsi="仿宋_GB2312" w:eastAsia="仿宋_GB2312" w:cs="仿宋_GB2312"/>
          <w:color w:val="000000"/>
          <w:kern w:val="0"/>
          <w:sz w:val="32"/>
          <w:szCs w:val="32"/>
          <w:lang w:val="zh-CN"/>
        </w:rPr>
        <w:t>元。</w:t>
      </w:r>
    </w:p>
    <w:p w14:paraId="5D785238">
      <w:pPr>
        <w:autoSpaceDE w:val="0"/>
        <w:autoSpaceDN w:val="0"/>
        <w:adjustRightInd w:val="0"/>
        <w:spacing w:line="570" w:lineRule="exact"/>
        <w:ind w:firstLine="640" w:firstLineChars="200"/>
        <w:rPr>
          <w:rFonts w:ascii="仿宋_GB2312" w:hAnsi="仿宋_GB2312" w:eastAsia="仿宋_GB2312" w:cs="仿宋_GB2312"/>
          <w:color w:val="000000"/>
          <w:kern w:val="0"/>
          <w:sz w:val="32"/>
          <w:szCs w:val="32"/>
          <w:lang w:val="zh-CN"/>
        </w:rPr>
      </w:pPr>
      <w:r>
        <w:rPr>
          <w:rFonts w:hint="eastAsia" w:ascii="仿宋_GB2312" w:hAnsi="仿宋_GB2312" w:eastAsia="仿宋_GB2312" w:cs="仿宋_GB2312"/>
          <w:color w:val="000000"/>
          <w:kern w:val="0"/>
          <w:sz w:val="32"/>
          <w:szCs w:val="32"/>
          <w:lang w:val="zh-CN"/>
        </w:rPr>
        <w:t>赞皇县医疗保障中心总支出</w:t>
      </w:r>
      <w:r>
        <w:rPr>
          <w:rFonts w:hint="eastAsia" w:ascii="仿宋" w:hAnsi="仿宋" w:eastAsia="仿宋" w:cs="仿宋"/>
          <w:color w:val="000000"/>
          <w:kern w:val="0"/>
          <w:sz w:val="32"/>
          <w:szCs w:val="32"/>
          <w:lang w:val="en-US" w:eastAsia="zh-CN"/>
        </w:rPr>
        <w:t>235.82</w:t>
      </w:r>
      <w:r>
        <w:rPr>
          <w:rFonts w:hint="eastAsia" w:ascii="仿宋_GB2312" w:hAnsi="仿宋_GB2312" w:eastAsia="仿宋_GB2312" w:cs="仿宋_GB2312"/>
          <w:sz w:val="32"/>
          <w:szCs w:val="32"/>
          <w:lang w:val="en-US" w:eastAsia="zh-CN"/>
        </w:rPr>
        <w:t>万</w:t>
      </w:r>
      <w:r>
        <w:rPr>
          <w:rFonts w:hint="eastAsia" w:ascii="仿宋_GB2312" w:hAnsi="仿宋_GB2312" w:eastAsia="仿宋_GB2312" w:cs="仿宋_GB2312"/>
          <w:color w:val="000000"/>
          <w:kern w:val="0"/>
          <w:sz w:val="32"/>
          <w:szCs w:val="32"/>
          <w:lang w:val="zh-CN"/>
        </w:rPr>
        <w:t>元，其中：</w:t>
      </w:r>
      <w:r>
        <w:rPr>
          <w:rFonts w:hint="eastAsia" w:ascii="仿宋_GB2312" w:hAnsi="仿宋_GB2312" w:eastAsia="仿宋_GB2312" w:cs="仿宋_GB2312"/>
          <w:kern w:val="0"/>
          <w:sz w:val="32"/>
          <w:szCs w:val="32"/>
        </w:rPr>
        <w:t>基本支出</w:t>
      </w:r>
      <w:r>
        <w:rPr>
          <w:rFonts w:hint="eastAsia" w:ascii="仿宋" w:hAnsi="仿宋" w:eastAsia="仿宋" w:cs="仿宋"/>
          <w:color w:val="000000"/>
          <w:kern w:val="0"/>
          <w:sz w:val="32"/>
          <w:szCs w:val="32"/>
          <w:lang w:val="en-US" w:eastAsia="zh-CN"/>
        </w:rPr>
        <w:t>232.82</w:t>
      </w:r>
      <w:r>
        <w:rPr>
          <w:rFonts w:hint="eastAsia" w:ascii="仿宋_GB2312" w:hAnsi="仿宋_GB2312" w:eastAsia="仿宋_GB2312" w:cs="仿宋_GB2312"/>
          <w:sz w:val="32"/>
          <w:szCs w:val="32"/>
          <w:lang w:val="en-US" w:eastAsia="zh-CN"/>
        </w:rPr>
        <w:t>万</w:t>
      </w:r>
      <w:r>
        <w:rPr>
          <w:rFonts w:hint="eastAsia" w:ascii="仿宋_GB2312" w:hAnsi="仿宋_GB2312" w:eastAsia="仿宋_GB2312" w:cs="仿宋_GB2312"/>
          <w:color w:val="000000"/>
          <w:kern w:val="0"/>
          <w:sz w:val="32"/>
          <w:szCs w:val="32"/>
          <w:lang w:val="zh-CN"/>
        </w:rPr>
        <w:t>元（人员经费支出</w:t>
      </w:r>
      <w:r>
        <w:rPr>
          <w:rFonts w:hint="eastAsia" w:ascii="仿宋" w:hAnsi="仿宋" w:eastAsia="仿宋" w:cs="仿宋"/>
          <w:kern w:val="0"/>
          <w:sz w:val="32"/>
          <w:szCs w:val="32"/>
          <w:lang w:val="en-US" w:eastAsia="zh-CN"/>
        </w:rPr>
        <w:t>217.89</w:t>
      </w:r>
      <w:r>
        <w:rPr>
          <w:rFonts w:hint="eastAsia" w:ascii="仿宋_GB2312" w:hAnsi="仿宋_GB2312" w:eastAsia="仿宋_GB2312" w:cs="仿宋_GB2312"/>
          <w:sz w:val="32"/>
          <w:szCs w:val="32"/>
          <w:lang w:val="en-US" w:eastAsia="zh-CN"/>
        </w:rPr>
        <w:t>万</w:t>
      </w:r>
      <w:r>
        <w:rPr>
          <w:rFonts w:hint="eastAsia" w:ascii="仿宋_GB2312" w:hAnsi="仿宋_GB2312" w:eastAsia="仿宋_GB2312" w:cs="仿宋_GB2312"/>
          <w:kern w:val="0"/>
          <w:sz w:val="32"/>
          <w:szCs w:val="32"/>
        </w:rPr>
        <w:t>元，公用经费</w:t>
      </w:r>
      <w:r>
        <w:rPr>
          <w:rFonts w:hint="eastAsia" w:ascii="仿宋_GB2312" w:hAnsi="仿宋_GB2312" w:eastAsia="仿宋_GB2312" w:cs="仿宋_GB2312"/>
          <w:color w:val="000000"/>
          <w:kern w:val="0"/>
          <w:sz w:val="32"/>
          <w:szCs w:val="32"/>
          <w:lang w:val="zh-CN"/>
        </w:rPr>
        <w:t>支出</w:t>
      </w:r>
      <w:r>
        <w:rPr>
          <w:rFonts w:hint="eastAsia" w:ascii="仿宋" w:hAnsi="仿宋" w:eastAsia="仿宋" w:cs="仿宋"/>
          <w:kern w:val="0"/>
          <w:sz w:val="32"/>
          <w:szCs w:val="32"/>
          <w:lang w:val="en-US" w:eastAsia="zh-CN"/>
        </w:rPr>
        <w:t>14.93</w:t>
      </w:r>
      <w:r>
        <w:rPr>
          <w:rFonts w:hint="eastAsia" w:ascii="仿宋_GB2312" w:hAnsi="仿宋_GB2312" w:eastAsia="仿宋_GB2312" w:cs="仿宋_GB2312"/>
          <w:sz w:val="32"/>
          <w:szCs w:val="32"/>
          <w:lang w:val="en-US" w:eastAsia="zh-CN"/>
        </w:rPr>
        <w:t>万</w:t>
      </w:r>
      <w:r>
        <w:rPr>
          <w:rFonts w:hint="eastAsia" w:ascii="仿宋_GB2312" w:hAnsi="仿宋_GB2312" w:eastAsia="仿宋_GB2312" w:cs="仿宋_GB2312"/>
          <w:kern w:val="0"/>
          <w:sz w:val="32"/>
          <w:szCs w:val="32"/>
        </w:rPr>
        <w:t>元。），项目支出</w:t>
      </w:r>
      <w:r>
        <w:rPr>
          <w:rFonts w:hint="eastAsia" w:ascii="仿宋_GB2312" w:hAnsi="仿宋_GB2312" w:eastAsia="仿宋_GB2312" w:cs="仿宋_GB2312"/>
          <w:kern w:val="0"/>
          <w:sz w:val="32"/>
          <w:szCs w:val="32"/>
          <w:lang w:val="en-US" w:eastAsia="zh-CN"/>
        </w:rPr>
        <w:t>3</w:t>
      </w:r>
      <w:r>
        <w:rPr>
          <w:rFonts w:hint="eastAsia" w:ascii="仿宋_GB2312" w:hAnsi="仿宋_GB2312" w:eastAsia="仿宋_GB2312" w:cs="仿宋_GB2312"/>
          <w:sz w:val="32"/>
          <w:szCs w:val="32"/>
          <w:lang w:val="en-US" w:eastAsia="zh-CN"/>
        </w:rPr>
        <w:t>万</w:t>
      </w:r>
      <w:r>
        <w:rPr>
          <w:rFonts w:hint="eastAsia" w:ascii="仿宋_GB2312" w:hAnsi="仿宋_GB2312" w:eastAsia="仿宋_GB2312" w:cs="仿宋_GB2312"/>
          <w:color w:val="000000"/>
          <w:kern w:val="0"/>
          <w:sz w:val="32"/>
          <w:szCs w:val="32"/>
          <w:lang w:val="zh-CN"/>
        </w:rPr>
        <w:t>元。</w:t>
      </w:r>
    </w:p>
    <w:p w14:paraId="5E0D45BF">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7404F68A">
      <w:pPr>
        <w:pStyle w:val="16"/>
        <w:spacing w:line="570" w:lineRule="exact"/>
        <w:ind w:firstLine="640" w:firstLineChars="200"/>
        <w:rPr>
          <w:rFonts w:ascii="仿宋_GB2312" w:hAnsi="仿宋_GB2312" w:eastAsia="仿宋_GB2312" w:cs="仿宋_GB2312"/>
          <w:color w:val="auto"/>
          <w:kern w:val="2"/>
          <w:sz w:val="32"/>
          <w:szCs w:val="32"/>
        </w:rPr>
      </w:pPr>
      <w:r>
        <w:rPr>
          <w:rFonts w:hint="eastAsia" w:ascii="仿宋_GB2312" w:hAnsi="仿宋_GB2312" w:eastAsia="仿宋_GB2312" w:cs="仿宋_GB2312"/>
          <w:color w:val="auto"/>
          <w:kern w:val="2"/>
          <w:sz w:val="32"/>
          <w:szCs w:val="32"/>
        </w:rPr>
        <w:t>1.制定绩效评价指标体系。研究建立了部门整体支出、工作活动、预算项目、财政政策绩效评价指标框架体系，为部门整体支出、工作活动 、预算项目和财政政策评价提供了科学规范的指标体系，有效保障了绩效评价工作的顺利开展。</w:t>
      </w:r>
    </w:p>
    <w:p w14:paraId="34AFD657">
      <w:pPr>
        <w:pStyle w:val="16"/>
        <w:spacing w:line="570" w:lineRule="exact"/>
        <w:ind w:firstLine="640" w:firstLineChars="200"/>
        <w:rPr>
          <w:rFonts w:ascii="仿宋_GB2312" w:hAnsi="仿宋_GB2312" w:eastAsia="仿宋_GB2312" w:cs="仿宋_GB2312"/>
          <w:color w:val="auto"/>
          <w:kern w:val="2"/>
          <w:sz w:val="32"/>
          <w:szCs w:val="32"/>
        </w:rPr>
      </w:pPr>
      <w:r>
        <w:rPr>
          <w:rFonts w:hint="eastAsia" w:ascii="仿宋_GB2312" w:hAnsi="仿宋_GB2312" w:eastAsia="仿宋_GB2312" w:cs="仿宋_GB2312"/>
          <w:color w:val="auto"/>
          <w:kern w:val="2"/>
          <w:sz w:val="32"/>
          <w:szCs w:val="32"/>
        </w:rPr>
        <w:t>2.组织开展绩效评价。预算编制会议着重强调做好部门绩效评价工作，绩效审核作为预算编制的必要环节和安排预算重要依据，按规范格式编制部门绩效预算文本，改革涵盖所有预算部门。并且将绩效评价报告反馈被评价部门，并要求部门在限期内对发现的问题进行整改。</w:t>
      </w:r>
    </w:p>
    <w:p w14:paraId="5BCC3C9D">
      <w:pPr>
        <w:ind w:firstLine="640" w:firstLineChars="200"/>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3.产出指标完成情况分析。</w:t>
      </w:r>
    </w:p>
    <w:p w14:paraId="7CB5740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i w:val="0"/>
          <w:iCs w:val="0"/>
          <w:caps w:val="0"/>
          <w:color w:val="000000" w:themeColor="text1"/>
          <w:spacing w:val="0"/>
          <w:sz w:val="32"/>
          <w:szCs w:val="32"/>
          <w:shd w:val="clear" w:fill="FFFFFF"/>
          <w:lang w:val="en-US" w:eastAsia="zh-CN"/>
        </w:rPr>
      </w:pPr>
      <w:r>
        <w:rPr>
          <w:rFonts w:hint="eastAsia" w:ascii="仿宋_GB2312" w:hAnsi="仿宋_GB2312" w:eastAsia="仿宋_GB2312" w:cs="仿宋_GB2312"/>
          <w:i w:val="0"/>
          <w:iCs w:val="0"/>
          <w:caps w:val="0"/>
          <w:color w:val="000000" w:themeColor="text1"/>
          <w:spacing w:val="0"/>
          <w:sz w:val="32"/>
          <w:szCs w:val="32"/>
          <w:shd w:val="clear" w:fill="FFFFFF"/>
        </w:rPr>
        <w:t>2</w:t>
      </w:r>
      <w:r>
        <w:rPr>
          <w:rFonts w:hint="eastAsia" w:ascii="仿宋_GB2312" w:hAnsi="仿宋_GB2312" w:eastAsia="仿宋_GB2312" w:cs="仿宋_GB2312"/>
          <w:i w:val="0"/>
          <w:iCs w:val="0"/>
          <w:caps w:val="0"/>
          <w:color w:val="000000" w:themeColor="text1"/>
          <w:spacing w:val="0"/>
          <w:sz w:val="32"/>
          <w:szCs w:val="32"/>
          <w:shd w:val="clear" w:fill="FFFFFF"/>
          <w:lang w:val="en-US" w:eastAsia="zh-CN"/>
        </w:rPr>
        <w:t>024年度基本医疗保险赞皇县居民医保参保213169人，职工医保参保14129人，参保总人数227298，参保率95.88%。</w:t>
      </w:r>
    </w:p>
    <w:p w14:paraId="4CFDC161">
      <w:pPr>
        <w:ind w:firstLine="640" w:firstLineChars="200"/>
        <w:rPr>
          <w:rFonts w:hint="eastAsia" w:ascii="仿宋_GB2312" w:hAnsi="仿宋_GB2312" w:eastAsia="仿宋_GB2312" w:cs="仿宋_GB2312"/>
          <w:i w:val="0"/>
          <w:iCs w:val="0"/>
          <w:caps w:val="0"/>
          <w:color w:val="000000" w:themeColor="text1"/>
          <w:spacing w:val="0"/>
          <w:sz w:val="32"/>
          <w:szCs w:val="32"/>
          <w:shd w:val="clear" w:fill="FFFFFF"/>
        </w:rPr>
      </w:pPr>
      <w:r>
        <w:rPr>
          <w:rFonts w:hint="eastAsia" w:ascii="仿宋_GB2312" w:hAnsi="仿宋_GB2312" w:eastAsia="仿宋_GB2312" w:cs="仿宋_GB2312"/>
          <w:i w:val="0"/>
          <w:iCs w:val="0"/>
          <w:caps w:val="0"/>
          <w:color w:val="000000" w:themeColor="text1"/>
          <w:spacing w:val="0"/>
          <w:sz w:val="32"/>
          <w:szCs w:val="32"/>
          <w:shd w:val="clear" w:fill="FFFFFF"/>
          <w:lang w:val="en-US" w:eastAsia="zh-CN"/>
        </w:rPr>
        <w:t>优化</w:t>
      </w:r>
      <w:r>
        <w:rPr>
          <w:rFonts w:hint="eastAsia" w:ascii="仿宋_GB2312" w:hAnsi="仿宋_GB2312" w:eastAsia="仿宋_GB2312" w:cs="仿宋_GB2312"/>
          <w:i w:val="0"/>
          <w:iCs w:val="0"/>
          <w:caps w:val="0"/>
          <w:color w:val="000000" w:themeColor="text1"/>
          <w:spacing w:val="0"/>
          <w:sz w:val="32"/>
          <w:szCs w:val="32"/>
          <w:shd w:val="clear" w:fill="FFFFFF"/>
        </w:rPr>
        <w:t>经办服务体系。持续深化“15分钟医保服务圈”,</w:t>
      </w:r>
      <w:r>
        <w:rPr>
          <w:rFonts w:hint="eastAsia" w:ascii="仿宋_GB2312" w:hAnsi="仿宋_GB2312" w:eastAsia="仿宋_GB2312" w:cs="仿宋_GB2312"/>
          <w:color w:val="000000" w:themeColor="text1"/>
          <w:sz w:val="32"/>
          <w:szCs w:val="40"/>
          <w:lang w:val="en-US" w:eastAsia="zh-CN"/>
        </w:rPr>
        <w:t>进一步推进医保服务体系化建设，科学布局全县域医保服务站（点）</w:t>
      </w:r>
      <w:r>
        <w:rPr>
          <w:rStyle w:val="13"/>
          <w:rFonts w:hint="eastAsia" w:ascii="仿宋_GB2312" w:hAnsi="仿宋_GB2312" w:eastAsia="仿宋_GB2312" w:cs="仿宋_GB2312"/>
          <w:b w:val="0"/>
          <w:bCs w:val="0"/>
          <w:i w:val="0"/>
          <w:iCs w:val="0"/>
          <w:caps w:val="0"/>
          <w:color w:val="000000" w:themeColor="text1"/>
          <w:spacing w:val="0"/>
          <w:sz w:val="32"/>
          <w:szCs w:val="32"/>
          <w:lang w:val="en-US" w:eastAsia="zh-CN"/>
        </w:rPr>
        <w:t>231</w:t>
      </w:r>
      <w:r>
        <w:rPr>
          <w:rFonts w:hint="eastAsia" w:ascii="仿宋_GB2312" w:hAnsi="仿宋_GB2312" w:eastAsia="仿宋_GB2312" w:cs="仿宋_GB2312"/>
          <w:color w:val="000000" w:themeColor="text1"/>
          <w:sz w:val="32"/>
          <w:szCs w:val="40"/>
          <w:lang w:val="en-US" w:eastAsia="zh-CN"/>
        </w:rPr>
        <w:t>个。以“医保+”服务模式，延伸医保服务受益面，将参保登记、参保信息查询、变更登记、异地备案等多项高频医保经办服务事项下沉至小站点。充分发挥县、乡（镇）、村（社区）三级医保服务体系效用，将经办机构窗口与小站点服务有效串联，做实做细“15分钟医保便民服务圈”落地工作，形成经办服务网状结构</w:t>
      </w:r>
      <w:r>
        <w:rPr>
          <w:rFonts w:hint="eastAsia" w:ascii="仿宋_GB2312" w:hAnsi="仿宋_GB2312" w:eastAsia="仿宋_GB2312" w:cs="仿宋_GB2312"/>
          <w:i w:val="0"/>
          <w:iCs w:val="0"/>
          <w:caps w:val="0"/>
          <w:color w:val="000000" w:themeColor="text1"/>
          <w:spacing w:val="0"/>
          <w:sz w:val="32"/>
          <w:szCs w:val="32"/>
          <w:shd w:val="clear" w:fill="FFFFFF"/>
        </w:rPr>
        <w:t>。</w:t>
      </w:r>
    </w:p>
    <w:p w14:paraId="47E8D6B4">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0" w:lineRule="exact"/>
        <w:ind w:right="0" w:rightChars="0" w:firstLine="640" w:firstLineChars="200"/>
        <w:jc w:val="left"/>
        <w:textAlignment w:val="auto"/>
        <w:rPr>
          <w:rFonts w:hint="eastAsia" w:ascii="仿宋_GB2312" w:hAnsi="仿宋_GB2312" w:eastAsia="仿宋_GB2312" w:cs="仿宋_GB2312"/>
          <w:i w:val="0"/>
          <w:iCs w:val="0"/>
          <w:caps w:val="0"/>
          <w:color w:val="000000" w:themeColor="text1"/>
          <w:spacing w:val="0"/>
          <w:sz w:val="32"/>
          <w:szCs w:val="32"/>
          <w:shd w:val="clear" w:fill="FFFFFF"/>
        </w:rPr>
      </w:pPr>
      <w:r>
        <w:rPr>
          <w:rFonts w:hint="eastAsia" w:ascii="仿宋_GB2312" w:hAnsi="仿宋_GB2312" w:eastAsia="仿宋_GB2312" w:cs="仿宋_GB2312"/>
          <w:i w:val="0"/>
          <w:iCs w:val="0"/>
          <w:caps w:val="0"/>
          <w:color w:val="000000" w:themeColor="text1"/>
          <w:spacing w:val="0"/>
          <w:sz w:val="32"/>
          <w:szCs w:val="32"/>
          <w:shd w:val="clear" w:fill="FFFFFF"/>
        </w:rPr>
        <w:t>提高医保经办效率。紧紧围绕“让数据多跑路,让群众少跑腿”的目标,</w:t>
      </w:r>
      <w:r>
        <w:rPr>
          <w:rFonts w:hint="eastAsia" w:ascii="仿宋_GB2312" w:hAnsi="仿宋_GB2312" w:eastAsia="仿宋_GB2312" w:cs="仿宋_GB2312"/>
          <w:i w:val="0"/>
          <w:iCs w:val="0"/>
          <w:caps w:val="0"/>
          <w:color w:val="000000" w:themeColor="text1"/>
          <w:spacing w:val="0"/>
          <w:sz w:val="32"/>
          <w:szCs w:val="32"/>
          <w:shd w:val="clear" w:fill="FFFFFF"/>
          <w:lang w:val="en-US" w:eastAsia="zh-CN"/>
        </w:rPr>
        <w:t>大力推进医保信息化、标准化建设，通过</w:t>
      </w:r>
      <w:r>
        <w:rPr>
          <w:rFonts w:hint="eastAsia" w:ascii="仿宋_GB2312" w:hAnsi="仿宋_GB2312" w:eastAsia="仿宋_GB2312" w:cs="仿宋_GB2312"/>
          <w:i w:val="0"/>
          <w:iCs w:val="0"/>
          <w:caps w:val="0"/>
          <w:color w:val="000000" w:themeColor="text1"/>
          <w:spacing w:val="0"/>
          <w:sz w:val="32"/>
          <w:szCs w:val="32"/>
          <w:shd w:val="clear" w:fill="FFFFFF"/>
        </w:rPr>
        <w:t>“网上办”“掌上办”“帮办代办”等办理方式,做到医保服务事项“不见面”办理全覆盖。依托全省统一的医保信息平台,持续拓展医保电子凭证应用场景,</w:t>
      </w:r>
      <w:r>
        <w:rPr>
          <w:rFonts w:hint="eastAsia" w:ascii="仿宋_GB2312" w:hAnsi="仿宋_GB2312" w:eastAsia="仿宋_GB2312" w:cs="仿宋_GB2312"/>
          <w:i w:val="0"/>
          <w:iCs w:val="0"/>
          <w:caps w:val="0"/>
          <w:color w:val="000000" w:themeColor="text1"/>
          <w:spacing w:val="0"/>
          <w:sz w:val="32"/>
          <w:szCs w:val="32"/>
          <w:shd w:val="clear" w:fill="FFFFFF"/>
          <w:lang w:val="en-US" w:eastAsia="zh-CN"/>
        </w:rPr>
        <w:t>部署300余台医保“刷脸”终端实现全覆盖</w:t>
      </w:r>
      <w:r>
        <w:rPr>
          <w:rFonts w:hint="eastAsia" w:ascii="仿宋_GB2312" w:hAnsi="仿宋_GB2312" w:eastAsia="仿宋_GB2312" w:cs="仿宋_GB2312"/>
          <w:i w:val="0"/>
          <w:iCs w:val="0"/>
          <w:caps w:val="0"/>
          <w:color w:val="000000" w:themeColor="text1"/>
          <w:spacing w:val="0"/>
          <w:sz w:val="32"/>
          <w:szCs w:val="32"/>
          <w:shd w:val="clear" w:fill="FFFFFF"/>
        </w:rPr>
        <w:t>,</w:t>
      </w:r>
      <w:r>
        <w:rPr>
          <w:rFonts w:hint="eastAsia" w:ascii="仿宋_GB2312" w:hAnsi="仿宋_GB2312" w:eastAsia="仿宋_GB2312" w:cs="仿宋_GB2312"/>
          <w:color w:val="000000" w:themeColor="text1"/>
          <w:sz w:val="32"/>
          <w:szCs w:val="32"/>
        </w:rPr>
        <w:t>医保码全流程应用</w:t>
      </w:r>
      <w:r>
        <w:rPr>
          <w:rFonts w:hint="eastAsia" w:ascii="仿宋_GB2312" w:hAnsi="仿宋_GB2312" w:eastAsia="仿宋_GB2312" w:cs="仿宋_GB2312"/>
          <w:color w:val="000000" w:themeColor="text1"/>
          <w:sz w:val="32"/>
          <w:szCs w:val="32"/>
          <w:lang w:val="en-US" w:eastAsia="zh-CN"/>
        </w:rPr>
        <w:t>全部完成，</w:t>
      </w:r>
      <w:r>
        <w:rPr>
          <w:rFonts w:hint="eastAsia" w:ascii="仿宋_GB2312" w:hAnsi="仿宋_GB2312" w:eastAsia="仿宋_GB2312" w:cs="仿宋_GB2312"/>
          <w:color w:val="000000" w:themeColor="text1"/>
          <w:sz w:val="32"/>
          <w:szCs w:val="32"/>
        </w:rPr>
        <w:t>医药机构追溯码接入率</w:t>
      </w:r>
      <w:r>
        <w:rPr>
          <w:rFonts w:hint="eastAsia" w:ascii="仿宋_GB2312" w:hAnsi="仿宋_GB2312" w:eastAsia="仿宋_GB2312" w:cs="仿宋_GB2312"/>
          <w:color w:val="000000" w:themeColor="text1"/>
          <w:sz w:val="32"/>
          <w:szCs w:val="32"/>
          <w:lang w:val="en-US" w:eastAsia="zh-CN"/>
        </w:rPr>
        <w:t>100</w:t>
      </w:r>
      <w:r>
        <w:rPr>
          <w:rFonts w:hint="eastAsia" w:ascii="仿宋_GB2312" w:hAnsi="仿宋_GB2312" w:eastAsia="仿宋_GB2312" w:cs="仿宋_GB2312"/>
          <w:color w:val="000000" w:themeColor="text1"/>
          <w:sz w:val="32"/>
          <w:szCs w:val="32"/>
        </w:rPr>
        <w:t>%,</w:t>
      </w:r>
      <w:r>
        <w:rPr>
          <w:rFonts w:hint="eastAsia" w:ascii="仿宋_GB2312" w:hAnsi="仿宋_GB2312" w:eastAsia="仿宋_GB2312" w:cs="仿宋_GB2312"/>
          <w:i w:val="0"/>
          <w:iCs w:val="0"/>
          <w:caps w:val="0"/>
          <w:color w:val="000000" w:themeColor="text1"/>
          <w:spacing w:val="0"/>
          <w:sz w:val="32"/>
          <w:szCs w:val="32"/>
          <w:shd w:val="clear" w:fill="FFFFFF"/>
        </w:rPr>
        <w:t>有效提升了群众看病就医体验。</w:t>
      </w:r>
    </w:p>
    <w:p w14:paraId="5CB5881F">
      <w:pPr>
        <w:ind w:firstLine="640" w:firstLineChars="200"/>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4.效益指标完成情况分析。</w:t>
      </w:r>
    </w:p>
    <w:p w14:paraId="273387CD">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70" w:lineRule="exact"/>
        <w:ind w:right="0" w:rightChars="0" w:firstLine="643" w:firstLineChars="200"/>
        <w:jc w:val="left"/>
        <w:textAlignment w:val="auto"/>
        <w:rPr>
          <w:rFonts w:hint="eastAsia" w:ascii="方正仿宋_GB2312" w:hAnsi="方正仿宋_GB2312" w:eastAsia="方正仿宋_GB2312" w:cs="方正仿宋_GB2312"/>
          <w:b/>
          <w:bCs/>
          <w:kern w:val="2"/>
          <w:sz w:val="32"/>
          <w:szCs w:val="32"/>
          <w:lang w:val="en-US" w:eastAsia="zh-CN" w:bidi="ar-SA"/>
        </w:rPr>
      </w:pPr>
      <w:r>
        <w:rPr>
          <w:rFonts w:hint="eastAsia" w:ascii="方正仿宋_GB2312" w:hAnsi="方正仿宋_GB2312" w:eastAsia="方正仿宋_GB2312" w:cs="方正仿宋_GB2312"/>
          <w:b/>
          <w:bCs/>
          <w:kern w:val="2"/>
          <w:sz w:val="32"/>
          <w:szCs w:val="32"/>
          <w:lang w:val="en-US" w:eastAsia="zh-CN" w:bidi="ar-SA"/>
        </w:rPr>
        <w:t>医疗改革持续纵深推进，促进三医“共发展”</w:t>
      </w:r>
    </w:p>
    <w:p w14:paraId="6E3982FF">
      <w:pPr>
        <w:ind w:firstLine="643" w:firstLineChars="200"/>
        <w:rPr>
          <w:rFonts w:hint="eastAsia" w:ascii="方正仿宋_GB2312" w:hAnsi="方正仿宋_GB2312" w:eastAsia="方正仿宋_GB2312" w:cs="方正仿宋_GB2312"/>
          <w:kern w:val="2"/>
          <w:sz w:val="32"/>
          <w:szCs w:val="32"/>
          <w:lang w:val="en-US" w:eastAsia="zh-CN" w:bidi="ar-SA"/>
        </w:rPr>
      </w:pPr>
      <w:r>
        <w:rPr>
          <w:rFonts w:hint="eastAsia" w:ascii="方正仿宋_GB2312" w:hAnsi="方正仿宋_GB2312" w:eastAsia="方正仿宋_GB2312" w:cs="方正仿宋_GB2312"/>
          <w:b/>
          <w:bCs/>
          <w:kern w:val="2"/>
          <w:sz w:val="32"/>
          <w:szCs w:val="32"/>
          <w:lang w:val="en-US" w:eastAsia="zh-CN" w:bidi="ar-SA"/>
        </w:rPr>
        <w:t>一是</w:t>
      </w:r>
      <w:r>
        <w:rPr>
          <w:rFonts w:hint="eastAsia" w:ascii="方正仿宋_GB2312" w:hAnsi="方正仿宋_GB2312" w:eastAsia="方正仿宋_GB2312" w:cs="方正仿宋_GB2312"/>
          <w:kern w:val="2"/>
          <w:sz w:val="32"/>
          <w:szCs w:val="32"/>
          <w:lang w:val="en-US" w:eastAsia="zh-CN" w:bidi="ar-SA"/>
        </w:rPr>
        <w:t xml:space="preserve">按病种分值付费。对县内符合条件的16家住院定点医疗机构实行按病种分值付费，按照“预算管理，总额控制，病种赋值，月度预拨，年度清算”原则，居民医保每月预拨当月实际发生医保费用的77%，职工医保每月预拨当月实际发生医保费用的95%，促进优质医疗资源下沉，助力分级诊疗，实现三方共赢。         </w:t>
      </w:r>
    </w:p>
    <w:p w14:paraId="6DAD3BB1">
      <w:pPr>
        <w:ind w:firstLine="643" w:firstLineChars="200"/>
        <w:rPr>
          <w:rFonts w:hint="eastAsia" w:ascii="仿宋_GB2312" w:hAnsi="仿宋_GB2312" w:eastAsia="仿宋_GB2312" w:cs="仿宋_GB2312"/>
          <w:b w:val="0"/>
          <w:bCs w:val="0"/>
          <w:i w:val="0"/>
          <w:iCs w:val="0"/>
          <w:caps w:val="0"/>
          <w:color w:val="000000" w:themeColor="text1"/>
          <w:spacing w:val="0"/>
          <w:sz w:val="32"/>
          <w:szCs w:val="32"/>
          <w:shd w:val="clear" w:fill="FFFFFF"/>
        </w:rPr>
      </w:pPr>
      <w:r>
        <w:rPr>
          <w:rFonts w:hint="eastAsia" w:ascii="方正仿宋_GB2312" w:hAnsi="方正仿宋_GB2312" w:eastAsia="方正仿宋_GB2312" w:cs="方正仿宋_GB2312"/>
          <w:b/>
          <w:bCs/>
          <w:kern w:val="2"/>
          <w:sz w:val="32"/>
          <w:szCs w:val="32"/>
          <w:lang w:val="en-US" w:eastAsia="zh-CN" w:bidi="ar-SA"/>
        </w:rPr>
        <w:t>二是</w:t>
      </w:r>
      <w:r>
        <w:rPr>
          <w:rFonts w:hint="eastAsia" w:ascii="方正仿宋_GB2312" w:hAnsi="方正仿宋_GB2312" w:eastAsia="方正仿宋_GB2312" w:cs="方正仿宋_GB2312"/>
          <w:kern w:val="2"/>
          <w:sz w:val="32"/>
          <w:szCs w:val="32"/>
          <w:lang w:val="en-US" w:eastAsia="zh-CN" w:bidi="ar-SA"/>
        </w:rPr>
        <w:t>全力推进药品耗材集中带量采购使用改革。组织医疗机构对国家集采、省级联盟集</w:t>
      </w:r>
      <w:r>
        <w:rPr>
          <w:rFonts w:hint="eastAsia" w:ascii="仿宋_GB2312" w:hAnsi="仿宋_GB2312" w:eastAsia="仿宋_GB2312" w:cs="仿宋_GB2312"/>
          <w:b w:val="0"/>
          <w:bCs w:val="0"/>
          <w:i w:val="0"/>
          <w:iCs w:val="0"/>
          <w:caps w:val="0"/>
          <w:color w:val="000000" w:themeColor="text1"/>
          <w:spacing w:val="0"/>
          <w:sz w:val="32"/>
          <w:szCs w:val="32"/>
          <w:shd w:val="clear" w:fill="FFFFFF"/>
        </w:rPr>
        <w:t>采、市级联盟招采</w:t>
      </w:r>
      <w:r>
        <w:rPr>
          <w:rFonts w:hint="eastAsia" w:ascii="仿宋_GB2312" w:hAnsi="仿宋_GB2312" w:eastAsia="仿宋_GB2312" w:cs="仿宋_GB2312"/>
          <w:b w:val="0"/>
          <w:bCs w:val="0"/>
          <w:i w:val="0"/>
          <w:iCs w:val="0"/>
          <w:caps w:val="0"/>
          <w:color w:val="000000" w:themeColor="text1"/>
          <w:spacing w:val="0"/>
          <w:sz w:val="32"/>
          <w:szCs w:val="32"/>
          <w:shd w:val="clear" w:fill="FFFFFF"/>
          <w:lang w:val="en-US" w:eastAsia="zh-CN"/>
        </w:rPr>
        <w:t>各</w:t>
      </w:r>
      <w:r>
        <w:rPr>
          <w:rFonts w:hint="eastAsia" w:ascii="仿宋_GB2312" w:hAnsi="仿宋_GB2312" w:eastAsia="仿宋_GB2312" w:cs="仿宋_GB2312"/>
          <w:b w:val="0"/>
          <w:bCs w:val="0"/>
          <w:i w:val="0"/>
          <w:iCs w:val="0"/>
          <w:caps w:val="0"/>
          <w:color w:val="000000" w:themeColor="text1"/>
          <w:spacing w:val="0"/>
          <w:sz w:val="32"/>
          <w:szCs w:val="32"/>
          <w:shd w:val="clear" w:fill="FFFFFF"/>
        </w:rPr>
        <w:t>批次</w:t>
      </w:r>
      <w:r>
        <w:rPr>
          <w:rFonts w:hint="eastAsia" w:ascii="仿宋_GB2312" w:hAnsi="仿宋_GB2312" w:eastAsia="仿宋_GB2312" w:cs="仿宋_GB2312"/>
          <w:b w:val="0"/>
          <w:bCs w:val="0"/>
          <w:i w:val="0"/>
          <w:iCs w:val="0"/>
          <w:caps w:val="0"/>
          <w:color w:val="000000" w:themeColor="text1"/>
          <w:spacing w:val="0"/>
          <w:sz w:val="32"/>
          <w:szCs w:val="32"/>
          <w:shd w:val="clear" w:fill="FFFFFF"/>
          <w:lang w:val="en-US" w:eastAsia="zh-CN"/>
        </w:rPr>
        <w:t>落实到位</w:t>
      </w:r>
      <w:r>
        <w:rPr>
          <w:rFonts w:hint="eastAsia" w:ascii="仿宋_GB2312" w:hAnsi="仿宋_GB2312" w:eastAsia="仿宋_GB2312" w:cs="仿宋_GB2312"/>
          <w:b w:val="0"/>
          <w:bCs w:val="0"/>
          <w:i w:val="0"/>
          <w:iCs w:val="0"/>
          <w:caps w:val="0"/>
          <w:color w:val="000000" w:themeColor="text1"/>
          <w:spacing w:val="0"/>
          <w:sz w:val="32"/>
          <w:szCs w:val="32"/>
          <w:shd w:val="clear" w:fill="FFFFFF"/>
        </w:rPr>
        <w:t>，</w:t>
      </w:r>
      <w:r>
        <w:rPr>
          <w:rFonts w:hint="eastAsia" w:ascii="仿宋_GB2312" w:hAnsi="仿宋_GB2312" w:eastAsia="仿宋_GB2312" w:cs="仿宋_GB2312"/>
          <w:b w:val="0"/>
          <w:bCs w:val="0"/>
          <w:i w:val="0"/>
          <w:iCs w:val="0"/>
          <w:caps w:val="0"/>
          <w:color w:val="000000" w:themeColor="text1"/>
          <w:spacing w:val="0"/>
          <w:sz w:val="32"/>
          <w:szCs w:val="32"/>
          <w:shd w:val="clear" w:fill="FFFFFF"/>
          <w:lang w:val="en-US" w:eastAsia="zh-CN"/>
        </w:rPr>
        <w:t>对我县相关公立医疗机构集采品种协议签订情况及完成进度进行督导，对采购高价药和采非中选药品不采中选药品进行每日监测。今年以来共</w:t>
      </w:r>
      <w:r>
        <w:rPr>
          <w:rFonts w:hint="eastAsia" w:ascii="仿宋_GB2312" w:hAnsi="仿宋_GB2312" w:eastAsia="仿宋_GB2312" w:cs="仿宋_GB2312"/>
          <w:b w:val="0"/>
          <w:bCs w:val="0"/>
          <w:i w:val="0"/>
          <w:iCs w:val="0"/>
          <w:caps w:val="0"/>
          <w:color w:val="000000" w:themeColor="text1"/>
          <w:spacing w:val="0"/>
          <w:sz w:val="32"/>
          <w:szCs w:val="32"/>
          <w:shd w:val="clear" w:fill="FFFFFF"/>
        </w:rPr>
        <w:t>预付采购基金1108.8万元，拨付公立医院集采结余留用资金3</w:t>
      </w:r>
      <w:r>
        <w:rPr>
          <w:rFonts w:hint="eastAsia" w:ascii="仿宋_GB2312" w:hAnsi="仿宋_GB2312" w:eastAsia="仿宋_GB2312" w:cs="仿宋_GB2312"/>
          <w:b w:val="0"/>
          <w:bCs w:val="0"/>
          <w:i w:val="0"/>
          <w:iCs w:val="0"/>
          <w:caps w:val="0"/>
          <w:color w:val="000000" w:themeColor="text1"/>
          <w:spacing w:val="0"/>
          <w:sz w:val="32"/>
          <w:szCs w:val="32"/>
          <w:shd w:val="clear" w:fill="FFFFFF"/>
          <w:lang w:val="en-US" w:eastAsia="zh-CN"/>
        </w:rPr>
        <w:t>04.8</w:t>
      </w:r>
      <w:r>
        <w:rPr>
          <w:rFonts w:hint="eastAsia" w:ascii="仿宋_GB2312" w:hAnsi="仿宋_GB2312" w:eastAsia="仿宋_GB2312" w:cs="仿宋_GB2312"/>
          <w:b w:val="0"/>
          <w:bCs w:val="0"/>
          <w:i w:val="0"/>
          <w:iCs w:val="0"/>
          <w:caps w:val="0"/>
          <w:color w:val="000000" w:themeColor="text1"/>
          <w:spacing w:val="0"/>
          <w:sz w:val="32"/>
          <w:szCs w:val="32"/>
          <w:shd w:val="clear" w:fill="FFFFFF"/>
        </w:rPr>
        <w:t>万元。</w:t>
      </w:r>
    </w:p>
    <w:p w14:paraId="1CAA4AC1">
      <w:pPr>
        <w:ind w:firstLine="643" w:firstLineChars="200"/>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b/>
          <w:bCs/>
          <w:i w:val="0"/>
          <w:iCs w:val="0"/>
          <w:caps w:val="0"/>
          <w:color w:val="000000" w:themeColor="text1"/>
          <w:spacing w:val="0"/>
          <w:sz w:val="32"/>
          <w:szCs w:val="32"/>
          <w:shd w:val="clear" w:fill="FFFFFF"/>
          <w:lang w:val="en-US" w:eastAsia="zh-CN"/>
        </w:rPr>
        <w:t>三是</w:t>
      </w:r>
      <w:r>
        <w:rPr>
          <w:rFonts w:hint="eastAsia" w:ascii="仿宋_GB2312" w:hAnsi="仿宋_GB2312" w:eastAsia="仿宋_GB2312" w:cs="仿宋_GB2312"/>
          <w:b w:val="0"/>
          <w:bCs w:val="0"/>
          <w:i w:val="0"/>
          <w:iCs w:val="0"/>
          <w:caps w:val="0"/>
          <w:color w:val="000000" w:themeColor="text1"/>
          <w:spacing w:val="0"/>
          <w:sz w:val="32"/>
          <w:szCs w:val="32"/>
          <w:shd w:val="clear" w:fill="FFFFFF"/>
          <w:lang w:val="en-US" w:eastAsia="zh-CN"/>
        </w:rPr>
        <w:t>研究制定了</w:t>
      </w:r>
      <w:r>
        <w:rPr>
          <w:rFonts w:hint="eastAsia" w:ascii="仿宋_GB2312" w:hAnsi="仿宋_GB2312" w:eastAsia="仿宋_GB2312" w:cs="仿宋_GB2312"/>
          <w:i w:val="0"/>
          <w:caps w:val="0"/>
          <w:color w:val="000000" w:themeColor="text1"/>
          <w:spacing w:val="0"/>
          <w:sz w:val="32"/>
          <w:szCs w:val="32"/>
          <w:shd w:val="clear" w:fill="FFFFFF"/>
        </w:rPr>
        <w:t>《</w:t>
      </w:r>
      <w:r>
        <w:rPr>
          <w:rFonts w:hint="eastAsia" w:ascii="仿宋_GB2312" w:hAnsi="仿宋_GB2312" w:eastAsia="仿宋_GB2312" w:cs="仿宋_GB2312"/>
          <w:i w:val="0"/>
          <w:caps w:val="0"/>
          <w:color w:val="000000" w:themeColor="text1"/>
          <w:spacing w:val="0"/>
          <w:sz w:val="32"/>
          <w:szCs w:val="32"/>
          <w:shd w:val="clear" w:fill="FFFFFF"/>
          <w:lang w:val="en-US" w:eastAsia="zh-CN"/>
        </w:rPr>
        <w:t>赞皇县医疗保障定点医药服务资源配置规划</w:t>
      </w:r>
      <w:r>
        <w:rPr>
          <w:rFonts w:hint="eastAsia" w:ascii="仿宋_GB2312" w:hAnsi="仿宋_GB2312" w:eastAsia="仿宋_GB2312" w:cs="仿宋_GB2312"/>
          <w:i w:val="0"/>
          <w:caps w:val="0"/>
          <w:color w:val="000000" w:themeColor="text1"/>
          <w:spacing w:val="0"/>
          <w:sz w:val="32"/>
          <w:szCs w:val="32"/>
          <w:shd w:val="clear" w:fill="FFFFFF"/>
        </w:rPr>
        <w:t>（202</w:t>
      </w:r>
      <w:r>
        <w:rPr>
          <w:rFonts w:hint="eastAsia" w:ascii="仿宋_GB2312" w:hAnsi="仿宋_GB2312" w:eastAsia="仿宋_GB2312" w:cs="仿宋_GB2312"/>
          <w:i w:val="0"/>
          <w:caps w:val="0"/>
          <w:color w:val="000000" w:themeColor="text1"/>
          <w:spacing w:val="0"/>
          <w:sz w:val="32"/>
          <w:szCs w:val="32"/>
          <w:shd w:val="clear" w:fill="FFFFFF"/>
          <w:lang w:val="en-US" w:eastAsia="zh-CN"/>
        </w:rPr>
        <w:t>4</w:t>
      </w:r>
      <w:r>
        <w:rPr>
          <w:rFonts w:hint="eastAsia" w:ascii="仿宋_GB2312" w:hAnsi="仿宋_GB2312" w:eastAsia="仿宋_GB2312" w:cs="仿宋_GB2312"/>
          <w:i w:val="0"/>
          <w:caps w:val="0"/>
          <w:color w:val="000000" w:themeColor="text1"/>
          <w:spacing w:val="0"/>
          <w:sz w:val="32"/>
          <w:szCs w:val="32"/>
          <w:shd w:val="clear" w:fill="FFFFFF"/>
        </w:rPr>
        <w:t>-2025）》</w:t>
      </w:r>
      <w:r>
        <w:rPr>
          <w:rFonts w:hint="eastAsia" w:ascii="仿宋_GB2312" w:hAnsi="仿宋_GB2312" w:eastAsia="仿宋_GB2312" w:cs="仿宋_GB2312"/>
          <w:i w:val="0"/>
          <w:caps w:val="0"/>
          <w:color w:val="000000" w:themeColor="text1"/>
          <w:spacing w:val="0"/>
          <w:sz w:val="32"/>
          <w:szCs w:val="32"/>
          <w:shd w:val="clear" w:fill="FFFFFF"/>
          <w:lang w:eastAsia="zh-CN"/>
        </w:rPr>
        <w:t>，</w:t>
      </w:r>
      <w:r>
        <w:rPr>
          <w:rFonts w:hint="eastAsia" w:ascii="仿宋_GB2312" w:hAnsi="仿宋_GB2312" w:eastAsia="仿宋_GB2312" w:cs="仿宋_GB2312"/>
          <w:i w:val="0"/>
          <w:caps w:val="0"/>
          <w:color w:val="000000" w:themeColor="text1"/>
          <w:spacing w:val="0"/>
          <w:sz w:val="32"/>
          <w:szCs w:val="32"/>
          <w:shd w:val="clear" w:fill="FFFFFF"/>
          <w:lang w:val="en-US" w:eastAsia="zh-CN"/>
        </w:rPr>
        <w:t>针对性解决</w:t>
      </w:r>
      <w:r>
        <w:rPr>
          <w:rFonts w:hint="eastAsia" w:ascii="仿宋_GB2312" w:hAnsi="仿宋_GB2312" w:eastAsia="仿宋_GB2312" w:cs="仿宋_GB2312"/>
          <w:i w:val="0"/>
          <w:caps w:val="0"/>
          <w:color w:val="000000" w:themeColor="text1"/>
          <w:spacing w:val="0"/>
          <w:sz w:val="32"/>
          <w:szCs w:val="32"/>
          <w:shd w:val="clear" w:fill="FFFFFF"/>
        </w:rPr>
        <w:t>我</w:t>
      </w:r>
      <w:r>
        <w:rPr>
          <w:rFonts w:hint="eastAsia" w:ascii="仿宋_GB2312" w:hAnsi="仿宋_GB2312" w:eastAsia="仿宋_GB2312" w:cs="仿宋_GB2312"/>
          <w:i w:val="0"/>
          <w:caps w:val="0"/>
          <w:color w:val="000000" w:themeColor="text1"/>
          <w:spacing w:val="0"/>
          <w:sz w:val="32"/>
          <w:szCs w:val="32"/>
          <w:shd w:val="clear" w:fill="FFFFFF"/>
          <w:lang w:eastAsia="zh-CN"/>
        </w:rPr>
        <w:t>县</w:t>
      </w:r>
      <w:r>
        <w:rPr>
          <w:rFonts w:hint="eastAsia" w:ascii="仿宋_GB2312" w:hAnsi="仿宋_GB2312" w:eastAsia="仿宋_GB2312" w:cs="仿宋_GB2312"/>
          <w:i w:val="0"/>
          <w:caps w:val="0"/>
          <w:color w:val="000000" w:themeColor="text1"/>
          <w:spacing w:val="0"/>
          <w:sz w:val="32"/>
          <w:szCs w:val="32"/>
          <w:shd w:val="clear" w:fill="FFFFFF"/>
        </w:rPr>
        <w:t>各级各类医保定点医药机构在快速发展</w:t>
      </w:r>
      <w:r>
        <w:rPr>
          <w:rFonts w:hint="eastAsia" w:ascii="仿宋_GB2312" w:hAnsi="仿宋_GB2312" w:eastAsia="仿宋_GB2312" w:cs="仿宋_GB2312"/>
          <w:i w:val="0"/>
          <w:caps w:val="0"/>
          <w:color w:val="000000" w:themeColor="text1"/>
          <w:spacing w:val="0"/>
          <w:sz w:val="32"/>
          <w:szCs w:val="32"/>
          <w:shd w:val="clear" w:fill="FFFFFF"/>
          <w:lang w:val="en-US" w:eastAsia="zh-CN"/>
        </w:rPr>
        <w:t>过程中</w:t>
      </w:r>
      <w:r>
        <w:rPr>
          <w:rFonts w:hint="eastAsia" w:ascii="仿宋_GB2312" w:hAnsi="仿宋_GB2312" w:eastAsia="仿宋_GB2312" w:cs="仿宋_GB2312"/>
          <w:i w:val="0"/>
          <w:caps w:val="0"/>
          <w:color w:val="000000" w:themeColor="text1"/>
          <w:spacing w:val="0"/>
          <w:sz w:val="32"/>
          <w:szCs w:val="32"/>
          <w:shd w:val="clear" w:fill="FFFFFF"/>
        </w:rPr>
        <w:t>存在</w:t>
      </w:r>
      <w:r>
        <w:rPr>
          <w:rFonts w:hint="eastAsia" w:ascii="仿宋_GB2312" w:hAnsi="仿宋_GB2312" w:eastAsia="仿宋_GB2312" w:cs="仿宋_GB2312"/>
          <w:i w:val="0"/>
          <w:caps w:val="0"/>
          <w:color w:val="000000" w:themeColor="text1"/>
          <w:spacing w:val="0"/>
          <w:sz w:val="32"/>
          <w:szCs w:val="32"/>
          <w:shd w:val="clear" w:fill="FFFFFF"/>
          <w:lang w:val="en-US" w:eastAsia="zh-CN"/>
        </w:rPr>
        <w:t>的</w:t>
      </w:r>
      <w:r>
        <w:rPr>
          <w:rFonts w:hint="eastAsia" w:ascii="仿宋_GB2312" w:hAnsi="仿宋_GB2312" w:eastAsia="仿宋_GB2312" w:cs="仿宋_GB2312"/>
          <w:i w:val="0"/>
          <w:caps w:val="0"/>
          <w:color w:val="000000" w:themeColor="text1"/>
          <w:spacing w:val="0"/>
          <w:sz w:val="32"/>
          <w:szCs w:val="32"/>
          <w:shd w:val="clear" w:fill="FFFFFF"/>
        </w:rPr>
        <w:t>城乡间、区域间以及综合与专科资源配置不均衡，医药服务质量不够高，部分定点医药机构规模小，医保定点精细化管理水平不高等问题。</w:t>
      </w:r>
      <w:r>
        <w:rPr>
          <w:rFonts w:hint="eastAsia" w:ascii="仿宋_GB2312" w:hAnsi="仿宋_GB2312" w:eastAsia="仿宋_GB2312" w:cs="仿宋_GB2312"/>
          <w:i w:val="0"/>
          <w:caps w:val="0"/>
          <w:color w:val="000000" w:themeColor="text1"/>
          <w:spacing w:val="0"/>
          <w:sz w:val="32"/>
          <w:szCs w:val="32"/>
          <w:shd w:val="clear" w:fill="FFFFFF"/>
          <w:lang w:val="en-US" w:eastAsia="zh-CN"/>
        </w:rPr>
        <w:t>充分发挥</w:t>
      </w:r>
      <w:r>
        <w:rPr>
          <w:rFonts w:hint="eastAsia" w:ascii="仿宋_GB2312" w:hAnsi="仿宋_GB2312" w:eastAsia="仿宋_GB2312" w:cs="仿宋_GB2312"/>
          <w:i w:val="0"/>
          <w:caps w:val="0"/>
          <w:color w:val="000000" w:themeColor="text1"/>
          <w:spacing w:val="0"/>
          <w:sz w:val="32"/>
          <w:szCs w:val="32"/>
          <w:shd w:val="clear" w:fill="FFFFFF"/>
        </w:rPr>
        <w:t>医保基金作为对医药服务重要的战略购买方，对医药服务高质量发展的引领作用</w:t>
      </w:r>
      <w:r>
        <w:rPr>
          <w:rFonts w:hint="eastAsia" w:ascii="仿宋_GB2312" w:hAnsi="仿宋_GB2312" w:eastAsia="仿宋_GB2312" w:cs="仿宋_GB2312"/>
          <w:i w:val="0"/>
          <w:caps w:val="0"/>
          <w:color w:val="000000" w:themeColor="text1"/>
          <w:spacing w:val="0"/>
          <w:sz w:val="32"/>
          <w:szCs w:val="32"/>
          <w:shd w:val="clear" w:fill="FFFFFF"/>
          <w:lang w:eastAsia="zh-CN"/>
        </w:rPr>
        <w:t>，</w:t>
      </w:r>
      <w:r>
        <w:rPr>
          <w:rFonts w:hint="eastAsia" w:ascii="仿宋_GB2312" w:hAnsi="仿宋_GB2312" w:eastAsia="仿宋_GB2312" w:cs="仿宋_GB2312"/>
          <w:i w:val="0"/>
          <w:caps w:val="0"/>
          <w:color w:val="000000" w:themeColor="text1"/>
          <w:spacing w:val="0"/>
          <w:sz w:val="32"/>
          <w:szCs w:val="32"/>
          <w:shd w:val="clear" w:fill="FFFFFF"/>
        </w:rPr>
        <w:t>对我</w:t>
      </w:r>
      <w:r>
        <w:rPr>
          <w:rFonts w:hint="eastAsia" w:ascii="仿宋_GB2312" w:hAnsi="仿宋_GB2312" w:eastAsia="仿宋_GB2312" w:cs="仿宋_GB2312"/>
          <w:i w:val="0"/>
          <w:caps w:val="0"/>
          <w:color w:val="000000" w:themeColor="text1"/>
          <w:spacing w:val="0"/>
          <w:sz w:val="32"/>
          <w:szCs w:val="32"/>
          <w:shd w:val="clear" w:fill="FFFFFF"/>
          <w:lang w:eastAsia="zh-CN"/>
        </w:rPr>
        <w:t>县</w:t>
      </w:r>
      <w:r>
        <w:rPr>
          <w:rFonts w:hint="eastAsia" w:ascii="仿宋_GB2312" w:hAnsi="仿宋_GB2312" w:eastAsia="仿宋_GB2312" w:cs="仿宋_GB2312"/>
          <w:i w:val="0"/>
          <w:caps w:val="0"/>
          <w:color w:val="000000" w:themeColor="text1"/>
          <w:spacing w:val="0"/>
          <w:sz w:val="32"/>
          <w:szCs w:val="32"/>
          <w:shd w:val="clear" w:fill="FFFFFF"/>
        </w:rPr>
        <w:t>医疗保障定点医药服务资源配置进行规划引导</w:t>
      </w:r>
      <w:r>
        <w:rPr>
          <w:rFonts w:hint="eastAsia" w:ascii="仿宋_GB2312" w:hAnsi="仿宋_GB2312" w:eastAsia="仿宋_GB2312" w:cs="仿宋_GB2312"/>
          <w:i w:val="0"/>
          <w:caps w:val="0"/>
          <w:color w:val="000000" w:themeColor="text1"/>
          <w:spacing w:val="0"/>
          <w:sz w:val="32"/>
          <w:szCs w:val="32"/>
          <w:shd w:val="clear" w:fill="FFFFFF"/>
          <w:lang w:val="en-US" w:eastAsia="zh-CN"/>
        </w:rPr>
        <w:t>和优化</w:t>
      </w:r>
      <w:r>
        <w:rPr>
          <w:rFonts w:hint="eastAsia" w:ascii="仿宋_GB2312" w:hAnsi="仿宋_GB2312" w:eastAsia="仿宋_GB2312" w:cs="仿宋_GB2312"/>
          <w:i w:val="0"/>
          <w:caps w:val="0"/>
          <w:color w:val="000000" w:themeColor="text1"/>
          <w:spacing w:val="0"/>
          <w:sz w:val="32"/>
          <w:szCs w:val="32"/>
          <w:shd w:val="clear" w:fill="FFFFFF"/>
        </w:rPr>
        <w:t>，促进医药服务机构高质量发展和供给侧改革</w:t>
      </w:r>
      <w:r>
        <w:rPr>
          <w:rFonts w:hint="eastAsia" w:ascii="仿宋_GB2312" w:hAnsi="仿宋_GB2312" w:eastAsia="仿宋_GB2312" w:cs="仿宋_GB2312"/>
          <w:i w:val="0"/>
          <w:caps w:val="0"/>
          <w:color w:val="000000" w:themeColor="text1"/>
          <w:spacing w:val="0"/>
          <w:sz w:val="32"/>
          <w:szCs w:val="32"/>
          <w:shd w:val="clear" w:fill="FFFFFF"/>
          <w:lang w:eastAsia="zh-CN"/>
        </w:rPr>
        <w:t>，</w:t>
      </w:r>
      <w:r>
        <w:rPr>
          <w:rFonts w:hint="eastAsia" w:ascii="仿宋_GB2312" w:hAnsi="仿宋_GB2312" w:eastAsia="仿宋_GB2312" w:cs="仿宋_GB2312"/>
          <w:i w:val="0"/>
          <w:caps w:val="0"/>
          <w:color w:val="000000" w:themeColor="text1"/>
          <w:spacing w:val="0"/>
          <w:sz w:val="32"/>
          <w:szCs w:val="32"/>
          <w:shd w:val="clear" w:fill="FFFFFF"/>
        </w:rPr>
        <w:t>用更精细化的管理、更人性化的服务提升参保群众获得感、幸福感和安全感。</w:t>
      </w:r>
    </w:p>
    <w:p w14:paraId="4770B067">
      <w:pPr>
        <w:ind w:firstLine="643" w:firstLineChars="200"/>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b/>
          <w:bCs/>
          <w:sz w:val="32"/>
          <w:szCs w:val="32"/>
          <w:lang w:val="en-US" w:eastAsia="zh-CN"/>
        </w:rPr>
        <w:t>强化医保基金监管、守护基金安全落实“百日行动”</w:t>
      </w:r>
      <w:r>
        <w:rPr>
          <w:rFonts w:hint="eastAsia" w:ascii="方正仿宋_GB2312" w:hAnsi="方正仿宋_GB2312" w:eastAsia="方正仿宋_GB2312" w:cs="方正仿宋_GB2312"/>
          <w:sz w:val="32"/>
          <w:szCs w:val="32"/>
          <w:lang w:val="en-US" w:eastAsia="zh-CN"/>
        </w:rPr>
        <w:t>。</w:t>
      </w:r>
    </w:p>
    <w:p w14:paraId="2FE2FDBA">
      <w:pPr>
        <w:ind w:firstLine="640" w:firstLineChars="200"/>
        <w:rPr>
          <w:rFonts w:hint="default" w:ascii="仿宋_GB2312" w:hAnsi="仿宋_GB2312" w:eastAsia="仿宋_GB2312" w:cs="仿宋_GB2312"/>
          <w:color w:val="auto"/>
          <w:kern w:val="2"/>
          <w:sz w:val="32"/>
          <w:szCs w:val="32"/>
          <w:lang w:val="en-US" w:eastAsia="zh-CN" w:bidi="ar-SA"/>
        </w:rPr>
      </w:pPr>
      <w:r>
        <w:rPr>
          <w:rFonts w:hint="eastAsia" w:ascii="方正仿宋_GB2312" w:hAnsi="方正仿宋_GB2312" w:eastAsia="方正仿宋_GB2312" w:cs="方正仿宋_GB2312"/>
          <w:sz w:val="32"/>
          <w:szCs w:val="32"/>
          <w:lang w:val="en-US" w:eastAsia="zh-CN"/>
        </w:rPr>
        <w:t>坚持严查快处原则，将“明查”与“暗访”相结合，将“定期检查”与“突击抽查”相结合，将“日常查处”与“专项整治”相结合，严厉查处打击各类欺诈骗保行为。多方式多手段监管。通过现场检查、智能审核、病历抽查、床位监管、内控自查等方式，对全县18家定点医疗机构现场监督检查2次；对42家定点零售药店现场监督检查1次；结合乡镇卫生院，对全县185个村卫生室全部进行了监督检查。实现了所有定点医药机构现场监督检查全覆盖。截至目前</w:t>
      </w:r>
      <w:bookmarkStart w:id="0" w:name="_GoBack"/>
      <w:bookmarkEnd w:id="0"/>
      <w:r>
        <w:rPr>
          <w:rFonts w:hint="eastAsia" w:ascii="方正仿宋_GB2312" w:hAnsi="方正仿宋_GB2312" w:eastAsia="方正仿宋_GB2312" w:cs="方正仿宋_GB2312"/>
          <w:sz w:val="32"/>
          <w:szCs w:val="32"/>
          <w:lang w:val="en-US" w:eastAsia="zh-CN"/>
        </w:rPr>
        <w:t>利用疑点数据核查、现场检查、大数据系统筛查、病例抽查、床位监管系统抽查等方式对定点医药机构进行了全覆盖式监督检查。协议处理17家医疗机构，约谈17家，对3家一级以下医疗机构、7家零售药店中止医保服务并且暂停医保基金拨付；对2家一级以下医疗机构解除医保服务协议；暂停2个二级医疗机构各1个科室，暂停二级医疗机构1名医保医师。累计追回医保基金4257433.34元；行政处罚25起，处罚金额76258.76元。协议追回和行政处罚共计4333692.1元。</w:t>
      </w:r>
      <w:r>
        <w:rPr>
          <w:rFonts w:hint="eastAsia" w:ascii="仿宋_GB2312" w:hAnsi="仿宋_GB2312" w:eastAsia="仿宋_GB2312" w:cs="仿宋_GB2312"/>
          <w:color w:val="auto"/>
          <w:kern w:val="2"/>
          <w:sz w:val="32"/>
          <w:szCs w:val="32"/>
          <w:lang w:val="en-US" w:eastAsia="zh-CN" w:bidi="ar-SA"/>
        </w:rPr>
        <w:t>强化医保基金监管、守护基金安全。</w:t>
      </w:r>
    </w:p>
    <w:p w14:paraId="739E5F89">
      <w:pPr>
        <w:ind w:firstLine="640" w:firstLineChars="200"/>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5.满意度指标完成情况分析。</w:t>
      </w:r>
    </w:p>
    <w:p w14:paraId="5D54D986">
      <w:pPr>
        <w:ind w:firstLine="640" w:firstLineChars="200"/>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auto"/>
          <w:kern w:val="2"/>
          <w:sz w:val="32"/>
          <w:szCs w:val="32"/>
          <w:lang w:val="en-US" w:eastAsia="zh-CN" w:bidi="ar-SA"/>
        </w:rPr>
        <w:t>项目资金的投入有效提升了医疗服务保障水平和参保群众对医疗保险的了解程度，参保群众满意度达</w:t>
      </w:r>
      <w:r>
        <w:rPr>
          <w:rFonts w:hint="eastAsia" w:ascii="方正仿宋_GB2312" w:hAnsi="方正仿宋_GB2312" w:eastAsia="方正仿宋_GB2312" w:cs="方正仿宋_GB2312"/>
          <w:sz w:val="32"/>
          <w:szCs w:val="32"/>
          <w:lang w:val="en-US" w:eastAsia="zh-CN"/>
        </w:rPr>
        <w:t>95.6%</w:t>
      </w:r>
      <w:r>
        <w:rPr>
          <w:rFonts w:hint="eastAsia" w:ascii="仿宋_GB2312" w:hAnsi="仿宋_GB2312" w:eastAsia="仿宋_GB2312" w:cs="仿宋_GB2312"/>
          <w:color w:val="auto"/>
          <w:kern w:val="2"/>
          <w:sz w:val="32"/>
          <w:szCs w:val="32"/>
          <w:lang w:val="en-US" w:eastAsia="zh-CN" w:bidi="ar-SA"/>
        </w:rPr>
        <w:t>，超过了年初设定的目标。</w:t>
      </w:r>
    </w:p>
    <w:p w14:paraId="2228960C">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506B71EA">
      <w:pPr>
        <w:spacing w:line="560" w:lineRule="exact"/>
        <w:ind w:firstLine="640" w:firstLineChars="200"/>
        <w:rPr>
          <w:rFonts w:ascii="楷体" w:hAnsi="楷体" w:eastAsia="楷体" w:cs="楷体_GB2312"/>
          <w:sz w:val="32"/>
          <w:szCs w:val="32"/>
        </w:rPr>
      </w:pPr>
      <w:r>
        <w:rPr>
          <w:rFonts w:hint="eastAsia" w:ascii="楷体" w:hAnsi="楷体" w:eastAsia="楷体" w:cs="楷体_GB2312"/>
          <w:bCs/>
          <w:sz w:val="32"/>
          <w:szCs w:val="32"/>
        </w:rPr>
        <w:t>（一）自评的组织工作</w:t>
      </w:r>
    </w:p>
    <w:p w14:paraId="11452E8A">
      <w:pPr>
        <w:spacing w:line="560" w:lineRule="exact"/>
        <w:ind w:firstLine="640" w:firstLineChars="200"/>
        <w:rPr>
          <w:rFonts w:ascii="仿宋" w:hAnsi="仿宋" w:eastAsia="仿宋"/>
          <w:sz w:val="32"/>
          <w:szCs w:val="32"/>
        </w:rPr>
      </w:pPr>
      <w:r>
        <w:rPr>
          <w:rFonts w:hint="eastAsia" w:ascii="仿宋_GB2312" w:hAnsi="仿宋" w:eastAsia="仿宋_GB2312" w:cs="仿宋"/>
          <w:sz w:val="32"/>
          <w:szCs w:val="32"/>
        </w:rPr>
        <w:t>由办公室牵头组织开展评价工作，按照相关管理制度执行，建立了工作有计划、实施有方案、日常有监督的管理机制。</w:t>
      </w:r>
    </w:p>
    <w:p w14:paraId="15D21097">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603EBA33">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自评工作小组根据单位提交的年初预算文本和年终的工作报告，并根据项目支出的有关绩效情况，填写《绩效目标自评表》，初步形成自评报告，在单位自评报告的基础上，结合会议实施情况展开评价，最后分析原因，提出建议，形成最终的自评价报告。</w:t>
      </w:r>
    </w:p>
    <w:p w14:paraId="30AB0FF3">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194C94DA">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096C4FE">
      <w:pPr>
        <w:pStyle w:val="16"/>
        <w:spacing w:line="570" w:lineRule="exact"/>
        <w:ind w:firstLine="640" w:firstLineChars="200"/>
        <w:rPr>
          <w:rFonts w:ascii="仿宋_GB2312" w:hAnsi="仿宋_GB2312" w:eastAsia="仿宋_GB2312" w:cs="仿宋_GB2312"/>
          <w:color w:val="auto"/>
          <w:kern w:val="2"/>
          <w:sz w:val="32"/>
          <w:szCs w:val="32"/>
        </w:rPr>
      </w:pPr>
      <w:r>
        <w:rPr>
          <w:rFonts w:hint="eastAsia" w:ascii="仿宋_GB2312" w:hAnsi="仿宋_GB2312" w:eastAsia="仿宋_GB2312" w:cs="仿宋_GB2312"/>
          <w:color w:val="auto"/>
          <w:kern w:val="2"/>
          <w:sz w:val="32"/>
          <w:szCs w:val="32"/>
        </w:rPr>
        <w:t>1.制定绩效评价指标体系。研究建立了部门整体支出、工作活动、预算项目、财政政策绩效评价指标框架体系，为部门整体支出、工作活动 、预算项目和财政政策评价提供了科学规范的指标体系，有效保障了绩效评价工作的顺利开展。</w:t>
      </w:r>
    </w:p>
    <w:p w14:paraId="25FBDCCB">
      <w:pPr>
        <w:pStyle w:val="16"/>
        <w:spacing w:line="570" w:lineRule="exact"/>
        <w:ind w:firstLine="640" w:firstLineChars="200"/>
        <w:rPr>
          <w:rFonts w:ascii="仿宋_GB2312" w:hAnsi="仿宋_GB2312" w:eastAsia="仿宋_GB2312" w:cs="仿宋_GB2312"/>
          <w:color w:val="auto"/>
          <w:kern w:val="2"/>
          <w:sz w:val="32"/>
          <w:szCs w:val="32"/>
        </w:rPr>
      </w:pPr>
      <w:r>
        <w:rPr>
          <w:rFonts w:hint="eastAsia" w:ascii="仿宋_GB2312" w:hAnsi="仿宋_GB2312" w:eastAsia="仿宋_GB2312" w:cs="仿宋_GB2312"/>
          <w:color w:val="auto"/>
          <w:kern w:val="2"/>
          <w:sz w:val="32"/>
          <w:szCs w:val="32"/>
        </w:rPr>
        <w:t>2.组织开展绩效评价。预算编制会议着重强调做好部门绩效评价工作，绩效审核作为预算编制的必要环节和安排预算重要依据，按规范格式编制部门绩效预算文本，改革涵盖所有预算部门。并且将绩效评价报告反馈被评价部门，并要求部门在限期内对发现的问题进行整改。</w:t>
      </w:r>
    </w:p>
    <w:p w14:paraId="70D55001">
      <w:pPr>
        <w:pStyle w:val="2"/>
        <w:spacing w:after="0" w:line="54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3、深入开展全民参保工作，做到医疗保障全覆盖。为了减轻群众就医负担、增进民生福祉、维护社会和谐稳定，我局全面实施全民参保计划，不断提高参保扩面工作力度。一是与税务、财政、公安、民政、人社、教育、司法、扶贫、残联等部门和各乡镇政府密切合作，力争实现应保尽保。二是建立了全民参保数据库工作领导小组，做好全民参保数据库数据采集业务培训，建立并持续完善全民参保数据库，</w:t>
      </w:r>
      <w:r>
        <w:rPr>
          <w:rFonts w:ascii="仿宋_GB2312" w:hAnsi="仿宋_GB2312" w:eastAsia="仿宋_GB2312" w:cs="仿宋_GB2312"/>
          <w:sz w:val="32"/>
          <w:szCs w:val="32"/>
        </w:rPr>
        <w:t>实现对新增参保人员基础信息实时查询功能，提升参保质量</w:t>
      </w:r>
      <w:r>
        <w:rPr>
          <w:rFonts w:hint="eastAsia" w:ascii="仿宋_GB2312" w:hAnsi="仿宋_GB2312" w:eastAsia="仿宋_GB2312" w:cs="仿宋_GB2312"/>
          <w:sz w:val="32"/>
          <w:szCs w:val="32"/>
        </w:rPr>
        <w:t>。三是建立各乡镇未参保人员台账，督导各乡镇按照台账开展参保动员工作，做到精准动员、逐一销号。</w:t>
      </w:r>
    </w:p>
    <w:p w14:paraId="6B06277F">
      <w:pPr>
        <w:pStyle w:val="16"/>
        <w:spacing w:line="570" w:lineRule="exact"/>
        <w:ind w:firstLine="640" w:firstLineChars="200"/>
        <w:rPr>
          <w:rFonts w:ascii="仿宋_GB2312" w:hAnsi="仿宋_GB2312" w:eastAsia="仿宋_GB2312" w:cs="仿宋_GB2312"/>
          <w:color w:val="auto"/>
          <w:kern w:val="2"/>
          <w:sz w:val="32"/>
          <w:szCs w:val="32"/>
        </w:rPr>
      </w:pPr>
      <w:r>
        <w:rPr>
          <w:rFonts w:hint="eastAsia" w:ascii="仿宋_GB2312" w:hAnsi="仿宋_GB2312" w:eastAsia="仿宋_GB2312" w:cs="仿宋_GB2312"/>
          <w:color w:val="auto"/>
          <w:kern w:val="2"/>
          <w:sz w:val="32"/>
          <w:szCs w:val="32"/>
        </w:rPr>
        <w:t>4、保持打击欺诈骗保高压态势，维护医保基金安全。赞皇县医保局始终把打击欺诈骗保、维护基金安全作为首要任务，坚持强监管、出重拳，堵漏洞、建机制，始终保持“不敢骗、不能骗、不想骗”的高压态势。一是建立健全联合工作机制。联合相关部门制定印发了《赞皇县医疗保障基金监管工作联席会议制度》，成立了联合检查组，明确了各成员单位职责，做到分工明确，协同作业，充分发挥部门合力，进一步提升了我县基金监管水平。二是深入开展打击欺诈骗保集中宣传月活动，多种渠道开展全方位宣传，营造了良好的社会氛围。三是深入开展赞皇县欺诈骗保专项整治行动。组织全县定点医药机构进行了全面自查，针对问题开展交叉互查。四是开展打击定点零售药店欺诈骗保行为专项治理行动，持续巩固医保基金监管高压态势，营造定点药店良好经营氛围。五是多次组织基金安全培训。我局多次组织执法人员对相应的行政执法文书进行集中培训，组织县各医药机构人员对各类基金安全政策进行学习，进行基金安全相关的警示教育。六是加强医保社会监督员培训，充分发挥基层哨点作用，齐心协力，共同筑牢医保基金安全防线。</w:t>
      </w:r>
    </w:p>
    <w:p w14:paraId="44E2CB1E">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6998ECCE">
      <w:pPr>
        <w:ind w:firstLine="640" w:firstLineChars="200"/>
        <w:jc w:val="left"/>
        <w:rPr>
          <w:rFonts w:ascii="仿宋" w:hAnsi="仿宋" w:eastAsia="仿宋" w:cs="仿宋_GB2312"/>
          <w:sz w:val="32"/>
          <w:szCs w:val="32"/>
        </w:rPr>
      </w:pPr>
      <w:r>
        <w:rPr>
          <w:rFonts w:hint="eastAsia" w:ascii="仿宋" w:hAnsi="仿宋" w:eastAsia="仿宋" w:cs="仿宋_GB2312"/>
          <w:sz w:val="32"/>
          <w:szCs w:val="32"/>
        </w:rPr>
        <w:t>1、</w:t>
      </w:r>
      <w:r>
        <w:rPr>
          <w:rFonts w:ascii="仿宋" w:hAnsi="仿宋" w:eastAsia="仿宋" w:cs="仿宋_GB2312"/>
          <w:sz w:val="32"/>
          <w:szCs w:val="32"/>
        </w:rPr>
        <w:t>医疗保险参保扩面工作</w:t>
      </w:r>
    </w:p>
    <w:p w14:paraId="68599F6C">
      <w:pPr>
        <w:ind w:firstLine="640" w:firstLineChars="200"/>
        <w:jc w:val="left"/>
        <w:rPr>
          <w:rFonts w:ascii="仿宋" w:hAnsi="仿宋" w:eastAsia="仿宋" w:cs="仿宋_GB2312"/>
          <w:sz w:val="32"/>
          <w:szCs w:val="32"/>
        </w:rPr>
      </w:pPr>
      <w:r>
        <w:rPr>
          <w:rFonts w:ascii="仿宋" w:hAnsi="仿宋" w:eastAsia="仿宋" w:cs="仿宋_GB2312"/>
          <w:sz w:val="32"/>
          <w:szCs w:val="32"/>
        </w:rPr>
        <w:t>绩效目标：完成参保宣传及参保人信息录入工作。</w:t>
      </w:r>
    </w:p>
    <w:p w14:paraId="5BAF6AB5">
      <w:pPr>
        <w:ind w:firstLine="640" w:firstLineChars="200"/>
        <w:jc w:val="left"/>
        <w:rPr>
          <w:rFonts w:ascii="仿宋" w:hAnsi="仿宋" w:eastAsia="仿宋" w:cs="仿宋_GB2312"/>
          <w:sz w:val="32"/>
          <w:szCs w:val="32"/>
        </w:rPr>
      </w:pPr>
      <w:r>
        <w:rPr>
          <w:rFonts w:ascii="仿宋" w:hAnsi="仿宋" w:eastAsia="仿宋" w:cs="仿宋_GB2312"/>
          <w:sz w:val="32"/>
          <w:szCs w:val="32"/>
        </w:rPr>
        <w:t>绩效指标：参保率不低于95%。</w:t>
      </w:r>
    </w:p>
    <w:p w14:paraId="4599B3B1">
      <w:pPr>
        <w:ind w:firstLine="640" w:firstLineChars="200"/>
        <w:jc w:val="left"/>
        <w:rPr>
          <w:rFonts w:ascii="仿宋" w:hAnsi="仿宋" w:eastAsia="仿宋" w:cs="仿宋_GB2312"/>
          <w:sz w:val="32"/>
          <w:szCs w:val="32"/>
        </w:rPr>
      </w:pPr>
      <w:r>
        <w:rPr>
          <w:rFonts w:hint="eastAsia" w:ascii="仿宋" w:hAnsi="仿宋" w:eastAsia="仿宋" w:cs="仿宋_GB2312"/>
          <w:sz w:val="32"/>
          <w:szCs w:val="32"/>
        </w:rPr>
        <w:t>2、</w:t>
      </w:r>
      <w:r>
        <w:rPr>
          <w:rFonts w:ascii="仿宋" w:hAnsi="仿宋" w:eastAsia="仿宋" w:cs="仿宋_GB2312"/>
          <w:sz w:val="32"/>
          <w:szCs w:val="32"/>
        </w:rPr>
        <w:t>医疗保险经办服务</w:t>
      </w:r>
    </w:p>
    <w:p w14:paraId="53A2F79A">
      <w:pPr>
        <w:ind w:firstLine="640" w:firstLineChars="200"/>
        <w:jc w:val="left"/>
        <w:rPr>
          <w:rFonts w:ascii="仿宋" w:hAnsi="仿宋" w:eastAsia="仿宋" w:cs="仿宋_GB2312"/>
          <w:sz w:val="32"/>
          <w:szCs w:val="32"/>
        </w:rPr>
      </w:pPr>
      <w:r>
        <w:rPr>
          <w:rFonts w:ascii="仿宋" w:hAnsi="仿宋" w:eastAsia="仿宋" w:cs="仿宋_GB2312"/>
          <w:sz w:val="32"/>
          <w:szCs w:val="32"/>
        </w:rPr>
        <w:t xml:space="preserve">绩效目标：提高医疗保障经办管理服务水平，确保医疗保障待遇落到实处。 </w:t>
      </w:r>
    </w:p>
    <w:p w14:paraId="64AACBC0">
      <w:pPr>
        <w:ind w:firstLine="640" w:firstLineChars="200"/>
        <w:jc w:val="left"/>
        <w:rPr>
          <w:rFonts w:ascii="仿宋" w:hAnsi="仿宋" w:eastAsia="仿宋" w:cs="仿宋_GB2312"/>
          <w:sz w:val="32"/>
          <w:szCs w:val="32"/>
        </w:rPr>
      </w:pPr>
      <w:r>
        <w:rPr>
          <w:rFonts w:ascii="仿宋" w:hAnsi="仿宋" w:eastAsia="仿宋" w:cs="仿宋_GB2312"/>
          <w:sz w:val="32"/>
          <w:szCs w:val="32"/>
        </w:rPr>
        <w:t>绩效指标：医疗保险经办服务规范、方便、快捷。</w:t>
      </w:r>
    </w:p>
    <w:p w14:paraId="5EE30BF6">
      <w:pPr>
        <w:ind w:firstLine="640" w:firstLineChars="200"/>
        <w:jc w:val="left"/>
        <w:rPr>
          <w:rFonts w:ascii="仿宋" w:hAnsi="仿宋" w:eastAsia="仿宋" w:cs="仿宋_GB2312"/>
          <w:sz w:val="32"/>
          <w:szCs w:val="32"/>
        </w:rPr>
      </w:pPr>
      <w:r>
        <w:rPr>
          <w:rFonts w:hint="eastAsia" w:ascii="仿宋" w:hAnsi="仿宋" w:eastAsia="仿宋" w:cs="仿宋_GB2312"/>
          <w:sz w:val="32"/>
          <w:szCs w:val="32"/>
        </w:rPr>
        <w:t>3、</w:t>
      </w:r>
      <w:r>
        <w:rPr>
          <w:rFonts w:ascii="仿宋" w:hAnsi="仿宋" w:eastAsia="仿宋" w:cs="仿宋_GB2312"/>
          <w:sz w:val="32"/>
          <w:szCs w:val="32"/>
        </w:rPr>
        <w:t>医疗保险基金运行及医疗保险定点医药机构监管</w:t>
      </w:r>
    </w:p>
    <w:p w14:paraId="73DD3A49">
      <w:pPr>
        <w:ind w:firstLine="640" w:firstLineChars="200"/>
        <w:jc w:val="left"/>
        <w:rPr>
          <w:rFonts w:ascii="仿宋" w:hAnsi="仿宋" w:eastAsia="仿宋" w:cs="仿宋_GB2312"/>
          <w:sz w:val="32"/>
          <w:szCs w:val="32"/>
        </w:rPr>
      </w:pPr>
      <w:r>
        <w:rPr>
          <w:rFonts w:ascii="仿宋" w:hAnsi="仿宋" w:eastAsia="仿宋" w:cs="仿宋_GB2312"/>
          <w:sz w:val="32"/>
          <w:szCs w:val="32"/>
        </w:rPr>
        <w:t xml:space="preserve">绩效目标：医疗保障基金安全防控机制覆盖所有经办机构、定点医药机构和参保人。 </w:t>
      </w:r>
    </w:p>
    <w:p w14:paraId="5B9B920D">
      <w:pPr>
        <w:ind w:firstLine="640" w:firstLineChars="200"/>
        <w:jc w:val="left"/>
        <w:rPr>
          <w:rFonts w:ascii="仿宋" w:hAnsi="仿宋" w:eastAsia="仿宋" w:cs="仿宋_GB2312"/>
          <w:sz w:val="32"/>
          <w:szCs w:val="32"/>
        </w:rPr>
      </w:pPr>
      <w:r>
        <w:rPr>
          <w:rFonts w:ascii="仿宋" w:hAnsi="仿宋" w:eastAsia="仿宋" w:cs="仿宋_GB2312"/>
          <w:sz w:val="32"/>
          <w:szCs w:val="32"/>
        </w:rPr>
        <w:t>绩效指标：加强监管力度，严厉打击欺诈骗保行为。监督检查每</w:t>
      </w:r>
      <w:r>
        <w:rPr>
          <w:rFonts w:hint="eastAsia" w:ascii="仿宋" w:hAnsi="仿宋" w:eastAsia="仿宋" w:cs="仿宋_GB2312"/>
          <w:sz w:val="32"/>
          <w:szCs w:val="32"/>
        </w:rPr>
        <w:t>半年</w:t>
      </w:r>
      <w:r>
        <w:rPr>
          <w:rFonts w:ascii="仿宋" w:hAnsi="仿宋" w:eastAsia="仿宋" w:cs="仿宋_GB2312"/>
          <w:sz w:val="32"/>
          <w:szCs w:val="32"/>
        </w:rPr>
        <w:t>一次。</w:t>
      </w:r>
    </w:p>
    <w:p w14:paraId="5F7048DE">
      <w:pPr>
        <w:ind w:firstLine="640" w:firstLineChars="200"/>
        <w:jc w:val="left"/>
        <w:rPr>
          <w:rFonts w:hint="eastAsia" w:ascii="仿宋" w:hAnsi="仿宋" w:eastAsia="仿宋" w:cs="仿宋_GB2312"/>
          <w:sz w:val="32"/>
          <w:szCs w:val="32"/>
          <w:lang w:eastAsia="zh-CN"/>
        </w:rPr>
      </w:pPr>
      <w:r>
        <w:rPr>
          <w:rFonts w:hint="eastAsia" w:ascii="仿宋" w:hAnsi="仿宋" w:eastAsia="仿宋" w:cs="仿宋_GB2312"/>
          <w:sz w:val="32"/>
          <w:szCs w:val="32"/>
        </w:rPr>
        <w:t>4、</w:t>
      </w:r>
      <w:r>
        <w:rPr>
          <w:rFonts w:hint="eastAsia" w:ascii="仿宋" w:hAnsi="仿宋" w:eastAsia="仿宋" w:cs="仿宋"/>
          <w:sz w:val="32"/>
          <w:szCs w:val="32"/>
          <w:shd w:val="clear" w:color="auto" w:fill="FFFFFF"/>
        </w:rPr>
        <w:t>对低保</w:t>
      </w:r>
      <w:r>
        <w:rPr>
          <w:rFonts w:hint="eastAsia" w:ascii="仿宋" w:hAnsi="仿宋" w:eastAsia="仿宋" w:cs="仿宋"/>
          <w:sz w:val="32"/>
          <w:szCs w:val="32"/>
          <w:shd w:val="clear" w:color="auto" w:fill="FFFFFF"/>
          <w:lang w:eastAsia="zh-CN"/>
        </w:rPr>
        <w:t>对象</w:t>
      </w:r>
      <w:r>
        <w:rPr>
          <w:rFonts w:hint="eastAsia" w:ascii="仿宋" w:hAnsi="仿宋" w:eastAsia="仿宋" w:cs="仿宋"/>
          <w:sz w:val="32"/>
          <w:szCs w:val="32"/>
          <w:shd w:val="clear" w:color="auto" w:fill="FFFFFF"/>
        </w:rPr>
        <w:t>、</w:t>
      </w:r>
      <w:r>
        <w:rPr>
          <w:rFonts w:hint="eastAsia" w:ascii="仿宋" w:hAnsi="仿宋" w:eastAsia="仿宋" w:cs="仿宋"/>
          <w:sz w:val="32"/>
          <w:szCs w:val="32"/>
          <w:shd w:val="clear" w:color="auto" w:fill="FFFFFF"/>
          <w:lang w:eastAsia="zh-CN"/>
        </w:rPr>
        <w:t>特困</w:t>
      </w:r>
      <w:r>
        <w:rPr>
          <w:rFonts w:hint="eastAsia" w:ascii="仿宋" w:hAnsi="仿宋" w:eastAsia="仿宋" w:cs="仿宋"/>
          <w:sz w:val="32"/>
          <w:szCs w:val="32"/>
          <w:shd w:val="clear" w:color="auto" w:fill="FFFFFF"/>
        </w:rPr>
        <w:t>人员</w:t>
      </w:r>
      <w:r>
        <w:rPr>
          <w:rFonts w:hint="eastAsia" w:ascii="仿宋" w:hAnsi="仿宋" w:eastAsia="仿宋" w:cs="仿宋"/>
          <w:sz w:val="32"/>
          <w:szCs w:val="32"/>
          <w:shd w:val="clear" w:color="auto" w:fill="FFFFFF"/>
          <w:lang w:eastAsia="zh-CN"/>
        </w:rPr>
        <w:t>、返贫致贫人口、纳入监测范围的农村易返贫致贫人口、其他脱贫人口</w:t>
      </w:r>
      <w:r>
        <w:rPr>
          <w:rFonts w:ascii="仿宋" w:hAnsi="仿宋" w:eastAsia="仿宋" w:cs="仿宋_GB2312"/>
          <w:sz w:val="32"/>
          <w:szCs w:val="32"/>
        </w:rPr>
        <w:t>医疗保险的个人缴费</w:t>
      </w:r>
      <w:r>
        <w:rPr>
          <w:rFonts w:hint="eastAsia" w:ascii="仿宋" w:hAnsi="仿宋" w:eastAsia="仿宋" w:cs="仿宋_GB2312"/>
          <w:sz w:val="32"/>
          <w:szCs w:val="32"/>
        </w:rPr>
        <w:t>给予</w:t>
      </w:r>
      <w:r>
        <w:rPr>
          <w:rFonts w:ascii="仿宋" w:hAnsi="仿宋" w:eastAsia="仿宋" w:cs="仿宋_GB2312"/>
          <w:sz w:val="32"/>
          <w:szCs w:val="32"/>
        </w:rPr>
        <w:t>资助</w:t>
      </w:r>
      <w:r>
        <w:rPr>
          <w:rFonts w:hint="eastAsia" w:ascii="仿宋" w:hAnsi="仿宋" w:eastAsia="仿宋" w:cs="仿宋_GB2312"/>
          <w:sz w:val="32"/>
          <w:szCs w:val="32"/>
          <w:lang w:eastAsia="zh-CN"/>
        </w:rPr>
        <w:t>。</w:t>
      </w:r>
    </w:p>
    <w:p w14:paraId="33DABE17">
      <w:pPr>
        <w:ind w:firstLine="640" w:firstLineChars="200"/>
        <w:outlineLvl w:val="0"/>
        <w:rPr>
          <w:rFonts w:ascii="仿宋" w:hAnsi="仿宋" w:eastAsia="仿宋" w:cs="仿宋_GB2312"/>
          <w:sz w:val="32"/>
          <w:szCs w:val="32"/>
        </w:rPr>
      </w:pPr>
      <w:r>
        <w:rPr>
          <w:rFonts w:ascii="仿宋" w:hAnsi="仿宋" w:eastAsia="仿宋" w:cs="仿宋_GB2312"/>
          <w:sz w:val="32"/>
          <w:szCs w:val="32"/>
        </w:rPr>
        <w:t>绩效目标：</w:t>
      </w:r>
      <w:r>
        <w:rPr>
          <w:rFonts w:hint="eastAsia" w:ascii="仿宋" w:hAnsi="仿宋" w:eastAsia="仿宋" w:cs="仿宋"/>
          <w:sz w:val="32"/>
          <w:szCs w:val="32"/>
          <w:shd w:val="clear" w:color="auto" w:fill="FFFFFF"/>
        </w:rPr>
        <w:t>对低保</w:t>
      </w:r>
      <w:r>
        <w:rPr>
          <w:rFonts w:hint="eastAsia" w:ascii="仿宋" w:hAnsi="仿宋" w:eastAsia="仿宋" w:cs="仿宋"/>
          <w:sz w:val="32"/>
          <w:szCs w:val="32"/>
          <w:shd w:val="clear" w:color="auto" w:fill="FFFFFF"/>
          <w:lang w:eastAsia="zh-CN"/>
        </w:rPr>
        <w:t>对象</w:t>
      </w:r>
      <w:r>
        <w:rPr>
          <w:rFonts w:hint="eastAsia" w:ascii="仿宋" w:hAnsi="仿宋" w:eastAsia="仿宋" w:cs="仿宋"/>
          <w:sz w:val="32"/>
          <w:szCs w:val="32"/>
          <w:shd w:val="clear" w:color="auto" w:fill="FFFFFF"/>
        </w:rPr>
        <w:t>、</w:t>
      </w:r>
      <w:r>
        <w:rPr>
          <w:rFonts w:hint="eastAsia" w:ascii="仿宋" w:hAnsi="仿宋" w:eastAsia="仿宋" w:cs="仿宋"/>
          <w:sz w:val="32"/>
          <w:szCs w:val="32"/>
          <w:shd w:val="clear" w:color="auto" w:fill="FFFFFF"/>
          <w:lang w:eastAsia="zh-CN"/>
        </w:rPr>
        <w:t>特困</w:t>
      </w:r>
      <w:r>
        <w:rPr>
          <w:rFonts w:hint="eastAsia" w:ascii="仿宋" w:hAnsi="仿宋" w:eastAsia="仿宋" w:cs="仿宋"/>
          <w:sz w:val="32"/>
          <w:szCs w:val="32"/>
          <w:shd w:val="clear" w:color="auto" w:fill="FFFFFF"/>
        </w:rPr>
        <w:t>人员</w:t>
      </w:r>
      <w:r>
        <w:rPr>
          <w:rFonts w:hint="eastAsia" w:ascii="仿宋" w:hAnsi="仿宋" w:eastAsia="仿宋" w:cs="仿宋"/>
          <w:sz w:val="32"/>
          <w:szCs w:val="32"/>
          <w:shd w:val="clear" w:color="auto" w:fill="FFFFFF"/>
          <w:lang w:eastAsia="zh-CN"/>
        </w:rPr>
        <w:t>、返贫致贫人口、纳入监测范围的农村易返贫致贫人口、其他脱贫人口</w:t>
      </w:r>
      <w:r>
        <w:rPr>
          <w:rFonts w:hint="eastAsia" w:ascii="仿宋" w:hAnsi="仿宋" w:eastAsia="仿宋" w:cs="仿宋"/>
          <w:sz w:val="32"/>
          <w:szCs w:val="32"/>
          <w:shd w:val="clear" w:color="auto" w:fill="FFFFFF"/>
        </w:rPr>
        <w:t>参加城乡居民</w:t>
      </w:r>
      <w:r>
        <w:rPr>
          <w:rFonts w:hint="eastAsia" w:ascii="仿宋" w:hAnsi="仿宋" w:eastAsia="仿宋" w:cs="仿宋"/>
          <w:sz w:val="32"/>
          <w:szCs w:val="32"/>
          <w:shd w:val="clear" w:color="auto" w:fill="FFFFFF"/>
          <w:lang w:eastAsia="zh-CN"/>
        </w:rPr>
        <w:t>基本</w:t>
      </w:r>
      <w:r>
        <w:rPr>
          <w:rFonts w:hint="eastAsia" w:ascii="仿宋" w:hAnsi="仿宋" w:eastAsia="仿宋" w:cs="仿宋"/>
          <w:sz w:val="32"/>
          <w:szCs w:val="32"/>
          <w:shd w:val="clear" w:color="auto" w:fill="FFFFFF"/>
        </w:rPr>
        <w:t>医疗保险个人缴费</w:t>
      </w:r>
      <w:r>
        <w:rPr>
          <w:rFonts w:hint="eastAsia" w:ascii="仿宋" w:hAnsi="仿宋" w:eastAsia="仿宋" w:cs="仿宋"/>
          <w:sz w:val="32"/>
          <w:szCs w:val="32"/>
          <w:shd w:val="clear" w:color="auto" w:fill="FFFFFF"/>
          <w:lang w:eastAsia="zh-CN"/>
        </w:rPr>
        <w:t>给予分类</w:t>
      </w:r>
      <w:r>
        <w:rPr>
          <w:rFonts w:hint="eastAsia" w:ascii="仿宋" w:hAnsi="仿宋" w:eastAsia="仿宋" w:cs="仿宋"/>
          <w:sz w:val="32"/>
          <w:szCs w:val="32"/>
          <w:shd w:val="clear" w:color="auto" w:fill="FFFFFF"/>
        </w:rPr>
        <w:t>资助</w:t>
      </w:r>
      <w:r>
        <w:rPr>
          <w:rFonts w:hint="eastAsia" w:ascii="仿宋" w:hAnsi="仿宋" w:eastAsia="仿宋" w:cs="仿宋"/>
          <w:sz w:val="32"/>
          <w:szCs w:val="32"/>
          <w:shd w:val="clear" w:color="auto" w:fill="FFFFFF"/>
          <w:lang w:eastAsia="zh-CN"/>
        </w:rPr>
        <w:t>；</w:t>
      </w:r>
      <w:r>
        <w:rPr>
          <w:rFonts w:hint="eastAsia" w:ascii="仿宋" w:hAnsi="仿宋" w:eastAsia="仿宋" w:cs="仿宋"/>
          <w:sz w:val="32"/>
          <w:szCs w:val="32"/>
          <w:shd w:val="clear" w:color="auto" w:fill="FFFFFF"/>
        </w:rPr>
        <w:t>对经基本医疗保险报销后符合重特大疾病救助范围人员给予救助，</w:t>
      </w:r>
      <w:r>
        <w:rPr>
          <w:rFonts w:hint="eastAsia" w:ascii="仿宋" w:hAnsi="仿宋" w:eastAsia="仿宋" w:cs="仿宋"/>
          <w:sz w:val="32"/>
          <w:szCs w:val="32"/>
          <w:shd w:val="clear" w:color="auto" w:fill="FFFFFF"/>
          <w:lang w:eastAsia="zh-CN"/>
        </w:rPr>
        <w:t>对特困人员、低保对象、返贫致贫人口提高大病保险保障水平；</w:t>
      </w:r>
      <w:r>
        <w:rPr>
          <w:rFonts w:hint="eastAsia" w:ascii="仿宋" w:hAnsi="仿宋" w:eastAsia="仿宋" w:cs="仿宋"/>
          <w:sz w:val="32"/>
          <w:szCs w:val="32"/>
          <w:shd w:val="clear" w:color="auto" w:fill="FFFFFF"/>
        </w:rPr>
        <w:t>救助对象经济负担明显减轻，因病致贫返贫情况有效缓解。</w:t>
      </w:r>
    </w:p>
    <w:p w14:paraId="0A79589F">
      <w:pPr>
        <w:ind w:firstLine="640" w:firstLineChars="200"/>
        <w:jc w:val="left"/>
        <w:rPr>
          <w:rFonts w:ascii="仿宋" w:hAnsi="仿宋" w:eastAsia="仿宋" w:cs="仿宋_GB2312"/>
          <w:sz w:val="32"/>
          <w:szCs w:val="32"/>
        </w:rPr>
      </w:pPr>
      <w:r>
        <w:rPr>
          <w:rFonts w:ascii="仿宋" w:hAnsi="仿宋" w:eastAsia="仿宋" w:cs="仿宋_GB2312"/>
          <w:sz w:val="32"/>
          <w:szCs w:val="32"/>
        </w:rPr>
        <w:t>绩效指标：资助完成率100%。</w:t>
      </w:r>
    </w:p>
    <w:p w14:paraId="2D47D1F5">
      <w:pPr>
        <w:ind w:firstLine="640" w:firstLineChars="200"/>
        <w:jc w:val="left"/>
        <w:rPr>
          <w:rFonts w:ascii="仿宋" w:hAnsi="仿宋" w:eastAsia="仿宋" w:cs="仿宋_GB2312"/>
          <w:sz w:val="32"/>
          <w:szCs w:val="32"/>
        </w:rPr>
      </w:pPr>
      <w:r>
        <w:rPr>
          <w:rFonts w:hint="eastAsia" w:ascii="仿宋" w:hAnsi="仿宋" w:eastAsia="仿宋" w:cs="仿宋_GB2312"/>
          <w:sz w:val="32"/>
          <w:szCs w:val="32"/>
        </w:rPr>
        <w:t>5、</w:t>
      </w:r>
      <w:r>
        <w:rPr>
          <w:rFonts w:ascii="仿宋" w:hAnsi="仿宋" w:eastAsia="仿宋" w:cs="仿宋_GB2312"/>
          <w:sz w:val="32"/>
          <w:szCs w:val="32"/>
        </w:rPr>
        <w:t>建档立卡贫困人口提高医疗保障待遇工作</w:t>
      </w:r>
    </w:p>
    <w:p w14:paraId="7888F258">
      <w:pPr>
        <w:ind w:firstLine="640" w:firstLineChars="200"/>
        <w:jc w:val="left"/>
        <w:rPr>
          <w:rFonts w:ascii="仿宋" w:hAnsi="仿宋" w:eastAsia="仿宋" w:cs="仿宋_GB2312"/>
          <w:sz w:val="32"/>
          <w:szCs w:val="32"/>
        </w:rPr>
      </w:pPr>
      <w:r>
        <w:rPr>
          <w:rFonts w:ascii="仿宋" w:hAnsi="仿宋" w:eastAsia="仿宋" w:cs="仿宋_GB2312"/>
          <w:sz w:val="32"/>
          <w:szCs w:val="32"/>
        </w:rPr>
        <w:t>绩效目标： 享受贫困人口住院不交押金待遇及“基本医保+大病保险+医疗救助”三重保障等制度。</w:t>
      </w:r>
    </w:p>
    <w:p w14:paraId="2B2290AE">
      <w:pPr>
        <w:ind w:firstLine="640" w:firstLineChars="200"/>
        <w:jc w:val="left"/>
        <w:rPr>
          <w:rFonts w:ascii="仿宋" w:hAnsi="仿宋" w:eastAsia="仿宋" w:cs="仿宋_GB2312"/>
          <w:sz w:val="32"/>
          <w:szCs w:val="32"/>
        </w:rPr>
      </w:pPr>
      <w:r>
        <w:rPr>
          <w:rFonts w:ascii="仿宋" w:hAnsi="仿宋" w:eastAsia="仿宋" w:cs="仿宋_GB2312"/>
          <w:sz w:val="32"/>
          <w:szCs w:val="32"/>
        </w:rPr>
        <w:t>绩效指标：医保扶贫政策落实率100%。</w:t>
      </w:r>
    </w:p>
    <w:p w14:paraId="3E59B9E0">
      <w:pPr>
        <w:ind w:firstLine="640" w:firstLineChars="200"/>
        <w:jc w:val="left"/>
        <w:rPr>
          <w:rFonts w:ascii="仿宋" w:hAnsi="仿宋" w:eastAsia="仿宋" w:cs="仿宋_GB2312"/>
          <w:sz w:val="32"/>
          <w:szCs w:val="32"/>
        </w:rPr>
      </w:pPr>
      <w:r>
        <w:rPr>
          <w:rFonts w:hint="eastAsia" w:ascii="仿宋" w:hAnsi="仿宋" w:eastAsia="仿宋" w:cs="仿宋_GB2312"/>
          <w:sz w:val="32"/>
          <w:szCs w:val="32"/>
          <w:lang w:val="en-US" w:eastAsia="zh-CN"/>
        </w:rPr>
        <w:t>6</w:t>
      </w:r>
      <w:r>
        <w:rPr>
          <w:rFonts w:hint="eastAsia" w:ascii="仿宋" w:hAnsi="仿宋" w:eastAsia="仿宋" w:cs="仿宋_GB2312"/>
          <w:sz w:val="32"/>
          <w:szCs w:val="32"/>
        </w:rPr>
        <w:t>、</w:t>
      </w:r>
      <w:r>
        <w:rPr>
          <w:rFonts w:ascii="仿宋" w:hAnsi="仿宋" w:eastAsia="仿宋" w:cs="仿宋_GB2312"/>
          <w:sz w:val="32"/>
          <w:szCs w:val="32"/>
        </w:rPr>
        <w:t>医药价格监管</w:t>
      </w:r>
    </w:p>
    <w:p w14:paraId="6C124F30">
      <w:pPr>
        <w:ind w:firstLine="640" w:firstLineChars="200"/>
        <w:jc w:val="left"/>
        <w:rPr>
          <w:rFonts w:ascii="仿宋" w:hAnsi="仿宋" w:eastAsia="仿宋" w:cs="仿宋_GB2312"/>
          <w:sz w:val="32"/>
          <w:szCs w:val="32"/>
        </w:rPr>
      </w:pPr>
      <w:r>
        <w:rPr>
          <w:rFonts w:ascii="仿宋" w:hAnsi="仿宋" w:eastAsia="仿宋" w:cs="仿宋_GB2312"/>
          <w:sz w:val="32"/>
          <w:szCs w:val="32"/>
        </w:rPr>
        <w:t>绩效目标：规范医药价格管理，确保相关政策落实到位。</w:t>
      </w:r>
    </w:p>
    <w:p w14:paraId="3E6C01DD">
      <w:pPr>
        <w:ind w:firstLine="640" w:firstLineChars="200"/>
        <w:jc w:val="left"/>
        <w:rPr>
          <w:rFonts w:ascii="仿宋" w:hAnsi="仿宋" w:eastAsia="仿宋" w:cs="仿宋_GB2312"/>
          <w:sz w:val="32"/>
          <w:szCs w:val="32"/>
        </w:rPr>
      </w:pPr>
      <w:r>
        <w:rPr>
          <w:rFonts w:ascii="仿宋" w:hAnsi="仿宋" w:eastAsia="仿宋" w:cs="仿宋_GB2312"/>
          <w:sz w:val="32"/>
          <w:szCs w:val="32"/>
        </w:rPr>
        <w:t>绩效指标：加强监督检查力度，规范定点医药机构收费行为，监管实现全覆盖。</w:t>
      </w:r>
    </w:p>
    <w:p w14:paraId="049BCA50">
      <w:pPr>
        <w:ind w:firstLine="640" w:firstLineChars="200"/>
        <w:jc w:val="left"/>
        <w:rPr>
          <w:rFonts w:ascii="仿宋" w:hAnsi="仿宋" w:eastAsia="仿宋" w:cs="仿宋_GB2312"/>
          <w:sz w:val="32"/>
          <w:szCs w:val="32"/>
        </w:rPr>
      </w:pPr>
      <w:r>
        <w:rPr>
          <w:rFonts w:hint="eastAsia" w:ascii="仿宋" w:hAnsi="仿宋" w:eastAsia="仿宋" w:cs="仿宋_GB2312"/>
          <w:sz w:val="32"/>
          <w:szCs w:val="32"/>
          <w:lang w:val="en-US" w:eastAsia="zh-CN"/>
        </w:rPr>
        <w:t>7</w:t>
      </w:r>
      <w:r>
        <w:rPr>
          <w:rFonts w:hint="eastAsia" w:ascii="仿宋" w:hAnsi="仿宋" w:eastAsia="仿宋" w:cs="仿宋_GB2312"/>
          <w:sz w:val="32"/>
          <w:szCs w:val="32"/>
        </w:rPr>
        <w:t>、</w:t>
      </w:r>
      <w:r>
        <w:rPr>
          <w:rFonts w:ascii="仿宋" w:hAnsi="仿宋" w:eastAsia="仿宋" w:cs="仿宋_GB2312"/>
          <w:sz w:val="32"/>
          <w:szCs w:val="32"/>
        </w:rPr>
        <w:t>药品招采、耗材零差率销售工作</w:t>
      </w:r>
    </w:p>
    <w:p w14:paraId="31E2C43E">
      <w:pPr>
        <w:ind w:firstLine="640" w:firstLineChars="200"/>
        <w:jc w:val="left"/>
        <w:rPr>
          <w:rFonts w:ascii="仿宋" w:hAnsi="仿宋" w:eastAsia="仿宋" w:cs="仿宋_GB2312"/>
          <w:sz w:val="32"/>
          <w:szCs w:val="32"/>
        </w:rPr>
      </w:pPr>
      <w:r>
        <w:rPr>
          <w:rFonts w:ascii="仿宋" w:hAnsi="仿宋" w:eastAsia="仿宋" w:cs="仿宋_GB2312"/>
          <w:sz w:val="32"/>
          <w:szCs w:val="32"/>
        </w:rPr>
        <w:t>绩效目标：提高药品招采占比，降低医药价格，确保医疗保障待遇落实到位。</w:t>
      </w:r>
    </w:p>
    <w:p w14:paraId="41C70C21">
      <w:pPr>
        <w:ind w:firstLine="640" w:firstLineChars="200"/>
        <w:jc w:val="left"/>
        <w:rPr>
          <w:rFonts w:ascii="仿宋" w:hAnsi="仿宋" w:eastAsia="仿宋" w:cs="仿宋_GB2312"/>
          <w:sz w:val="32"/>
          <w:szCs w:val="32"/>
        </w:rPr>
      </w:pPr>
      <w:r>
        <w:rPr>
          <w:rFonts w:ascii="仿宋" w:hAnsi="仿宋" w:eastAsia="仿宋" w:cs="仿宋_GB2312"/>
          <w:sz w:val="32"/>
          <w:szCs w:val="32"/>
        </w:rPr>
        <w:t>绩效指标：定点医疗机构药品招采占比不低于95%。</w:t>
      </w:r>
    </w:p>
    <w:p w14:paraId="3A79E157">
      <w:pPr>
        <w:ind w:firstLine="640" w:firstLineChars="200"/>
        <w:jc w:val="left"/>
        <w:rPr>
          <w:rFonts w:ascii="仿宋" w:hAnsi="仿宋" w:eastAsia="仿宋" w:cs="仿宋_GB2312"/>
          <w:sz w:val="32"/>
          <w:szCs w:val="32"/>
        </w:rPr>
      </w:pPr>
      <w:r>
        <w:rPr>
          <w:rFonts w:hint="eastAsia" w:ascii="仿宋" w:hAnsi="仿宋" w:eastAsia="仿宋" w:cs="仿宋_GB2312"/>
          <w:sz w:val="32"/>
          <w:szCs w:val="32"/>
          <w:lang w:val="en-US" w:eastAsia="zh-CN"/>
        </w:rPr>
        <w:t>8</w:t>
      </w:r>
      <w:r>
        <w:rPr>
          <w:rFonts w:hint="eastAsia" w:ascii="仿宋" w:hAnsi="仿宋" w:eastAsia="仿宋" w:cs="仿宋_GB2312"/>
          <w:sz w:val="32"/>
          <w:szCs w:val="32"/>
        </w:rPr>
        <w:t>、</w:t>
      </w:r>
      <w:r>
        <w:rPr>
          <w:rFonts w:ascii="仿宋" w:hAnsi="仿宋" w:eastAsia="仿宋" w:cs="仿宋_GB2312"/>
          <w:sz w:val="32"/>
          <w:szCs w:val="32"/>
        </w:rPr>
        <w:t>离退休干部医药费用补助管理</w:t>
      </w:r>
    </w:p>
    <w:p w14:paraId="53C507FD">
      <w:pPr>
        <w:ind w:firstLine="640" w:firstLineChars="200"/>
        <w:jc w:val="left"/>
        <w:rPr>
          <w:rFonts w:ascii="仿宋" w:hAnsi="仿宋" w:eastAsia="仿宋" w:cs="仿宋_GB2312"/>
          <w:sz w:val="32"/>
          <w:szCs w:val="32"/>
        </w:rPr>
      </w:pPr>
      <w:r>
        <w:rPr>
          <w:rFonts w:ascii="仿宋" w:hAnsi="仿宋" w:eastAsia="仿宋" w:cs="仿宋_GB2312"/>
          <w:sz w:val="32"/>
          <w:szCs w:val="32"/>
        </w:rPr>
        <w:t>绩效目标：离退休干部医疗门诊及住院费用及时结报。</w:t>
      </w:r>
    </w:p>
    <w:p w14:paraId="07CD20C6">
      <w:pPr>
        <w:ind w:firstLine="640" w:firstLineChars="200"/>
        <w:jc w:val="left"/>
        <w:rPr>
          <w:rFonts w:ascii="仿宋" w:hAnsi="仿宋" w:eastAsia="仿宋" w:cs="仿宋_GB2312"/>
          <w:color w:val="FF0000"/>
          <w:sz w:val="32"/>
          <w:szCs w:val="32"/>
        </w:rPr>
      </w:pPr>
      <w:r>
        <w:rPr>
          <w:rFonts w:ascii="仿宋" w:hAnsi="仿宋" w:eastAsia="仿宋" w:cs="仿宋_GB2312"/>
          <w:sz w:val="32"/>
          <w:szCs w:val="32"/>
        </w:rPr>
        <w:t>绩效指标：离退休干部医疗费用及时结报率</w:t>
      </w:r>
      <w:r>
        <w:rPr>
          <w:rFonts w:hint="eastAsia" w:ascii="仿宋" w:hAnsi="仿宋" w:eastAsia="仿宋" w:cs="仿宋_GB2312"/>
          <w:sz w:val="32"/>
          <w:szCs w:val="32"/>
        </w:rPr>
        <w:t>100%</w:t>
      </w:r>
      <w:r>
        <w:rPr>
          <w:rFonts w:ascii="仿宋" w:hAnsi="仿宋" w:eastAsia="仿宋" w:cs="仿宋_GB2312"/>
          <w:sz w:val="32"/>
          <w:szCs w:val="32"/>
        </w:rPr>
        <w:t>。</w:t>
      </w:r>
    </w:p>
    <w:p w14:paraId="05A0DC27">
      <w:pPr>
        <w:ind w:firstLine="640" w:firstLineChars="200"/>
        <w:jc w:val="left"/>
        <w:rPr>
          <w:rFonts w:ascii="仿宋" w:hAnsi="仿宋" w:eastAsia="仿宋" w:cs="仿宋_GB2312"/>
          <w:sz w:val="32"/>
          <w:szCs w:val="32"/>
        </w:rPr>
      </w:pPr>
      <w:r>
        <w:rPr>
          <w:rFonts w:hint="eastAsia" w:ascii="仿宋" w:hAnsi="仿宋" w:eastAsia="仿宋" w:cs="仿宋_GB2312"/>
          <w:sz w:val="32"/>
          <w:szCs w:val="32"/>
          <w:lang w:val="en-US" w:eastAsia="zh-CN"/>
        </w:rPr>
        <w:t>9</w:t>
      </w:r>
      <w:r>
        <w:rPr>
          <w:rFonts w:hint="eastAsia" w:ascii="仿宋" w:hAnsi="仿宋" w:eastAsia="仿宋" w:cs="仿宋_GB2312"/>
          <w:sz w:val="32"/>
          <w:szCs w:val="32"/>
        </w:rPr>
        <w:t>、</w:t>
      </w:r>
      <w:r>
        <w:rPr>
          <w:rFonts w:ascii="仿宋" w:hAnsi="仿宋" w:eastAsia="仿宋" w:cs="仿宋_GB2312"/>
          <w:sz w:val="32"/>
          <w:szCs w:val="32"/>
        </w:rPr>
        <w:t>人事管理及党务工作</w:t>
      </w:r>
    </w:p>
    <w:p w14:paraId="3928F08D">
      <w:pPr>
        <w:ind w:firstLine="640" w:firstLineChars="200"/>
        <w:jc w:val="left"/>
        <w:rPr>
          <w:rFonts w:ascii="仿宋" w:hAnsi="仿宋" w:eastAsia="仿宋" w:cs="仿宋_GB2312"/>
          <w:sz w:val="32"/>
          <w:szCs w:val="32"/>
        </w:rPr>
      </w:pPr>
      <w:r>
        <w:rPr>
          <w:rFonts w:ascii="仿宋" w:hAnsi="仿宋" w:eastAsia="仿宋" w:cs="仿宋_GB2312"/>
          <w:sz w:val="32"/>
          <w:szCs w:val="32"/>
        </w:rPr>
        <w:t>绩效目标：人事管理和教育培训工作、党建、宣传、思想政治、精神文明建设及群团工作。</w:t>
      </w:r>
    </w:p>
    <w:p w14:paraId="600C2AD0">
      <w:pPr>
        <w:ind w:firstLine="640" w:firstLineChars="200"/>
        <w:jc w:val="left"/>
        <w:rPr>
          <w:rFonts w:ascii="仿宋" w:hAnsi="仿宋" w:eastAsia="仿宋" w:cs="仿宋_GB2312"/>
          <w:sz w:val="32"/>
          <w:szCs w:val="32"/>
        </w:rPr>
      </w:pPr>
      <w:r>
        <w:rPr>
          <w:rFonts w:ascii="仿宋" w:hAnsi="仿宋" w:eastAsia="仿宋" w:cs="仿宋_GB2312"/>
          <w:sz w:val="32"/>
          <w:szCs w:val="32"/>
        </w:rPr>
        <w:t>绩效指标：完成上级部署的目标任务，完成率100%。</w:t>
      </w:r>
    </w:p>
    <w:p w14:paraId="0B5E0989">
      <w:pPr>
        <w:ind w:firstLine="640" w:firstLineChars="200"/>
        <w:jc w:val="left"/>
        <w:rPr>
          <w:rFonts w:ascii="仿宋" w:hAnsi="仿宋" w:eastAsia="仿宋" w:cs="仿宋_GB2312"/>
          <w:sz w:val="32"/>
          <w:szCs w:val="32"/>
        </w:rPr>
      </w:pPr>
      <w:r>
        <w:rPr>
          <w:rFonts w:hint="eastAsia" w:ascii="仿宋" w:hAnsi="仿宋" w:eastAsia="仿宋" w:cs="仿宋_GB2312"/>
          <w:sz w:val="32"/>
          <w:szCs w:val="32"/>
        </w:rPr>
        <w:t>1</w:t>
      </w:r>
      <w:r>
        <w:rPr>
          <w:rFonts w:hint="eastAsia" w:ascii="仿宋" w:hAnsi="仿宋" w:eastAsia="仿宋" w:cs="仿宋_GB2312"/>
          <w:sz w:val="32"/>
          <w:szCs w:val="32"/>
          <w:lang w:val="en-US" w:eastAsia="zh-CN"/>
        </w:rPr>
        <w:t>0</w:t>
      </w:r>
      <w:r>
        <w:rPr>
          <w:rFonts w:hint="eastAsia" w:ascii="仿宋" w:hAnsi="仿宋" w:eastAsia="仿宋" w:cs="仿宋_GB2312"/>
          <w:sz w:val="32"/>
          <w:szCs w:val="32"/>
        </w:rPr>
        <w:t>、</w:t>
      </w:r>
      <w:r>
        <w:rPr>
          <w:rFonts w:ascii="仿宋" w:hAnsi="仿宋" w:eastAsia="仿宋" w:cs="仿宋_GB2312"/>
          <w:sz w:val="32"/>
          <w:szCs w:val="32"/>
        </w:rPr>
        <w:t>经办窗口建设</w:t>
      </w:r>
    </w:p>
    <w:p w14:paraId="766B828A">
      <w:pPr>
        <w:ind w:firstLine="640" w:firstLineChars="200"/>
        <w:jc w:val="left"/>
        <w:rPr>
          <w:rFonts w:ascii="仿宋" w:hAnsi="仿宋" w:eastAsia="仿宋" w:cs="仿宋_GB2312"/>
          <w:sz w:val="32"/>
          <w:szCs w:val="32"/>
        </w:rPr>
      </w:pPr>
      <w:r>
        <w:rPr>
          <w:rFonts w:ascii="仿宋" w:hAnsi="仿宋" w:eastAsia="仿宋" w:cs="仿宋_GB2312"/>
          <w:sz w:val="32"/>
          <w:szCs w:val="32"/>
        </w:rPr>
        <w:t>绩效目标：加强管理经办工作人员业务培训，提高医疗保障服务能力，</w:t>
      </w:r>
      <w:r>
        <w:rPr>
          <w:rFonts w:hint="eastAsia" w:ascii="仿宋" w:hAnsi="仿宋" w:eastAsia="仿宋" w:cs="仿宋_GB2312"/>
          <w:sz w:val="32"/>
          <w:szCs w:val="32"/>
        </w:rPr>
        <w:t>提供优质便捷医保服务</w:t>
      </w:r>
      <w:r>
        <w:rPr>
          <w:rFonts w:ascii="仿宋" w:hAnsi="仿宋" w:eastAsia="仿宋" w:cs="仿宋_GB2312"/>
          <w:sz w:val="32"/>
          <w:szCs w:val="32"/>
        </w:rPr>
        <w:t>。</w:t>
      </w:r>
    </w:p>
    <w:p w14:paraId="2DE4B097">
      <w:pPr>
        <w:ind w:firstLine="640" w:firstLineChars="200"/>
        <w:jc w:val="left"/>
        <w:rPr>
          <w:rFonts w:ascii="仿宋" w:hAnsi="仿宋" w:eastAsia="仿宋" w:cs="仿宋_GB2312"/>
          <w:sz w:val="32"/>
          <w:szCs w:val="32"/>
        </w:rPr>
      </w:pPr>
      <w:r>
        <w:rPr>
          <w:rFonts w:ascii="仿宋" w:hAnsi="仿宋" w:eastAsia="仿宋" w:cs="仿宋_GB2312"/>
          <w:sz w:val="32"/>
          <w:szCs w:val="32"/>
        </w:rPr>
        <w:t>绩效指标：按照上级业务部门要求进行经办窗口建设，完成率100%。</w:t>
      </w:r>
    </w:p>
    <w:p w14:paraId="0651E054">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0E5DAADC">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根据项目执行情况和项目绩效情况，总得分99分，综合评价结论和项目综合绩效评价等级为优秀。</w:t>
      </w:r>
    </w:p>
    <w:p w14:paraId="72FDDF90">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2E71D593">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14:paraId="0A7A5BAD">
      <w:pPr>
        <w:ind w:firstLine="960" w:firstLineChars="300"/>
        <w:rPr>
          <w:rFonts w:ascii="仿宋_GB2312" w:hAnsi="仿宋" w:eastAsia="仿宋_GB2312" w:cs="仿宋"/>
          <w:sz w:val="32"/>
          <w:szCs w:val="32"/>
        </w:rPr>
      </w:pPr>
      <w:r>
        <w:rPr>
          <w:rFonts w:hint="eastAsia" w:ascii="仿宋_GB2312" w:hAnsi="仿宋" w:eastAsia="仿宋_GB2312" w:cs="仿宋"/>
          <w:sz w:val="32"/>
          <w:szCs w:val="32"/>
        </w:rPr>
        <w:t>预算编制不够细化，服务水平有待提高。</w:t>
      </w:r>
    </w:p>
    <w:p w14:paraId="50E54D3E">
      <w:pPr>
        <w:numPr>
          <w:ilvl w:val="0"/>
          <w:numId w:val="4"/>
        </w:numPr>
        <w:spacing w:line="560" w:lineRule="exact"/>
        <w:ind w:firstLine="640" w:firstLineChars="200"/>
        <w:rPr>
          <w:rFonts w:ascii="楷体" w:hAnsi="楷体" w:eastAsia="楷体"/>
          <w:bCs/>
          <w:sz w:val="32"/>
          <w:szCs w:val="32"/>
        </w:rPr>
      </w:pPr>
      <w:r>
        <w:rPr>
          <w:rFonts w:hint="eastAsia" w:ascii="楷体" w:hAnsi="楷体" w:eastAsia="楷体"/>
          <w:bCs/>
          <w:sz w:val="32"/>
          <w:szCs w:val="32"/>
        </w:rPr>
        <w:t>针对问题提出具体的改进措施或建议</w:t>
      </w:r>
    </w:p>
    <w:p w14:paraId="170B5862">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color w:val="000000"/>
          <w:kern w:val="0"/>
          <w:sz w:val="32"/>
          <w:szCs w:val="32"/>
        </w:rPr>
        <w:t>下一步加大工作力度，争取前期工作的落实。</w:t>
      </w:r>
      <w:r>
        <w:rPr>
          <w:rFonts w:hint="eastAsia" w:ascii="仿宋" w:hAnsi="仿宋" w:eastAsia="仿宋" w:cs="仿宋"/>
          <w:sz w:val="32"/>
          <w:szCs w:val="32"/>
        </w:rPr>
        <w:t>加强预算编制管理，夯实预算执行基础。采取更有效程序和方法合理安排资金，有效推进预算支出进度，达到综合预算、不偏不漏。</w:t>
      </w:r>
    </w:p>
    <w:p w14:paraId="2BB1334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1BACE136">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3B64C4D-24E9-4960-B295-29D1EB8A4CC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黑体"/>
    <w:panose1 w:val="02000000000000000000"/>
    <w:charset w:val="86"/>
    <w:family w:val="script"/>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embedRegular r:id="rId2" w:fontKey="{6EDCEB52-2199-4DFB-8159-4CA9461ED3A0}"/>
  </w:font>
  <w:font w:name="楷体">
    <w:panose1 w:val="02010609060101010101"/>
    <w:charset w:val="86"/>
    <w:family w:val="modern"/>
    <w:pitch w:val="default"/>
    <w:sig w:usb0="800002BF" w:usb1="38CF7CFA" w:usb2="00000016" w:usb3="00000000" w:csb0="00040001" w:csb1="00000000"/>
    <w:embedRegular r:id="rId3" w:fontKey="{0A6B5256-4ABA-41F3-9913-255CF823961F}"/>
  </w:font>
  <w:font w:name="楷体_GB2312">
    <w:altName w:val="楷体"/>
    <w:panose1 w:val="00000000000000000000"/>
    <w:charset w:val="86"/>
    <w:family w:val="auto"/>
    <w:pitch w:val="default"/>
    <w:sig w:usb0="00000000" w:usb1="00000000" w:usb2="00000000" w:usb3="00000000" w:csb0="00040000" w:csb1="00000000"/>
    <w:embedRegular r:id="rId4" w:fontKey="{430FF56D-0189-443B-9D85-87CCFB88B9B6}"/>
  </w:font>
  <w:font w:name="仿宋_GB2312">
    <w:altName w:val="仿宋"/>
    <w:panose1 w:val="02010609030101010101"/>
    <w:charset w:val="86"/>
    <w:family w:val="modern"/>
    <w:pitch w:val="default"/>
    <w:sig w:usb0="00000000" w:usb1="00000000" w:usb2="00000010" w:usb3="00000000" w:csb0="00040000" w:csb1="00000000"/>
    <w:embedRegular r:id="rId5" w:fontKey="{93282302-32B4-479A-95BC-54A9FFFC08DC}"/>
  </w:font>
  <w:font w:name="方正仿宋_GB2312">
    <w:panose1 w:val="02000000000000000000"/>
    <w:charset w:val="86"/>
    <w:family w:val="auto"/>
    <w:pitch w:val="default"/>
    <w:sig w:usb0="A00002BF" w:usb1="184F6CFA" w:usb2="00000012" w:usb3="00000000" w:csb0="00040001" w:csb1="00000000"/>
    <w:embedRegular r:id="rId6" w:fontKey="{364A7B7F-9509-4012-92DA-D5E1AEEAD55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7117A3">
    <w:pPr>
      <w:pStyle w:val="6"/>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0A042D5E">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- 4 -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E236C55"/>
    <w:multiLevelType w:val="singleLevel"/>
    <w:tmpl w:val="DE236C55"/>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225C83EB"/>
    <w:multiLevelType w:val="singleLevel"/>
    <w:tmpl w:val="225C83EB"/>
    <w:lvl w:ilvl="0" w:tentative="0">
      <w:start w:val="3"/>
      <w:numFmt w:val="decimal"/>
      <w:suff w:val="nothing"/>
      <w:lvlText w:val="%1．"/>
      <w:lvlJc w:val="left"/>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jBhN2RmYTk1YTNkNzQwMDdkNGFkODE0NWIzZjBiYmEifQ=="/>
  </w:docVars>
  <w:rsids>
    <w:rsidRoot w:val="0EBD2122"/>
    <w:rsid w:val="000B0260"/>
    <w:rsid w:val="00166DAC"/>
    <w:rsid w:val="00341B87"/>
    <w:rsid w:val="00406355"/>
    <w:rsid w:val="007E6C1F"/>
    <w:rsid w:val="00876936"/>
    <w:rsid w:val="00956A93"/>
    <w:rsid w:val="009E575C"/>
    <w:rsid w:val="00AF167E"/>
    <w:rsid w:val="00AF566A"/>
    <w:rsid w:val="00B478EA"/>
    <w:rsid w:val="00B6553A"/>
    <w:rsid w:val="00BC6576"/>
    <w:rsid w:val="00CE06BA"/>
    <w:rsid w:val="00F441CC"/>
    <w:rsid w:val="01B104CA"/>
    <w:rsid w:val="02106AB0"/>
    <w:rsid w:val="02B43A28"/>
    <w:rsid w:val="046F331E"/>
    <w:rsid w:val="05B80C59"/>
    <w:rsid w:val="07956271"/>
    <w:rsid w:val="09721397"/>
    <w:rsid w:val="0BB63BED"/>
    <w:rsid w:val="0EB97A43"/>
    <w:rsid w:val="0EBD2122"/>
    <w:rsid w:val="0F214EAE"/>
    <w:rsid w:val="10540D1C"/>
    <w:rsid w:val="11B71E6A"/>
    <w:rsid w:val="163143C5"/>
    <w:rsid w:val="18320CEA"/>
    <w:rsid w:val="1AAF0063"/>
    <w:rsid w:val="1BE140DE"/>
    <w:rsid w:val="1CC41839"/>
    <w:rsid w:val="248C197D"/>
    <w:rsid w:val="252959AF"/>
    <w:rsid w:val="277A6671"/>
    <w:rsid w:val="292D35B7"/>
    <w:rsid w:val="33C06DA7"/>
    <w:rsid w:val="33EB6CFF"/>
    <w:rsid w:val="35A12947"/>
    <w:rsid w:val="36D87F64"/>
    <w:rsid w:val="37387040"/>
    <w:rsid w:val="3AC74C58"/>
    <w:rsid w:val="3B625C0A"/>
    <w:rsid w:val="3CEE1963"/>
    <w:rsid w:val="3FCC6AD3"/>
    <w:rsid w:val="415220EA"/>
    <w:rsid w:val="41C23C13"/>
    <w:rsid w:val="42A522C6"/>
    <w:rsid w:val="435B2648"/>
    <w:rsid w:val="459B31D0"/>
    <w:rsid w:val="4C3A0D39"/>
    <w:rsid w:val="4C9C27FE"/>
    <w:rsid w:val="4FB6633E"/>
    <w:rsid w:val="4FF9AD8B"/>
    <w:rsid w:val="511F2F07"/>
    <w:rsid w:val="512260B4"/>
    <w:rsid w:val="52BD6ACB"/>
    <w:rsid w:val="54AD25D8"/>
    <w:rsid w:val="55537534"/>
    <w:rsid w:val="55A07E9D"/>
    <w:rsid w:val="561A74F1"/>
    <w:rsid w:val="597244E8"/>
    <w:rsid w:val="5A244A57"/>
    <w:rsid w:val="5B8855D8"/>
    <w:rsid w:val="5E912F6A"/>
    <w:rsid w:val="5EB71C30"/>
    <w:rsid w:val="618C7E67"/>
    <w:rsid w:val="63B138AB"/>
    <w:rsid w:val="64790728"/>
    <w:rsid w:val="66AF0CE5"/>
    <w:rsid w:val="6AC537CF"/>
    <w:rsid w:val="6E5B14A6"/>
    <w:rsid w:val="6FC8136C"/>
    <w:rsid w:val="711B255E"/>
    <w:rsid w:val="7491561A"/>
    <w:rsid w:val="78762B5D"/>
    <w:rsid w:val="791A3E30"/>
    <w:rsid w:val="79EF656A"/>
    <w:rsid w:val="7BB51E06"/>
    <w:rsid w:val="7C387F7C"/>
    <w:rsid w:val="7E5E47BF"/>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iPriority="1" w:name="Default Paragraph Font"/>
    <w:lsdException w:qFormat="1" w:uiPriority="99"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12">
    <w:name w:val="Default Paragraph Font"/>
    <w:autoRedefine/>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unhideWhenUsed/>
    <w:qFormat/>
    <w:uiPriority w:val="99"/>
    <w:pPr>
      <w:spacing w:after="120"/>
    </w:pPr>
    <w:rPr>
      <w:rFonts w:cs="Times New Roman"/>
    </w:rPr>
  </w:style>
  <w:style w:type="paragraph" w:styleId="3">
    <w:name w:val="Body Text Indent"/>
    <w:basedOn w:val="1"/>
    <w:next w:val="4"/>
    <w:autoRedefine/>
    <w:qFormat/>
    <w:uiPriority w:val="99"/>
    <w:pPr>
      <w:ind w:left="420" w:leftChars="200"/>
    </w:pPr>
  </w:style>
  <w:style w:type="paragraph" w:styleId="4">
    <w:name w:val="Subtitle"/>
    <w:basedOn w:val="1"/>
    <w:next w:val="1"/>
    <w:autoRedefine/>
    <w:qFormat/>
    <w:uiPriority w:val="0"/>
    <w:pPr>
      <w:spacing w:line="700" w:lineRule="exact"/>
      <w:jc w:val="center"/>
      <w:outlineLvl w:val="1"/>
    </w:pPr>
    <w:rPr>
      <w:rFonts w:ascii="Arial" w:hAnsi="Arial" w:eastAsia="方正小标宋简体" w:cs="Arial"/>
      <w:b/>
      <w:bCs/>
      <w:kern w:val="28"/>
      <w:sz w:val="44"/>
      <w:szCs w:val="44"/>
    </w:rPr>
  </w:style>
  <w:style w:type="paragraph" w:styleId="5">
    <w:name w:val="Body Text Indent 2"/>
    <w:basedOn w:val="2"/>
    <w:autoRedefine/>
    <w:qFormat/>
    <w:uiPriority w:val="0"/>
    <w:pPr>
      <w:ind w:left="420" w:leftChars="200"/>
    </w:pPr>
    <w:rPr>
      <w:rFonts w:ascii="Times New Roman" w:hAnsi="Times New Roman"/>
    </w:rPr>
  </w:style>
  <w:style w:type="paragraph" w:styleId="6">
    <w:name w:val="footer"/>
    <w:basedOn w:val="1"/>
    <w:autoRedefine/>
    <w:qFormat/>
    <w:uiPriority w:val="0"/>
    <w:pPr>
      <w:tabs>
        <w:tab w:val="center" w:pos="4153"/>
        <w:tab w:val="right" w:pos="8306"/>
      </w:tabs>
      <w:snapToGrid w:val="0"/>
      <w:jc w:val="left"/>
    </w:pPr>
    <w:rPr>
      <w:sz w:val="18"/>
    </w:rPr>
  </w:style>
  <w:style w:type="paragraph" w:styleId="7">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8">
    <w:name w:val="Normal (Web)"/>
    <w:basedOn w:val="1"/>
    <w:autoRedefine/>
    <w:unhideWhenUsed/>
    <w:qFormat/>
    <w:uiPriority w:val="0"/>
    <w:pPr>
      <w:widowControl/>
      <w:jc w:val="left"/>
    </w:pPr>
    <w:rPr>
      <w:rFonts w:ascii="宋体" w:hAnsi="宋体" w:eastAsia="宋体" w:cs="宋体"/>
      <w:kern w:val="0"/>
      <w:sz w:val="24"/>
      <w:szCs w:val="24"/>
    </w:rPr>
  </w:style>
  <w:style w:type="paragraph" w:styleId="9">
    <w:name w:val="Title"/>
    <w:basedOn w:val="1"/>
    <w:next w:val="1"/>
    <w:autoRedefine/>
    <w:qFormat/>
    <w:uiPriority w:val="10"/>
    <w:pPr>
      <w:spacing w:before="240" w:after="60"/>
      <w:jc w:val="center"/>
      <w:outlineLvl w:val="0"/>
    </w:pPr>
    <w:rPr>
      <w:rFonts w:ascii="Cambria" w:hAnsi="Cambria"/>
      <w:b/>
      <w:bCs/>
      <w:kern w:val="0"/>
    </w:rPr>
  </w:style>
  <w:style w:type="paragraph" w:styleId="10">
    <w:name w:val="Body Text First Indent 2"/>
    <w:basedOn w:val="3"/>
    <w:next w:val="5"/>
    <w:autoRedefine/>
    <w:qFormat/>
    <w:uiPriority w:val="99"/>
    <w:pPr>
      <w:ind w:firstLine="420" w:firstLineChars="200"/>
    </w:pPr>
  </w:style>
  <w:style w:type="character" w:styleId="13">
    <w:name w:val="Strong"/>
    <w:basedOn w:val="12"/>
    <w:autoRedefine/>
    <w:qFormat/>
    <w:uiPriority w:val="0"/>
    <w:rPr>
      <w:b/>
    </w:rPr>
  </w:style>
  <w:style w:type="paragraph" w:customStyle="1" w:styleId="14">
    <w:name w:val="正文部分 Char Char Char"/>
    <w:basedOn w:val="2"/>
    <w:next w:val="15"/>
    <w:autoRedefine/>
    <w:qFormat/>
    <w:uiPriority w:val="0"/>
    <w:pPr>
      <w:adjustRightInd w:val="0"/>
      <w:snapToGrid w:val="0"/>
      <w:spacing w:line="460" w:lineRule="exact"/>
      <w:textAlignment w:val="baseline"/>
    </w:pPr>
    <w:rPr>
      <w:sz w:val="24"/>
    </w:rPr>
  </w:style>
  <w:style w:type="paragraph" w:customStyle="1" w:styleId="15">
    <w:name w:val="章标题"/>
    <w:basedOn w:val="9"/>
    <w:autoRedefine/>
    <w:qFormat/>
    <w:uiPriority w:val="0"/>
    <w:pPr>
      <w:spacing w:line="360" w:lineRule="auto"/>
    </w:pPr>
  </w:style>
  <w:style w:type="paragraph" w:customStyle="1" w:styleId="16">
    <w:name w:val="Default"/>
    <w:autoRedefine/>
    <w:qFormat/>
    <w:uiPriority w:val="0"/>
    <w:pPr>
      <w:widowControl w:val="0"/>
      <w:autoSpaceDE w:val="0"/>
      <w:autoSpaceDN w:val="0"/>
      <w:adjustRightInd w:val="0"/>
    </w:pPr>
    <w:rPr>
      <w:rFonts w:ascii="黑体" w:hAnsi="黑体" w:eastAsia="宋体" w:cs="黑体"/>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10</Pages>
  <Words>4993</Words>
  <Characters>5180</Characters>
  <Lines>31</Lines>
  <Paragraphs>8</Paragraphs>
  <TotalTime>0</TotalTime>
  <ScaleCrop>false</ScaleCrop>
  <LinksUpToDate>false</LinksUpToDate>
  <CharactersWithSpaces>5203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13323011735</cp:lastModifiedBy>
  <cp:lastPrinted>2022-01-19T15:24:00Z</cp:lastPrinted>
  <dcterms:modified xsi:type="dcterms:W3CDTF">2025-09-26T08:17:30Z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311EBC06B30B4183983EFFD5CDA5B6B2_12</vt:lpwstr>
  </property>
  <property fmtid="{D5CDD505-2E9C-101B-9397-08002B2CF9AE}" pid="4" name="KSOTemplateDocerSaveRecord">
    <vt:lpwstr>eyJoZGlkIjoiZTNhMzhmNjU3NDU2YjNiYWExNDJlM2Y4YTNjMzYyNWIiLCJ1c2VySWQiOiIxNTUwMjQwMDk2In0=</vt:lpwstr>
  </property>
</Properties>
</file>