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4815E0">
      <w:pPr>
        <w:adjustRightInd w:val="0"/>
        <w:snapToGrid w:val="0"/>
        <w:spacing w:line="560" w:lineRule="exact"/>
        <w:rPr>
          <w:rFonts w:hint="eastAsia" w:ascii="黑体" w:hAnsi="黑体" w:eastAsia="黑体" w:cs="黑体"/>
          <w:sz w:val="32"/>
          <w:szCs w:val="32"/>
        </w:rPr>
      </w:pPr>
      <w:r>
        <w:rPr>
          <w:rFonts w:hint="eastAsia" w:ascii="黑体" w:hAnsi="黑体" w:eastAsia="黑体" w:cs="黑体"/>
          <w:sz w:val="32"/>
          <w:szCs w:val="32"/>
        </w:rPr>
        <w:t>附件4</w:t>
      </w:r>
    </w:p>
    <w:p w14:paraId="7B08883C">
      <w:pPr>
        <w:spacing w:line="560" w:lineRule="exact"/>
        <w:jc w:val="center"/>
        <w:rPr>
          <w:rFonts w:ascii="宋体" w:hAnsi="宋体" w:cs="宋体"/>
          <w:b/>
          <w:bCs/>
          <w:sz w:val="44"/>
          <w:szCs w:val="44"/>
        </w:rPr>
      </w:pPr>
    </w:p>
    <w:p w14:paraId="2147B1E5">
      <w:pPr>
        <w:spacing w:line="560" w:lineRule="exact"/>
        <w:jc w:val="center"/>
        <w:rPr>
          <w:rFonts w:hint="eastAsia" w:ascii="宋体" w:hAnsi="宋体" w:cs="宋体"/>
          <w:b/>
          <w:bCs/>
          <w:sz w:val="44"/>
          <w:szCs w:val="44"/>
          <w:lang w:eastAsia="zh-CN"/>
        </w:rPr>
      </w:pPr>
      <w:r>
        <w:rPr>
          <w:rFonts w:hint="eastAsia" w:ascii="宋体" w:hAnsi="宋体" w:cs="宋体"/>
          <w:b/>
          <w:bCs/>
          <w:sz w:val="44"/>
          <w:szCs w:val="44"/>
          <w:lang w:eastAsia="zh-CN"/>
        </w:rPr>
        <w:t>赞皇县南清河乡人民政府</w:t>
      </w:r>
    </w:p>
    <w:p w14:paraId="325C502F">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14:paraId="0157C62E">
      <w:pPr>
        <w:spacing w:line="560" w:lineRule="exact"/>
        <w:jc w:val="center"/>
        <w:rPr>
          <w:rFonts w:ascii="华文楷体" w:eastAsia="华文楷体"/>
          <w:sz w:val="32"/>
          <w:szCs w:val="32"/>
        </w:rPr>
      </w:pPr>
    </w:p>
    <w:p w14:paraId="7E628446">
      <w:pPr>
        <w:adjustRightInd w:val="0"/>
        <w:snapToGrid w:val="0"/>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贯彻落实《</w:t>
      </w:r>
      <w:r>
        <w:rPr>
          <w:rFonts w:hint="eastAsia" w:ascii="仿宋_GB2312" w:hAnsi="仿宋_GB2312" w:eastAsia="仿宋_GB2312" w:cs="仿宋_GB2312"/>
          <w:sz w:val="32"/>
          <w:szCs w:val="32"/>
          <w:lang w:val="en-US" w:eastAsia="zh-CN"/>
        </w:rPr>
        <w:t>赞皇县财政局关于印发&lt;赞皇县全面实施预算绩效管理推进工作方案的通知&gt;</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赞财预</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号）》文件精神，遵循“科学性、规范性、客观性和公正性”的原则，对</w:t>
      </w:r>
      <w:r>
        <w:rPr>
          <w:rFonts w:hint="eastAsia" w:ascii="仿宋_GB2312" w:hAnsi="仿宋_GB2312" w:eastAsia="仿宋_GB2312" w:cs="仿宋_GB2312"/>
          <w:sz w:val="32"/>
          <w:szCs w:val="32"/>
          <w:lang w:eastAsia="zh-CN"/>
        </w:rPr>
        <w:t>赞皇县南清河乡人民政府</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年整体支出情况实施了财政支出绩效自评价，形成本评价报告。</w:t>
      </w:r>
    </w:p>
    <w:p w14:paraId="00288C04">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5DA4F637">
      <w:pPr>
        <w:keepNext w:val="0"/>
        <w:keepLines w:val="0"/>
        <w:pageBreakBefore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14:paraId="27708FC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1、主要</w:t>
      </w:r>
      <w:r>
        <w:rPr>
          <w:rFonts w:hint="eastAsia" w:ascii="仿宋_GB2312" w:hAnsi="仿宋_GB2312" w:eastAsia="仿宋_GB2312" w:cs="仿宋_GB2312"/>
          <w:sz w:val="32"/>
          <w:szCs w:val="32"/>
        </w:rPr>
        <w:t>职能。</w:t>
      </w:r>
    </w:p>
    <w:p w14:paraId="58DDCD1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14:paraId="51BE832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（2）讨论和决定本乡经济建设、政治建设、文化建设、社会建设、生态文明建设和党的建设以及乡村振兴中的重大问题。</w:t>
      </w:r>
    </w:p>
    <w:p w14:paraId="37FBFBD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（3）组织召开本级人民代表大会，充分行使重大事项决定权、监督权和任免权，做好人大代表工作，联系选民、反映群众意见和要求。</w:t>
      </w:r>
    </w:p>
    <w:p w14:paraId="3B51DCC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7229612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乡党委领导乡政权机关、群团组织和其他各类组织，加强指导和规范，支持和保证这些机关和组织依照国家法律法规以及各自章程履行职责。坚持党管武装的根本原则和制度，协调各方力量，对乡人民武装工作实行统一领导。</w:t>
      </w:r>
    </w:p>
    <w:p w14:paraId="1000FD6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（6）加强乡党委自身建设和村党组织建设，以及其他隶属乡党委的党组织建设，抓好发展党员工作，加强党员队伍建设。维护和执行党的纪律，监督党员干部和其他任何工作人员严格遵守国家法律法规。</w:t>
      </w:r>
    </w:p>
    <w:p w14:paraId="47BEB6E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（7）按照干部管理权限，负责对干部的教育、培训、选拔、考核和监督工作。协助管理上级有关部门驻乡单位的干部。做好人才服务工作。</w:t>
      </w:r>
    </w:p>
    <w:p w14:paraId="5025F41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8）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31EFDBD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default"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9）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1FC5FB7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（10）承办上级党委、人大、政府交办的其他事项。</w:t>
      </w:r>
    </w:p>
    <w:p w14:paraId="2B7D2ACB">
      <w:pPr>
        <w:snapToGrid w:val="0"/>
        <w:spacing w:line="52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2</w:t>
      </w:r>
      <w:r>
        <w:rPr>
          <w:rFonts w:hint="eastAsia" w:ascii="仿宋_GB2312" w:hAnsi="仿宋" w:eastAsia="仿宋_GB2312"/>
          <w:sz w:val="32"/>
          <w:szCs w:val="32"/>
          <w:lang w:eastAsia="zh-CN"/>
        </w:rPr>
        <w:t>、</w:t>
      </w:r>
      <w:r>
        <w:rPr>
          <w:rFonts w:hint="eastAsia" w:ascii="仿宋_GB2312" w:hAnsi="仿宋" w:eastAsia="仿宋_GB2312"/>
          <w:sz w:val="32"/>
          <w:szCs w:val="32"/>
        </w:rPr>
        <w:t>机构情况，包括当年变动情况及原因。</w:t>
      </w:r>
    </w:p>
    <w:p w14:paraId="69FE55D2">
      <w:pPr>
        <w:snapToGrid w:val="0"/>
        <w:spacing w:line="520" w:lineRule="exact"/>
        <w:ind w:firstLine="640" w:firstLineChars="200"/>
        <w:rPr>
          <w:rFonts w:hint="eastAsia" w:ascii="仿宋_GB2312" w:hAnsi="仿宋_GB2312" w:eastAsia="仿宋_GB2312" w:cs="仿宋_GB2312"/>
          <w:b w:val="0"/>
          <w:bCs w:val="0"/>
          <w:sz w:val="32"/>
          <w:szCs w:val="32"/>
          <w:lang w:eastAsia="zh-CN"/>
        </w:rPr>
      </w:pPr>
      <w:r>
        <w:rPr>
          <w:rFonts w:ascii="仿宋_GB2312" w:hAnsi="仿宋" w:eastAsia="仿宋_GB2312"/>
          <w:sz w:val="32"/>
          <w:szCs w:val="32"/>
        </w:rPr>
        <w:t>赞皇县</w:t>
      </w:r>
      <w:r>
        <w:rPr>
          <w:rFonts w:hint="eastAsia" w:ascii="仿宋_GB2312" w:hAnsi="仿宋" w:eastAsia="仿宋_GB2312"/>
          <w:sz w:val="32"/>
          <w:szCs w:val="32"/>
          <w:lang w:eastAsia="zh-CN"/>
        </w:rPr>
        <w:t>南清河乡人民政府</w:t>
      </w:r>
      <w:r>
        <w:rPr>
          <w:rFonts w:ascii="仿宋_GB2312" w:hAnsi="仿宋" w:eastAsia="仿宋_GB2312"/>
          <w:sz w:val="32"/>
          <w:szCs w:val="32"/>
        </w:rPr>
        <w:t>为全额财政拨款正科级单位，内设机构</w:t>
      </w:r>
      <w:r>
        <w:rPr>
          <w:rFonts w:hint="eastAsia" w:ascii="仿宋_GB2312" w:hAnsi="仿宋" w:eastAsia="仿宋_GB2312"/>
          <w:sz w:val="32"/>
          <w:szCs w:val="32"/>
          <w:lang w:val="en-US" w:eastAsia="zh-CN"/>
        </w:rPr>
        <w:t>4</w:t>
      </w:r>
      <w:r>
        <w:rPr>
          <w:rFonts w:ascii="仿宋_GB2312" w:hAnsi="仿宋" w:eastAsia="仿宋_GB2312"/>
          <w:sz w:val="32"/>
          <w:szCs w:val="32"/>
        </w:rPr>
        <w:t>个，规格为股级</w:t>
      </w:r>
      <w:r>
        <w:rPr>
          <w:rFonts w:hint="eastAsia" w:ascii="仿宋_GB2312" w:hAnsi="仿宋" w:eastAsia="仿宋_GB2312"/>
          <w:sz w:val="32"/>
          <w:szCs w:val="32"/>
        </w:rPr>
        <w:t>。</w:t>
      </w:r>
      <w:r>
        <w:rPr>
          <w:rFonts w:hint="eastAsia" w:ascii="仿宋_GB2312" w:hAnsi="仿宋" w:eastAsia="仿宋_GB2312"/>
          <w:sz w:val="32"/>
          <w:szCs w:val="32"/>
          <w:lang w:eastAsia="zh-CN"/>
        </w:rPr>
        <w:t>分别是</w:t>
      </w:r>
      <w:r>
        <w:rPr>
          <w:rFonts w:hint="eastAsia" w:ascii="仿宋_GB2312" w:hAnsi="仿宋_GB2312" w:eastAsia="仿宋_GB2312" w:cs="仿宋_GB2312"/>
          <w:b w:val="0"/>
          <w:bCs w:val="0"/>
          <w:sz w:val="32"/>
          <w:szCs w:val="32"/>
        </w:rPr>
        <w:t>党政综合办公室</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党建工作办公室</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经济发展办公室</w:t>
      </w:r>
      <w:r>
        <w:rPr>
          <w:rFonts w:hint="eastAsia" w:ascii="仿宋_GB2312" w:hAnsi="仿宋_GB2312" w:eastAsia="仿宋_GB2312" w:cs="仿宋_GB2312"/>
          <w:b w:val="0"/>
          <w:bCs w:val="0"/>
          <w:sz w:val="32"/>
          <w:szCs w:val="32"/>
          <w:lang w:eastAsia="zh-CN"/>
        </w:rPr>
        <w:t>和</w:t>
      </w:r>
      <w:r>
        <w:rPr>
          <w:rFonts w:hint="eastAsia" w:ascii="仿宋_GB2312" w:hAnsi="仿宋_GB2312" w:eastAsia="仿宋_GB2312" w:cs="仿宋_GB2312"/>
          <w:b w:val="0"/>
          <w:bCs w:val="0"/>
          <w:sz w:val="32"/>
          <w:szCs w:val="32"/>
        </w:rPr>
        <w:t>安全发展办公室</w:t>
      </w:r>
      <w:r>
        <w:rPr>
          <w:rFonts w:hint="eastAsia" w:ascii="仿宋_GB2312" w:hAnsi="仿宋_GB2312" w:eastAsia="仿宋_GB2312" w:cs="仿宋_GB2312"/>
          <w:b w:val="0"/>
          <w:bCs w:val="0"/>
          <w:sz w:val="32"/>
          <w:szCs w:val="32"/>
          <w:lang w:eastAsia="zh-CN"/>
        </w:rPr>
        <w:t>。</w:t>
      </w:r>
    </w:p>
    <w:p w14:paraId="311361CB">
      <w:pPr>
        <w:snapToGrid w:val="0"/>
        <w:spacing w:line="520" w:lineRule="exact"/>
        <w:ind w:firstLine="640" w:firstLineChars="200"/>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val="0"/>
          <w:bCs w:val="0"/>
          <w:sz w:val="32"/>
          <w:szCs w:val="32"/>
          <w:lang w:eastAsia="zh-CN"/>
        </w:rPr>
        <w:t>所属事业单位</w:t>
      </w:r>
      <w:r>
        <w:rPr>
          <w:rFonts w:hint="eastAsia" w:ascii="仿宋_GB2312" w:hAnsi="仿宋_GB2312" w:eastAsia="仿宋_GB2312" w:cs="仿宋_GB2312"/>
          <w:b w:val="0"/>
          <w:bCs w:val="0"/>
          <w:sz w:val="32"/>
          <w:szCs w:val="32"/>
          <w:lang w:val="en-US" w:eastAsia="zh-CN"/>
        </w:rPr>
        <w:t>4个，分别是</w:t>
      </w:r>
      <w:r>
        <w:rPr>
          <w:rFonts w:hint="eastAsia" w:ascii="仿宋_GB2312" w:hAnsi="仿宋_GB2312" w:eastAsia="仿宋_GB2312" w:cs="仿宋_GB2312"/>
          <w:b w:val="0"/>
          <w:bCs w:val="0"/>
          <w:sz w:val="32"/>
          <w:szCs w:val="32"/>
        </w:rPr>
        <w:t>综合行政执法队</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退役军人服务站</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rPr>
        <w:t>行政综合服务中心</w:t>
      </w:r>
      <w:r>
        <w:rPr>
          <w:rFonts w:hint="eastAsia" w:ascii="仿宋_GB2312" w:hAnsi="仿宋_GB2312" w:eastAsia="仿宋_GB2312" w:cs="仿宋_GB2312"/>
          <w:b w:val="0"/>
          <w:bCs w:val="0"/>
          <w:sz w:val="32"/>
          <w:szCs w:val="32"/>
          <w:lang w:eastAsia="zh-CN"/>
        </w:rPr>
        <w:t>和</w:t>
      </w:r>
      <w:r>
        <w:rPr>
          <w:rFonts w:hint="eastAsia" w:ascii="仿宋_GB2312" w:hAnsi="仿宋_GB2312" w:eastAsia="仿宋_GB2312" w:cs="仿宋_GB2312"/>
          <w:b w:val="0"/>
          <w:bCs w:val="0"/>
          <w:sz w:val="32"/>
          <w:szCs w:val="32"/>
        </w:rPr>
        <w:t>农业综合服务中心</w:t>
      </w:r>
      <w:r>
        <w:rPr>
          <w:rFonts w:hint="eastAsia" w:ascii="仿宋_GB2312" w:hAnsi="仿宋_GB2312" w:eastAsia="仿宋_GB2312" w:cs="仿宋_GB2312"/>
          <w:b w:val="0"/>
          <w:bCs w:val="0"/>
          <w:sz w:val="32"/>
          <w:szCs w:val="32"/>
          <w:lang w:eastAsia="zh-CN"/>
        </w:rPr>
        <w:t>。</w:t>
      </w:r>
      <w:r>
        <w:rPr>
          <w:rFonts w:hint="eastAsia" w:ascii="仿宋_GB2312" w:hAnsi="仿宋" w:eastAsia="仿宋_GB2312"/>
          <w:sz w:val="32"/>
          <w:szCs w:val="32"/>
          <w:lang w:eastAsia="zh-CN"/>
        </w:rPr>
        <w:t>乡</w:t>
      </w:r>
      <w:r>
        <w:rPr>
          <w:rFonts w:ascii="仿宋_GB2312" w:hAnsi="仿宋" w:eastAsia="仿宋_GB2312"/>
          <w:sz w:val="32"/>
          <w:szCs w:val="32"/>
        </w:rPr>
        <w:t>纪委（监察办公室）</w:t>
      </w:r>
      <w:r>
        <w:rPr>
          <w:rFonts w:hint="eastAsia" w:ascii="仿宋_GB2312" w:hAnsi="仿宋" w:eastAsia="仿宋_GB2312"/>
          <w:sz w:val="32"/>
          <w:szCs w:val="32"/>
        </w:rPr>
        <w:t>负责全</w:t>
      </w:r>
      <w:r>
        <w:rPr>
          <w:rFonts w:hint="eastAsia" w:ascii="仿宋_GB2312" w:hAnsi="仿宋" w:eastAsia="仿宋_GB2312"/>
          <w:sz w:val="32"/>
          <w:szCs w:val="32"/>
          <w:lang w:eastAsia="zh-CN"/>
        </w:rPr>
        <w:t>乡</w:t>
      </w:r>
      <w:r>
        <w:rPr>
          <w:rFonts w:hint="eastAsia" w:ascii="仿宋_GB2312" w:hAnsi="仿宋" w:eastAsia="仿宋_GB2312"/>
          <w:sz w:val="32"/>
          <w:szCs w:val="32"/>
        </w:rPr>
        <w:t>党的纪律检查工作</w:t>
      </w:r>
      <w:r>
        <w:rPr>
          <w:rFonts w:ascii="仿宋_GB2312" w:hAnsi="仿宋" w:eastAsia="仿宋_GB2312"/>
          <w:sz w:val="32"/>
          <w:szCs w:val="32"/>
        </w:rPr>
        <w:t>。</w:t>
      </w:r>
    </w:p>
    <w:p w14:paraId="352A7128">
      <w:pPr>
        <w:numPr>
          <w:ilvl w:val="0"/>
          <w:numId w:val="0"/>
        </w:numPr>
        <w:snapToGrid w:val="0"/>
        <w:spacing w:line="520" w:lineRule="exact"/>
        <w:ind w:firstLine="640" w:firstLineChars="200"/>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（二）</w:t>
      </w:r>
      <w:r>
        <w:rPr>
          <w:rFonts w:hint="eastAsia" w:ascii="楷体_GB2312" w:hAnsi="楷体_GB2312" w:eastAsia="楷体_GB2312" w:cs="楷体_GB2312"/>
          <w:bCs/>
          <w:sz w:val="32"/>
          <w:szCs w:val="32"/>
        </w:rPr>
        <w:t>部门收支预决算情况</w:t>
      </w:r>
    </w:p>
    <w:p w14:paraId="70BA9DC5">
      <w:pPr>
        <w:snapToGrid w:val="0"/>
        <w:spacing w:line="520" w:lineRule="exact"/>
        <w:ind w:firstLine="640" w:firstLineChars="200"/>
        <w:rPr>
          <w:rFonts w:hint="default"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2024年决算收入1073.97763万元，</w:t>
      </w:r>
      <w:r>
        <w:rPr>
          <w:rFonts w:hint="eastAsia" w:ascii="仿宋_GB2312" w:hAnsi="仿宋_GB2312" w:eastAsia="仿宋_GB2312" w:cs="仿宋_GB2312"/>
          <w:b w:val="0"/>
          <w:bCs w:val="0"/>
          <w:sz w:val="32"/>
          <w:szCs w:val="32"/>
          <w:lang w:eastAsia="zh-CN"/>
        </w:rPr>
        <w:t>2024年</w:t>
      </w:r>
      <w:r>
        <w:rPr>
          <w:rFonts w:hint="eastAsia" w:ascii="仿宋_GB2312" w:hAnsi="仿宋_GB2312" w:eastAsia="仿宋_GB2312" w:cs="仿宋_GB2312"/>
          <w:b w:val="0"/>
          <w:bCs w:val="0"/>
          <w:sz w:val="32"/>
          <w:szCs w:val="32"/>
        </w:rPr>
        <w:t>支出预算</w:t>
      </w:r>
      <w:r>
        <w:rPr>
          <w:rFonts w:hint="eastAsia" w:ascii="仿宋_GB2312" w:hAnsi="仿宋_GB2312" w:eastAsia="仿宋_GB2312" w:cs="仿宋_GB2312"/>
          <w:b w:val="0"/>
          <w:bCs w:val="0"/>
          <w:sz w:val="32"/>
          <w:szCs w:val="32"/>
          <w:lang w:val="en-US" w:eastAsia="zh-CN"/>
        </w:rPr>
        <w:t>1073.97763</w:t>
      </w:r>
      <w:r>
        <w:rPr>
          <w:rFonts w:hint="eastAsia" w:ascii="仿宋_GB2312" w:hAnsi="仿宋_GB2312" w:eastAsia="仿宋_GB2312" w:cs="仿宋_GB2312"/>
          <w:b w:val="0"/>
          <w:bCs w:val="0"/>
          <w:sz w:val="32"/>
          <w:szCs w:val="32"/>
        </w:rPr>
        <w:t>万元</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bCs w:val="0"/>
          <w:sz w:val="32"/>
          <w:szCs w:val="32"/>
          <w:lang w:val="en-US" w:eastAsia="zh-CN"/>
        </w:rPr>
        <w:t>其中一般公共预算支出952.03381万元，政府性基金预算支出121.94382万元；人员经费支出530.477654万元，公用经费支出93.12482万元，项目支出450.375156万元。</w:t>
      </w:r>
    </w:p>
    <w:p w14:paraId="4154947E">
      <w:pPr>
        <w:adjustRightInd w:val="0"/>
        <w:snapToGrid w:val="0"/>
        <w:spacing w:line="560" w:lineRule="exact"/>
        <w:ind w:firstLine="640" w:firstLineChars="200"/>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（三）部门整体支出绩效目标、指标</w:t>
      </w:r>
    </w:p>
    <w:p w14:paraId="722B52A7">
      <w:pPr>
        <w:pStyle w:val="9"/>
        <w:ind w:firstLine="640" w:firstLineChars="20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1、总体绩效目标</w:t>
      </w:r>
    </w:p>
    <w:p w14:paraId="6553C2B9">
      <w:pPr>
        <w:pStyle w:val="9"/>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1）综合协调机关日常工作。加强机关日常工作的综合协调和督促检查；维持机关文电、值班、会务、机要、保密、档案、党务政务公开、对外联络、后勤保障等日常运转工作；加强机关和所属单位财务及国有资产管理等工作。加强指导基层自治和辖区内行政村的建设工作，收集、反映村情民意；加强爱国卫生日常工作，加强健康教育就业服务、人口与计划生育工作，加强社会救助、残疾保障工作，开展居家养老服务、精神障碍患者康复等工作。</w:t>
      </w:r>
    </w:p>
    <w:p w14:paraId="485CF874">
      <w:pPr>
        <w:pStyle w:val="9"/>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2）推进基层党建工作。加强基层党的政治建设、组织建设、思想建设、宣传工作、意识形态、精神文明建设、统战工作、民族宗教事务、党管武装、组织人事等工作；加强指导村（居）民委员会建立健全各项自治制度，指导村（居）民委员会的换届选举;统筹推进区域化党建工作，领导辖区内人大工作，以及工会、共青团、妇联等群团工作。</w:t>
      </w:r>
    </w:p>
    <w:p w14:paraId="123246D3">
      <w:pPr>
        <w:pStyle w:val="9"/>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3）加强应急管理和社会治理。加强应急管理工作，落实应急管理责任，制定突发事件应急预案，组织开展应急演练，加强消防、防汛抗洪、抗旱等防灾减灾相关工作；加强生产经营单位安全生产状况的监督检查，协助上级有关部门依法履行安全生产监督管理职责；加强领导辖区传染病防治工作，自然灾害救助相关工作，护林和森林草原防火相关工作。加强基层治理综合指挥工作，建立健全综合指挥协调机制和工作流程，统筹协调指挥各类民生诉求事项、各类政府服务热线交办事项的受理、研判、转办、落实、反馈工作；加强基层网格化管理工作；加强组织协调互联网舆情化解和舆论引导工作，统筹推进信息化网络管理工作；加强指挥平台建设管理工作。加强社会治安综合治理、法制宣传教育、信访工作，调解各类纠纷；加强群防群治组织建设，做好防范邪教工作；会同司法部门开展社区矫正、社区戒毒、社区康复工作，加强刑满释放人员安置帮教工作，加强做好未成年人保护工作。</w:t>
      </w:r>
    </w:p>
    <w:p w14:paraId="7BF5A155">
      <w:pPr>
        <w:pStyle w:val="9"/>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4）保护和监管自然资源。加强自然资源保护和监管、人居环境改善、土地调查、村乡规划建设、基本农田保护管理等工作；加强大气、水、土壤污染防治，水资源保护、水环境治理、节约用水、全民义务植树、古树名木保护、园林绿化等工作，加强禁止露天焚烧秸秆、“散乱污”企业综合整治工作。</w:t>
      </w:r>
    </w:p>
    <w:p w14:paraId="1B827E25">
      <w:pPr>
        <w:pStyle w:val="9"/>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 xml:space="preserve">（5）加强综合行政执法。根据有关法律法规和上级部门授权、委托，承担城乡建设、生态环境、文化市场、农业农村、安全生产、民族宗教等领域行政执法工作。 </w:t>
      </w:r>
    </w:p>
    <w:p w14:paraId="05244677">
      <w:pPr>
        <w:pStyle w:val="9"/>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6）优化便民服务。加强行政审批服务事项的受理、办理工作，提供政策和业务咨询；指导村便民服务点建设。加强开展群众文化艺术娱乐、体育活动，加强文化市场进行监督、巡查工作，加强文物普查、保护和开发利用工作，指导村文化室建设、文体设施规划建设。加强编制乡财政预决算，加强乡政府预算单位的财务管理和核算，加强村级资金核拨和监督管理等相关工作。</w:t>
      </w:r>
    </w:p>
    <w:p w14:paraId="35D6B6A4">
      <w:pPr>
        <w:pStyle w:val="9"/>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7）做好军人事务。加强退役军人就业创业扶持、拥军优属、优抚帮扶、走访慰问、信访接待、权益保障等工作；配合武装部做好征兵、民兵、预备役、国防教育、国民经济动员、人民防空、国防交通、国防设施保护等相关工作。</w:t>
      </w:r>
    </w:p>
    <w:p w14:paraId="16EA659B">
      <w:pPr>
        <w:pStyle w:val="9"/>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8）提供农业综合服务。加强农业、畜牧、林业、水利、农机等技术推广和服务工作，加强农产品质量安全监管工作，加强指导农业生产、技术培训和信息咨询服务；加强动植物病虫害及灾情的预报、防治、处置；加强指导新农村建设、乡村振兴、农村经济发展、农村体制改革、农村土地承包、扶贫开发、水土保持和综合治理等工作，加强农村环境卫生工作。</w:t>
      </w:r>
    </w:p>
    <w:p w14:paraId="17ED3879">
      <w:pPr>
        <w:pStyle w:val="9"/>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2、分项绩效目标</w:t>
      </w:r>
    </w:p>
    <w:p w14:paraId="231AD5D1">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（1）综合协调机关日常工作</w:t>
      </w:r>
    </w:p>
    <w:p w14:paraId="06821BA0">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1）做好监督检查和指导所属单位和行政村的档案工作。</w:t>
      </w:r>
    </w:p>
    <w:p w14:paraId="6539720B">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绩效目标：负责监督检查和指导所属单位和行政村的档案工作。</w:t>
      </w:r>
    </w:p>
    <w:p w14:paraId="15F185EB">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 xml:space="preserve">绩效指标：所属单位和行政村的档案完善情况达到良[88%,95%)   </w:t>
      </w:r>
    </w:p>
    <w:p w14:paraId="4F7AB0F5">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2）开展就业政策宣传、就业援助等就业服务工作。</w:t>
      </w:r>
    </w:p>
    <w:p w14:paraId="6C119516">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绩效目标：就业情况</w:t>
      </w:r>
    </w:p>
    <w:p w14:paraId="3942F836">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绩效指标：就业率增幅[93%,95%)</w:t>
      </w:r>
    </w:p>
    <w:p w14:paraId="6AD78C55">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3）做好辖区内人口与计划生育工作。</w:t>
      </w:r>
    </w:p>
    <w:p w14:paraId="6D5E8DD2">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绩效目标：人口责任目标完成情况</w:t>
      </w:r>
    </w:p>
    <w:p w14:paraId="4AB1DF36">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绩效指标：实际人口目标完成比率[94%,95%)</w:t>
      </w:r>
    </w:p>
    <w:p w14:paraId="0D719C69">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4）按权限开展社会救助工作。</w:t>
      </w:r>
    </w:p>
    <w:p w14:paraId="32926598">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绩效目标：社会救助次数</w:t>
      </w:r>
    </w:p>
    <w:p w14:paraId="08286DFE">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绩效指标：年社会救助3-5次</w:t>
      </w:r>
    </w:p>
    <w:p w14:paraId="3F2A1CB1">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5）按权限做好残疾人保障工作。</w:t>
      </w:r>
    </w:p>
    <w:p w14:paraId="1E922B2F">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绩效目标：救助服务率</w:t>
      </w:r>
    </w:p>
    <w:p w14:paraId="751291B4">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绩效指标：实际救助占应救助的比例[94%,95%)</w:t>
      </w:r>
    </w:p>
    <w:p w14:paraId="42C7901D">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6）做好本辖区爱国卫生日常工作。</w:t>
      </w:r>
    </w:p>
    <w:p w14:paraId="05808AE1">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绩效目标：开展次数</w:t>
      </w:r>
    </w:p>
    <w:p w14:paraId="5D771924">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绩效指标：每年实际开展3-5次</w:t>
      </w:r>
    </w:p>
    <w:p w14:paraId="37F0FE2D">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 xml:space="preserve">（2）推进基层党建工作    </w:t>
      </w:r>
    </w:p>
    <w:p w14:paraId="56AA38E5">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 xml:space="preserve">1）宣传执行党的路线、方针、政策,宣传和执行党中央、上级党组织和本级党组织的决议,团结、组织党内外的干部和群众,努力完成本单位所担负的任务。  </w:t>
      </w:r>
    </w:p>
    <w:p w14:paraId="57F39079">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绩效目标：宣传次数</w:t>
      </w:r>
    </w:p>
    <w:p w14:paraId="067AD13E">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绩效指标：每年实际开展宣传3-5次</w:t>
      </w:r>
    </w:p>
    <w:p w14:paraId="0AFAC683">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2）加强乡村财政资金监督管理，农村合同管理及农民减负工作；做好乡镇统计审计工作</w:t>
      </w:r>
    </w:p>
    <w:p w14:paraId="7F275AFA">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绩效目标：应公开村务实际公开率</w:t>
      </w:r>
    </w:p>
    <w:p w14:paraId="4548B25D">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绩效指标：村务公开村数占总村数的比例[85%,95%)</w:t>
      </w:r>
    </w:p>
    <w:p w14:paraId="18E81385">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3）维护和执行党的纪律,监督党员干部和其他任何工作人员严格遵守国家法律法规。</w:t>
      </w:r>
    </w:p>
    <w:p w14:paraId="5E41B59B">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绩效目标：民主决策率</w:t>
      </w:r>
    </w:p>
    <w:p w14:paraId="7AFFEE6F">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绩效指标：实际美丽乡村创建情况100%</w:t>
      </w:r>
    </w:p>
    <w:p w14:paraId="1C19388E">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4）做好乡镇党委自身建设和基层党组织建设,以及其他隶属乡镇党委的党组织建设。</w:t>
      </w:r>
    </w:p>
    <w:p w14:paraId="68AC1A46">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绩效目标：两委班子健全实际村数与应健全两委班子的村数相比</w:t>
      </w:r>
    </w:p>
    <w:p w14:paraId="068E6D00">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绩效指标：两委班子健全率100%</w:t>
      </w:r>
    </w:p>
    <w:p w14:paraId="33A2D644">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5）做好下级党的基层组织选举工作,对下级党组织的成立或撤销作出决定。</w:t>
      </w:r>
    </w:p>
    <w:p w14:paraId="28E2261E">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绩效目标：两委班子健全实际村数与应健全两委班子的村数相比</w:t>
      </w:r>
    </w:p>
    <w:p w14:paraId="743DA0AA">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绩效指标：两委班子健全率100%</w:t>
      </w:r>
    </w:p>
    <w:p w14:paraId="2C9BB7C3">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6）加强党员队伍建设,对党员进行教育、管理、监督和服务,做好经常性的发展党员工作。加强流动党员管理。</w:t>
      </w:r>
    </w:p>
    <w:p w14:paraId="24BDD786">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绩效目标：党员管理程度</w:t>
      </w:r>
    </w:p>
    <w:p w14:paraId="28105561">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绩效指标：管理党员覆盖率≥90%</w:t>
      </w:r>
    </w:p>
    <w:p w14:paraId="581A52C9">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7）落实统一战线工作任务要求,做好民族、宗教事务工作。</w:t>
      </w:r>
    </w:p>
    <w:p w14:paraId="3FB31287">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 xml:space="preserve">绩效目标：民族宗教事故次数     </w:t>
      </w:r>
    </w:p>
    <w:p w14:paraId="630CC635">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绩效指标：民族宗教事故次数少于1次</w:t>
      </w:r>
    </w:p>
    <w:p w14:paraId="291AD5B8">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8）领导辖区内人大工作,以及工会、共青团、妇联等工作。</w:t>
      </w:r>
    </w:p>
    <w:p w14:paraId="3B80F634">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绩效目标：完成年度责任目标</w:t>
      </w:r>
    </w:p>
    <w:p w14:paraId="3DE5915B">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绩效指标：年度责任目标完成率≥90%</w:t>
      </w:r>
    </w:p>
    <w:p w14:paraId="7DE01612">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9）根据委托授权做好本辖区内的宗教事务管理工作。</w:t>
      </w:r>
    </w:p>
    <w:p w14:paraId="68B9891F">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绩效目标：和谐开展次数</w:t>
      </w:r>
    </w:p>
    <w:p w14:paraId="2E4E605D">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绩效指标：宗教活动实际和谐开展次数3-5次</w:t>
      </w:r>
    </w:p>
    <w:p w14:paraId="60C00CBB">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10）指导村民委员会建立健全各项自治制度,并予以备案。</w:t>
      </w:r>
    </w:p>
    <w:p w14:paraId="476C9764">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绩效目标：制度健全率</w:t>
      </w:r>
    </w:p>
    <w:p w14:paraId="089550D8">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绩效指标：制度健全率≥90%</w:t>
      </w:r>
    </w:p>
    <w:p w14:paraId="620FC94E">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11）做好指导村民委员会的换届选举工作。</w:t>
      </w:r>
    </w:p>
    <w:p w14:paraId="0DB8776B">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绩效目标：两委班子健全率</w:t>
      </w:r>
    </w:p>
    <w:p w14:paraId="433F84E8">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绩效指标：两委班子健全率100%</w:t>
      </w:r>
    </w:p>
    <w:p w14:paraId="1D61A845">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12）做好全乡党的纪律检查工作和内部审计工作</w:t>
      </w:r>
    </w:p>
    <w:p w14:paraId="34A40D59">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绩效目标：工作完成情况</w:t>
      </w:r>
    </w:p>
    <w:p w14:paraId="092E5846">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绩效指标：年度责任目标完成率≥90%</w:t>
      </w:r>
    </w:p>
    <w:p w14:paraId="7F0AADAE">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 xml:space="preserve">（3）加强应急管理和社会治理    </w:t>
      </w:r>
    </w:p>
    <w:p w14:paraId="436ED5D1">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1）加强本辖区生产经营单位安全生产状况的监督检查,协助上级有关部门依法履行安全生产监督管理职责。</w:t>
      </w:r>
    </w:p>
    <w:p w14:paraId="371B0E50">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 xml:space="preserve">绩效目标：安全生产检查覆盖面    </w:t>
      </w:r>
    </w:p>
    <w:p w14:paraId="4D5701B3">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绩效指标：实际安全生产检查覆盖率≥90%</w:t>
      </w:r>
    </w:p>
    <w:p w14:paraId="736456E1">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2）做好辖区应急管理工作,建立健全应急联动机制,严格落实应急管理责任,加强基层综合应急队伍建设和应急保障能力。</w:t>
      </w:r>
    </w:p>
    <w:p w14:paraId="7F9A7995">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 xml:space="preserve">绩效目标：应急处理能力     </w:t>
      </w:r>
    </w:p>
    <w:p w14:paraId="549A326C">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绩效指标：处理应急事件的能力≥90%</w:t>
      </w:r>
    </w:p>
    <w:p w14:paraId="1DCE03E8">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3）做好辖区防汛抗洪、抗旱等相关工作。</w:t>
      </w:r>
    </w:p>
    <w:p w14:paraId="26D4058F">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绩效目标：组织防汛演练</w:t>
      </w:r>
    </w:p>
    <w:p w14:paraId="2A5F7F99">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绩效指标：组织防汛演练次数3-5次</w:t>
      </w:r>
    </w:p>
    <w:p w14:paraId="6A58778A">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4）按照职责分工和相关预案开展突发环境事件应急处置工作,按照有关规定向上级报告,</w:t>
      </w:r>
    </w:p>
    <w:p w14:paraId="24AF3BE9">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绩效目标：应急处理能力</w:t>
      </w:r>
    </w:p>
    <w:p w14:paraId="09D9E522">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绩效指标：应急处理能力提高≥90%</w:t>
      </w:r>
    </w:p>
    <w:p w14:paraId="061EDF86">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5）履行辖区护林和森林草原防火职责,明确责任分工、开展宣传教育、组织防火巡查巡护、组建火灾扑救队伍、做好防灭火物资储备、制定火灾应急处置办法、组织开展应急演练、做好火灾预防扑救。</w:t>
      </w:r>
    </w:p>
    <w:p w14:paraId="7AEEBB1B">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绩效目标：火情出现次数</w:t>
      </w:r>
    </w:p>
    <w:p w14:paraId="4F7CD1FE">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绩效指标：火情出现次数少于1次</w:t>
      </w:r>
    </w:p>
    <w:p w14:paraId="0BFD2F8B">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6）做好信访工作,畅通信访渠道,处理来信、接待来访。</w:t>
      </w:r>
    </w:p>
    <w:p w14:paraId="45E1976E">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绩效目标：出现越级访和非访次数</w:t>
      </w:r>
    </w:p>
    <w:p w14:paraId="564A0230">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绩效指标：出现越级访和非访次数少于1次</w:t>
      </w:r>
    </w:p>
    <w:p w14:paraId="4BB066E0">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7）制定本辖区社会治安综合治理规划,检查、推动社会治安综合治理措施的落实,协调和督促有关部门开展法制宣传教育工作、调解各类纠纷。</w:t>
      </w:r>
    </w:p>
    <w:p w14:paraId="566A5C0F">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绩效目标：群众矛盾调解率</w:t>
      </w:r>
    </w:p>
    <w:p w14:paraId="2252FB85">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绩效指标：群众矛盾调解成功占来访群众和比例≥90%</w:t>
      </w:r>
    </w:p>
    <w:p w14:paraId="415D752A">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 xml:space="preserve">（4）保护和监管自然资源    </w:t>
      </w:r>
    </w:p>
    <w:p w14:paraId="1403F89D">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1）做好本区域范围内的村镇规划建设管理工作。</w:t>
      </w:r>
    </w:p>
    <w:p w14:paraId="64F25753">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绩效目标：工作完成情况</w:t>
      </w:r>
    </w:p>
    <w:p w14:paraId="6EBEDE79">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绩效指标：村庄合理化规划占比≥85%</w:t>
      </w:r>
    </w:p>
    <w:p w14:paraId="3FCB1523">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2）按照职责分工依法履行土壤污染防治和安全利用职责。</w:t>
      </w:r>
    </w:p>
    <w:p w14:paraId="12F7D443">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绩效目标：责任目标完成情况</w:t>
      </w:r>
    </w:p>
    <w:p w14:paraId="143AF552">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绩效指标：土壤安全利用率≥85%</w:t>
      </w:r>
    </w:p>
    <w:p w14:paraId="54598270">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3）按照职责分工做好本辖区河湖的水资源保护、水域岸线管理、水污染防治、水环境治理等工作,协助上级人民政府及其有关部门做好地下水相关管理和监督工作。</w:t>
      </w:r>
    </w:p>
    <w:p w14:paraId="5A74B82B">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绩效目标：水资源利用率</w:t>
      </w:r>
    </w:p>
    <w:p w14:paraId="3AC092B3">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绩效指标：水资源利用率≥85%</w:t>
      </w:r>
    </w:p>
    <w:p w14:paraId="3FDB54C2">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4）根据本地区的实际,组织开展大气污染防治工作。</w:t>
      </w:r>
    </w:p>
    <w:p w14:paraId="09CC6776">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绩效目标：责任目标完成情况</w:t>
      </w:r>
    </w:p>
    <w:p w14:paraId="45B1BC42">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绩效指标：发生秸秆焚烧次数少于1次</w:t>
      </w:r>
    </w:p>
    <w:p w14:paraId="71593725">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5）落实属地监管责任,做好禁止露天焚烧秸秆工作。</w:t>
      </w:r>
    </w:p>
    <w:p w14:paraId="6D46266A">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绩效目标：责任目标完成情况</w:t>
      </w:r>
    </w:p>
    <w:p w14:paraId="5B41F1C9">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绩效指标：发生秸秆焚烧次数少于1次</w:t>
      </w:r>
    </w:p>
    <w:p w14:paraId="4E00F3D6">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6）根据本地区的实际,组织开展扬尘污染防治工作。</w:t>
      </w:r>
    </w:p>
    <w:p w14:paraId="7CAFF280">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绩效目标：责任目标完成情况</w:t>
      </w:r>
    </w:p>
    <w:p w14:paraId="669BE900">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绩效指标：pm2.5指数降低比率≥90%</w:t>
      </w:r>
    </w:p>
    <w:p w14:paraId="565BFBEE">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 xml:space="preserve">7）按照职责分工做好“散乱污”企业综合整治工作。   </w:t>
      </w:r>
    </w:p>
    <w:p w14:paraId="534FE2D2">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绩效目标：工作完成情况</w:t>
      </w:r>
    </w:p>
    <w:p w14:paraId="150E9977">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绩效指标：散乱污企业处置次数少于1次</w:t>
      </w:r>
    </w:p>
    <w:p w14:paraId="46697BC8">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8）按照职责分工做好辖区环境保护和治理工作,配合做好联合巡查工作,及时查处影响辖区环境保护和治理的行为。</w:t>
      </w:r>
    </w:p>
    <w:p w14:paraId="5E42F7DD">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绩效目标：工作完成情况</w:t>
      </w:r>
    </w:p>
    <w:p w14:paraId="75F3C4F4">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绩效指标：危害环境案件次数少于1次</w:t>
      </w:r>
    </w:p>
    <w:p w14:paraId="197013C6">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9）做好辖区自然资源保护和监管工作。</w:t>
      </w:r>
    </w:p>
    <w:p w14:paraId="1D698B82">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 xml:space="preserve">绩效目标：工作完成情况     </w:t>
      </w:r>
    </w:p>
    <w:p w14:paraId="6C33BB97">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绩效指标：监管不力案件次数少于1次</w:t>
      </w:r>
    </w:p>
    <w:p w14:paraId="0698892E">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10）做好本行政区域内人居环境改善工作。</w:t>
      </w:r>
    </w:p>
    <w:p w14:paraId="7163BC7B">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绩效目标：人居环境改善程度</w:t>
      </w:r>
    </w:p>
    <w:p w14:paraId="046B3276">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绩效指标：人居环境改善程度≥90%</w:t>
      </w:r>
    </w:p>
    <w:p w14:paraId="222862D2">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 xml:space="preserve">（5）加强综合行政执法   </w:t>
      </w:r>
    </w:p>
    <w:p w14:paraId="1C3443DD">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 xml:space="preserve">1）根据法律法规和省政府授权,承担综合行政执法工作。  </w:t>
      </w:r>
    </w:p>
    <w:p w14:paraId="39ABBF59">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绩效目标：执法力度</w:t>
      </w:r>
    </w:p>
    <w:p w14:paraId="6BD60E59">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绩效指标：执法力度增幅≥90%</w:t>
      </w:r>
    </w:p>
    <w:p w14:paraId="61CD0399">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2）做好辖区内的食品安全隐患排查、信息报告、协助执法和宣传教育等工作,做好本行政区域内小作坊、小餐饮、小摊点的监督管理工作。</w:t>
      </w:r>
    </w:p>
    <w:p w14:paraId="0C963A51">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绩效目标：工作完成情况</w:t>
      </w:r>
    </w:p>
    <w:p w14:paraId="69138232">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绩效指标：出现危害食品安全的案件少于1次</w:t>
      </w:r>
    </w:p>
    <w:p w14:paraId="7F6B2AE2">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3）协助市场监督管理部门对药品零售活动进行监督。</w:t>
      </w:r>
    </w:p>
    <w:p w14:paraId="74FB3B09">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绩效目标：药品监管力度</w:t>
      </w:r>
    </w:p>
    <w:p w14:paraId="5708E6B6">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绩效指标：医药行业优化率≥85%</w:t>
      </w:r>
    </w:p>
    <w:p w14:paraId="60E3D968">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4）协助有关部门查处传销行为。</w:t>
      </w:r>
    </w:p>
    <w:p w14:paraId="786CFBC5">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绩效目标：传销人员数</w:t>
      </w:r>
    </w:p>
    <w:p w14:paraId="2D5B7F27">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绩效指标：辖区参与传销人员少于1人</w:t>
      </w:r>
    </w:p>
    <w:p w14:paraId="4134ECDE">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 xml:space="preserve">（6）加强综合服务中心建设   </w:t>
      </w:r>
    </w:p>
    <w:p w14:paraId="30D2E12F">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 xml:space="preserve">1）按照职责分工做好辖区城乡居民基本养老保险工作。 </w:t>
      </w:r>
    </w:p>
    <w:p w14:paraId="5E7B226C">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绩效目标：新农保参合率</w:t>
      </w:r>
    </w:p>
    <w:p w14:paraId="15089642">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绩效指标：全乡参加新农保实际人口占全乡农村总人口的比率≥90%</w:t>
      </w:r>
    </w:p>
    <w:p w14:paraId="3BBD3597">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2）做好辖区内城乡居民基本医疗保险的参保组织、基金征缴和政策宣传工作。</w:t>
      </w:r>
    </w:p>
    <w:p w14:paraId="0FAC9287">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绩效目标：新农合参合率</w:t>
      </w:r>
    </w:p>
    <w:p w14:paraId="5688D36C">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绩效指标：全乡参加新农合实际人口占全乡农村总人口的比率≥90%</w:t>
      </w:r>
    </w:p>
    <w:p w14:paraId="6630854D">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3）根据法律法规和省政府授权,承担行政审批服务工作。</w:t>
      </w:r>
    </w:p>
    <w:p w14:paraId="14A3D9BA">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绩效目标：工作完成情况</w:t>
      </w:r>
    </w:p>
    <w:p w14:paraId="5D6615F9">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绩效指标：群众满意度≥85%。</w:t>
      </w:r>
    </w:p>
    <w:p w14:paraId="6736236C">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 xml:space="preserve">（7）做好军人事务  </w:t>
      </w:r>
    </w:p>
    <w:p w14:paraId="677F659B">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 xml:space="preserve">1）做好本行政区域内村务公开工作的指导、监督。  </w:t>
      </w:r>
    </w:p>
    <w:p w14:paraId="1738055E">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绩效目标：出现军人越级访和非访次数</w:t>
      </w:r>
    </w:p>
    <w:p w14:paraId="7A2E1EF8">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绩效指标：出现军人越级访和非访次数少于1次</w:t>
      </w:r>
    </w:p>
    <w:p w14:paraId="0BAE47F3">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 xml:space="preserve">（8）提供农业综合服务   </w:t>
      </w:r>
    </w:p>
    <w:p w14:paraId="3BAE4302">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1）加强本辖区生产经营单位安全生产状况的监督检查,协助上级有关部门依法履行安全生产监督管理职责。</w:t>
      </w:r>
    </w:p>
    <w:p w14:paraId="27739A52">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 xml:space="preserve">绩效目标：应公开村务实际公开率   </w:t>
      </w:r>
    </w:p>
    <w:p w14:paraId="79455EAC">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绩效指标：应公开村务实际公开率≥90%</w:t>
      </w:r>
    </w:p>
    <w:p w14:paraId="1687725C">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2）按职责分工做好农产品质量安全监管工作,加强农产品质量安全知识的宣传,及时上报有关单位和个人报告的农产品质量安全事故。</w:t>
      </w:r>
    </w:p>
    <w:p w14:paraId="42666AA4">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 xml:space="preserve">绩效目标：农产品安全质量事故次数     </w:t>
      </w:r>
    </w:p>
    <w:p w14:paraId="0AF8F6D5">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绩效指标：农产品安全质量事故次数少于1次</w:t>
      </w:r>
    </w:p>
    <w:p w14:paraId="01E68D7B">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3）依法组织群众协助做好本辖区的动物疫病预防与控制工作,组织饲养动物的单位和个人做好强制免疫工作。</w:t>
      </w:r>
    </w:p>
    <w:p w14:paraId="2B00AD47">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绩效目标：动物防疫情况</w:t>
      </w:r>
    </w:p>
    <w:p w14:paraId="607B2A2B">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绩效指标：实际免疫情况占计划免疫情况的比例≥90%</w:t>
      </w:r>
    </w:p>
    <w:p w14:paraId="3EEF2707">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4）承担农村土地承包经营纠纷调解相关工作。</w:t>
      </w:r>
    </w:p>
    <w:p w14:paraId="14C51A25">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绩效目标：群众矛盾调解率</w:t>
      </w:r>
    </w:p>
    <w:p w14:paraId="0EA16F8C">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绩效指标：群众矛盾调解成功比例≥90%</w:t>
      </w:r>
    </w:p>
    <w:p w14:paraId="0FAA3C61">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5）做好组织当地农业生产经营组织和农业生产者对农业有害生物实施综合治理。</w:t>
      </w:r>
    </w:p>
    <w:p w14:paraId="3C51345B">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绩效目标：乡域经济增幅</w:t>
      </w:r>
    </w:p>
    <w:p w14:paraId="6AF987A2">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绩效指标：实际完成乡域经济对比上年度经济增长比例≥90%</w:t>
      </w:r>
    </w:p>
    <w:p w14:paraId="5192CA77">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6）加强辖区内的水土保持工作,开展水土流失综合治理,预防和减轻水土流失。</w:t>
      </w:r>
    </w:p>
    <w:p w14:paraId="58DD81D6">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绩效目标：破坏水土保持案件次数</w:t>
      </w:r>
    </w:p>
    <w:p w14:paraId="5334229B">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绩效指标：破坏水土保持案件次数少于1次</w:t>
      </w:r>
    </w:p>
    <w:p w14:paraId="394A878F">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7）协助上级人民政府有关部门做好本行政区域内农村供水用水管理等相关工作。</w:t>
      </w:r>
    </w:p>
    <w:p w14:paraId="50EA6EC1">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绩效目标：农村供水满意度</w:t>
      </w:r>
    </w:p>
    <w:p w14:paraId="4D89C45C">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绩效指标：农村供水满意度占比≥90%</w:t>
      </w:r>
    </w:p>
    <w:p w14:paraId="76ACDF1B">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8）做好辖区内的统计工作。履行统计职责,广泛引导、动员和组织社会力量积极参与并认真配合做好国家规定的周期性普查工作。</w:t>
      </w:r>
    </w:p>
    <w:p w14:paraId="760D917B">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绩效目标：统计法宣传次数</w:t>
      </w:r>
    </w:p>
    <w:p w14:paraId="557E5B53">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绩效指标：全年统计法宣传次数3-5次</w:t>
      </w:r>
    </w:p>
    <w:p w14:paraId="2F6BBE4A">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9）按照职责分工做好辖区市容、村容和环境卫生、农村生活污水管理责任。</w:t>
      </w:r>
    </w:p>
    <w:p w14:paraId="6A615363">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绩效目标：责任目标完成情况</w:t>
      </w:r>
    </w:p>
    <w:p w14:paraId="27BE0ED4">
      <w:pPr>
        <w:pStyle w:val="10"/>
        <w:rPr>
          <w:rFonts w:hint="eastAsia"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绩效指标：美丽庭院数量增幅90%</w:t>
      </w:r>
    </w:p>
    <w:p w14:paraId="6DD84492">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3864F0CC">
      <w:pPr>
        <w:adjustRightInd w:val="0"/>
        <w:snapToGrid w:val="0"/>
        <w:spacing w:line="560" w:lineRule="exact"/>
        <w:ind w:firstLine="640" w:firstLineChars="200"/>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（一）自评的组织工作</w:t>
      </w:r>
    </w:p>
    <w:p w14:paraId="0578A8C4">
      <w:pPr>
        <w:spacing w:line="560" w:lineRule="exact"/>
        <w:rPr>
          <w:rFonts w:ascii="仿宋" w:hAnsi="仿宋" w:eastAsia="仿宋"/>
          <w:sz w:val="32"/>
          <w:szCs w:val="32"/>
        </w:rPr>
      </w:pPr>
      <w:r>
        <w:rPr>
          <w:rFonts w:hint="eastAsia" w:ascii="仿宋" w:hAnsi="仿宋" w:eastAsia="仿宋"/>
          <w:sz w:val="32"/>
          <w:szCs w:val="32"/>
        </w:rPr>
        <w:t xml:space="preserve">   </w:t>
      </w:r>
      <w:r>
        <w:rPr>
          <w:rFonts w:hint="eastAsia" w:ascii="仿宋_GB2312" w:hAnsi="仿宋_GB2312" w:eastAsia="仿宋_GB2312" w:cs="仿宋_GB2312"/>
          <w:b w:val="0"/>
          <w:bCs w:val="0"/>
          <w:kern w:val="2"/>
          <w:sz w:val="32"/>
          <w:szCs w:val="32"/>
          <w:lang w:val="en-US" w:eastAsia="zh-CN" w:bidi="ar-SA"/>
        </w:rPr>
        <w:t xml:space="preserve"> 我乡成立了项目自评的工作领导小组，在项目实施的每个阶段严格按照自评工作考核流程分为收集数据并审核、现场核查、资金拨付严格按照年度绩效目标认真自评，实事求是，严格把控自评工作质量。</w:t>
      </w:r>
    </w:p>
    <w:p w14:paraId="6DDA61F2">
      <w:pPr>
        <w:numPr>
          <w:ilvl w:val="0"/>
          <w:numId w:val="0"/>
        </w:numPr>
        <w:adjustRightInd w:val="0"/>
        <w:snapToGrid w:val="0"/>
        <w:spacing w:line="560" w:lineRule="exact"/>
        <w:ind w:firstLine="640" w:firstLineChars="200"/>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（二）</w:t>
      </w:r>
      <w:r>
        <w:rPr>
          <w:rFonts w:hint="eastAsia" w:ascii="楷体_GB2312" w:hAnsi="楷体_GB2312" w:eastAsia="楷体_GB2312" w:cs="楷体_GB2312"/>
          <w:bCs/>
          <w:sz w:val="32"/>
          <w:szCs w:val="32"/>
        </w:rPr>
        <w:t>自评的方法和过程</w:t>
      </w:r>
    </w:p>
    <w:p w14:paraId="796D539E">
      <w:pPr>
        <w:spacing w:line="560" w:lineRule="exact"/>
        <w:ind w:firstLine="640" w:firstLineChars="200"/>
        <w:rPr>
          <w:rFonts w:hint="eastAsia"/>
        </w:rPr>
      </w:pPr>
      <w:r>
        <w:rPr>
          <w:rFonts w:hint="eastAsia" w:ascii="仿宋_GB2312" w:hAnsi="仿宋_GB2312" w:eastAsia="仿宋_GB2312" w:cs="仿宋_GB2312"/>
          <w:b w:val="0"/>
          <w:bCs w:val="0"/>
          <w:kern w:val="2"/>
          <w:sz w:val="32"/>
          <w:szCs w:val="32"/>
          <w:lang w:val="en-US" w:eastAsia="zh-CN" w:bidi="ar-SA"/>
        </w:rPr>
        <w:t>认真学习县财政局下发有关开展2024年绩效自评的工作的通知，按照全覆盖原则，对2024年度所有专项项目开展绩效自评和整体部门支出绩效自评，确保自评的真实性、准确性、合理性。</w:t>
      </w:r>
    </w:p>
    <w:p w14:paraId="44DEF651">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3F57B3B9">
      <w:pPr>
        <w:adjustRightInd w:val="0"/>
        <w:snapToGrid w:val="0"/>
        <w:spacing w:line="560" w:lineRule="exact"/>
        <w:ind w:firstLine="640" w:firstLineChars="200"/>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w:t>
      </w:r>
      <w:r>
        <w:rPr>
          <w:rFonts w:hint="eastAsia" w:ascii="楷体_GB2312" w:hAnsi="楷体_GB2312" w:eastAsia="楷体_GB2312" w:cs="楷体_GB2312"/>
          <w:bCs/>
          <w:sz w:val="32"/>
          <w:szCs w:val="32"/>
          <w:lang w:val="en-US" w:eastAsia="zh-CN"/>
        </w:rPr>
        <w:t>一</w:t>
      </w:r>
      <w:r>
        <w:rPr>
          <w:rFonts w:hint="eastAsia" w:ascii="楷体_GB2312" w:hAnsi="楷体_GB2312" w:eastAsia="楷体_GB2312" w:cs="楷体_GB2312"/>
          <w:bCs/>
          <w:sz w:val="32"/>
          <w:szCs w:val="32"/>
          <w:lang w:eastAsia="zh-CN"/>
        </w:rPr>
        <w:t>）</w:t>
      </w:r>
      <w:r>
        <w:rPr>
          <w:rFonts w:hint="eastAsia" w:ascii="楷体_GB2312" w:hAnsi="楷体_GB2312" w:eastAsia="楷体_GB2312" w:cs="楷体_GB2312"/>
          <w:bCs/>
          <w:sz w:val="32"/>
          <w:szCs w:val="32"/>
        </w:rPr>
        <w:t>总体绩效目标实现情况</w:t>
      </w:r>
    </w:p>
    <w:p w14:paraId="72AA5F06">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单位履职及履职效益情况良好。人员工资正常发放，部门高效运转，统计工作高效完成。本单位对各项支出严格按照预算额度进行控制，单位整体支出使用达到了预期。按照“财政拨款支出”、“基本支出“和“项目支出”分类进行明细核算，各项资金的使用与管理符合财政预算管理的有关规定，遵循公开、公平、公正和统筹规划、突出重点、讲求实效的原则，确保资金的规范、安全和高效。</w:t>
      </w:r>
    </w:p>
    <w:p w14:paraId="2CED2440">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_GB2312" w:hAnsi="楷体_GB2312" w:eastAsia="楷体_GB2312" w:cs="楷体_GB2312"/>
          <w:bCs/>
          <w:sz w:val="32"/>
          <w:szCs w:val="32"/>
        </w:rPr>
        <w:t>（二）分项绩效目标实现情况及指标分析</w:t>
      </w:r>
    </w:p>
    <w:p w14:paraId="3711F59C">
      <w:pPr>
        <w:spacing w:line="560" w:lineRule="exact"/>
        <w:ind w:firstLine="800" w:firstLineChars="25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1、产出指标：</w:t>
      </w:r>
    </w:p>
    <w:p w14:paraId="453EFDD3">
      <w:pPr>
        <w:spacing w:line="560" w:lineRule="exact"/>
        <w:ind w:firstLine="800" w:firstLineChars="25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数量指标：资金支付率 100%  得分10分。</w:t>
      </w:r>
    </w:p>
    <w:p w14:paraId="12F6793B">
      <w:pPr>
        <w:spacing w:line="560" w:lineRule="exact"/>
        <w:ind w:firstLine="800" w:firstLineChars="25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质量指标：机构正常运转率100%，得10分。</w:t>
      </w:r>
    </w:p>
    <w:p w14:paraId="540DE621">
      <w:pPr>
        <w:spacing w:line="560" w:lineRule="exact"/>
        <w:ind w:firstLine="800" w:firstLineChars="25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时效指标：按时完成工作任务100%，得10分。</w:t>
      </w:r>
    </w:p>
    <w:p w14:paraId="7D290632">
      <w:pPr>
        <w:spacing w:line="560" w:lineRule="exact"/>
        <w:ind w:firstLine="800" w:firstLineChars="25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成本指标：严格预算控制，得10分。</w:t>
      </w:r>
    </w:p>
    <w:p w14:paraId="7DBF8509">
      <w:pPr>
        <w:spacing w:line="560" w:lineRule="exact"/>
        <w:ind w:firstLine="800" w:firstLineChars="25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2、预算执行率指标</w:t>
      </w:r>
    </w:p>
    <w:p w14:paraId="1DB07F95">
      <w:pPr>
        <w:spacing w:line="560" w:lineRule="exact"/>
        <w:ind w:firstLine="800" w:firstLineChars="25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预算执行率100%，得10分。</w:t>
      </w:r>
    </w:p>
    <w:p w14:paraId="3F51A31A">
      <w:pPr>
        <w:spacing w:line="560" w:lineRule="exact"/>
        <w:ind w:firstLine="800" w:firstLineChars="25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3、效益指标</w:t>
      </w:r>
    </w:p>
    <w:p w14:paraId="47DFA7FD">
      <w:pPr>
        <w:spacing w:line="560" w:lineRule="exact"/>
        <w:ind w:firstLine="800" w:firstLineChars="25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工作任务办结率≥98%，得37分。</w:t>
      </w:r>
    </w:p>
    <w:p w14:paraId="3CBA2B66">
      <w:pPr>
        <w:spacing w:line="560" w:lineRule="exact"/>
        <w:ind w:firstLine="800" w:firstLineChars="25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4、满意度指标</w:t>
      </w:r>
    </w:p>
    <w:p w14:paraId="1DB5FDE4">
      <w:pPr>
        <w:spacing w:line="560" w:lineRule="exact"/>
        <w:ind w:firstLine="800" w:firstLineChars="250"/>
        <w:rPr>
          <w:rFonts w:hint="eastAsia"/>
        </w:rPr>
      </w:pPr>
      <w:r>
        <w:rPr>
          <w:rFonts w:hint="eastAsia" w:ascii="仿宋_GB2312" w:hAnsi="仿宋_GB2312" w:eastAsia="仿宋_GB2312" w:cs="仿宋_GB2312"/>
          <w:sz w:val="32"/>
          <w:szCs w:val="32"/>
          <w:lang w:val="en-US" w:eastAsia="zh-CN"/>
        </w:rPr>
        <w:t>群众满意度≥98%，得9分。</w:t>
      </w:r>
    </w:p>
    <w:p w14:paraId="21B43219">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77382082">
      <w:pPr>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val="en-US" w:eastAsia="zh-CN"/>
        </w:rPr>
        <w:t>2024年部门整体支出预期目标已经全部完成，</w:t>
      </w:r>
      <w:r>
        <w:rPr>
          <w:rFonts w:hint="eastAsia" w:ascii="仿宋" w:hAnsi="仿宋" w:eastAsia="仿宋"/>
          <w:sz w:val="32"/>
          <w:szCs w:val="32"/>
        </w:rPr>
        <w:t>根据项目执行情况和项目绩效情况，给出总得分，指标体系设定满分100分，项目综合绩效评价得分</w:t>
      </w:r>
      <w:r>
        <w:rPr>
          <w:rFonts w:hint="eastAsia" w:ascii="仿宋" w:hAnsi="仿宋" w:eastAsia="仿宋"/>
          <w:sz w:val="32"/>
          <w:szCs w:val="32"/>
          <w:lang w:val="en-US" w:eastAsia="zh-CN"/>
        </w:rPr>
        <w:t>96</w:t>
      </w:r>
      <w:r>
        <w:rPr>
          <w:rFonts w:hint="eastAsia" w:ascii="仿宋" w:hAnsi="仿宋" w:eastAsia="仿宋"/>
          <w:sz w:val="32"/>
          <w:szCs w:val="32"/>
        </w:rPr>
        <w:t>分</w:t>
      </w:r>
      <w:r>
        <w:rPr>
          <w:rFonts w:hint="eastAsia" w:ascii="仿宋" w:hAnsi="仿宋" w:eastAsia="仿宋"/>
          <w:sz w:val="32"/>
          <w:szCs w:val="32"/>
          <w:lang w:eastAsia="zh-CN"/>
        </w:rPr>
        <w:t>，</w:t>
      </w:r>
      <w:r>
        <w:rPr>
          <w:rFonts w:hint="eastAsia" w:ascii="仿宋" w:hAnsi="仿宋" w:eastAsia="仿宋"/>
          <w:sz w:val="32"/>
          <w:szCs w:val="32"/>
        </w:rPr>
        <w:t>为优秀</w:t>
      </w:r>
      <w:r>
        <w:rPr>
          <w:rFonts w:hint="eastAsia" w:ascii="仿宋" w:hAnsi="仿宋" w:eastAsia="仿宋"/>
          <w:sz w:val="32"/>
          <w:szCs w:val="32"/>
          <w:lang w:eastAsia="zh-CN"/>
        </w:rPr>
        <w:t>。</w:t>
      </w:r>
    </w:p>
    <w:p w14:paraId="002EDE3A">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469CA613">
      <w:pPr>
        <w:spacing w:line="560" w:lineRule="exact"/>
        <w:ind w:firstLine="640" w:firstLineChars="200"/>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（一）存在的主要问题</w:t>
      </w:r>
    </w:p>
    <w:p w14:paraId="026C5A98">
      <w:pPr>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预算编制细化不到位，专业知识掌握不够全面透彻。</w:t>
      </w:r>
    </w:p>
    <w:p w14:paraId="4C000658">
      <w:pPr>
        <w:numPr>
          <w:ilvl w:val="0"/>
          <w:numId w:val="0"/>
        </w:numPr>
        <w:spacing w:line="560" w:lineRule="exact"/>
        <w:ind w:firstLine="640" w:firstLineChars="200"/>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（二）</w:t>
      </w:r>
      <w:r>
        <w:rPr>
          <w:rFonts w:hint="eastAsia" w:ascii="楷体_GB2312" w:hAnsi="楷体_GB2312" w:eastAsia="楷体_GB2312" w:cs="楷体_GB2312"/>
          <w:bCs/>
          <w:sz w:val="32"/>
          <w:szCs w:val="32"/>
        </w:rPr>
        <w:t>针对问题提出具体的改进措施或建议</w:t>
      </w:r>
    </w:p>
    <w:p w14:paraId="22B197EB">
      <w:pPr>
        <w:spacing w:line="560"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加强业务知识学习，注重预算编制科学性、完整性，进一步</w:t>
      </w:r>
      <w:r>
        <w:rPr>
          <w:rFonts w:hint="eastAsia" w:ascii="仿宋_GB2312" w:hAnsi="仿宋_GB2312" w:eastAsia="仿宋_GB2312" w:cs="仿宋_GB2312"/>
          <w:sz w:val="32"/>
          <w:szCs w:val="32"/>
        </w:rPr>
        <w:t>加强预算编制管理，夯实预算执行基础。</w:t>
      </w:r>
      <w:r>
        <w:rPr>
          <w:rFonts w:hint="eastAsia" w:ascii="仿宋_GB2312" w:hAnsi="仿宋_GB2312" w:eastAsia="仿宋_GB2312" w:cs="仿宋_GB2312"/>
          <w:sz w:val="32"/>
          <w:szCs w:val="32"/>
          <w:lang w:val="en-US" w:eastAsia="zh-CN"/>
        </w:rPr>
        <w:t>遵循“量入为出、收支平衡”原则，有效推进预算支出进度。</w:t>
      </w:r>
    </w:p>
    <w:p w14:paraId="6DA0BA92">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w:t>
      </w:r>
    </w:p>
    <w:p w14:paraId="65F01940">
      <w:pPr>
        <w:pStyle w:val="2"/>
        <w:keepNext w:val="0"/>
        <w:keepLines w:val="0"/>
        <w:pageBreakBefore w:val="0"/>
        <w:widowControl w:val="0"/>
        <w:numPr>
          <w:ilvl w:val="0"/>
          <w:numId w:val="0"/>
        </w:numPr>
        <w:kinsoku/>
        <w:wordWrap/>
        <w:overflowPunct/>
        <w:topLinePunct w:val="0"/>
        <w:autoSpaceDE/>
        <w:autoSpaceDN/>
        <w:bidi w:val="0"/>
        <w:adjustRightInd/>
        <w:snapToGrid/>
        <w:spacing w:after="0"/>
        <w:ind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高兴利  赞皇县南清河乡人民政府人大主席</w:t>
      </w:r>
    </w:p>
    <w:p w14:paraId="18C60CD5">
      <w:pPr>
        <w:pStyle w:val="2"/>
        <w:keepNext w:val="0"/>
        <w:keepLines w:val="0"/>
        <w:pageBreakBefore w:val="0"/>
        <w:widowControl w:val="0"/>
        <w:numPr>
          <w:ilvl w:val="0"/>
          <w:numId w:val="0"/>
        </w:numPr>
        <w:kinsoku/>
        <w:wordWrap/>
        <w:overflowPunct/>
        <w:topLinePunct w:val="0"/>
        <w:autoSpaceDE/>
        <w:autoSpaceDN/>
        <w:bidi w:val="0"/>
        <w:adjustRightInd/>
        <w:snapToGrid/>
        <w:spacing w:after="0"/>
        <w:ind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申浩然  赞皇县南清河乡人民政府党政办主任</w:t>
      </w:r>
    </w:p>
    <w:p w14:paraId="5C7E466A">
      <w:pPr>
        <w:pStyle w:val="2"/>
        <w:keepNext w:val="0"/>
        <w:keepLines w:val="0"/>
        <w:pageBreakBefore w:val="0"/>
        <w:widowControl w:val="0"/>
        <w:numPr>
          <w:ilvl w:val="0"/>
          <w:numId w:val="0"/>
        </w:numPr>
        <w:kinsoku/>
        <w:wordWrap/>
        <w:overflowPunct/>
        <w:topLinePunct w:val="0"/>
        <w:autoSpaceDE/>
        <w:autoSpaceDN/>
        <w:bidi w:val="0"/>
        <w:adjustRightInd/>
        <w:snapToGrid/>
        <w:spacing w:after="0"/>
        <w:ind w:firstLine="640" w:firstLineChars="200"/>
        <w:textAlignment w:val="auto"/>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姜笑丽  赞皇县南清河乡人民政府会计</w:t>
      </w:r>
      <w:bookmarkStart w:id="0" w:name="_GoBack"/>
      <w:bookmarkEnd w:id="0"/>
    </w:p>
    <w:p w14:paraId="258DEE52">
      <w:pPr>
        <w:pStyle w:val="2"/>
      </w:pPr>
    </w:p>
    <w:sectPr>
      <w:footerReference r:id="rId3" w:type="default"/>
      <w:pgSz w:w="11906" w:h="16838"/>
      <w:pgMar w:top="2098" w:right="1474" w:bottom="1984"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华文楷体">
    <w:altName w:val="宋体"/>
    <w:panose1 w:val="02010600040101010101"/>
    <w:charset w:val="86"/>
    <w:family w:val="auto"/>
    <w:pitch w:val="default"/>
    <w:sig w:usb0="00000000" w:usb1="00000000" w:usb2="00000000" w:usb3="00000000" w:csb0="0004009F" w:csb1="DFD7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105596">
    <w:pPr>
      <w:pStyle w:val="4"/>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1F2D84D9">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7A463B2"/>
    <w:rsid w:val="09721397"/>
    <w:rsid w:val="0BB63BED"/>
    <w:rsid w:val="0EB97A43"/>
    <w:rsid w:val="0EBD2122"/>
    <w:rsid w:val="0F214EAE"/>
    <w:rsid w:val="10235EBF"/>
    <w:rsid w:val="11B71E6A"/>
    <w:rsid w:val="1AAF0063"/>
    <w:rsid w:val="1BE140DE"/>
    <w:rsid w:val="248C197D"/>
    <w:rsid w:val="252959AF"/>
    <w:rsid w:val="260B6456"/>
    <w:rsid w:val="277A6671"/>
    <w:rsid w:val="292D35B7"/>
    <w:rsid w:val="2EDC3197"/>
    <w:rsid w:val="33EB6CFF"/>
    <w:rsid w:val="359F789B"/>
    <w:rsid w:val="35A12947"/>
    <w:rsid w:val="37387040"/>
    <w:rsid w:val="3AAF2DC4"/>
    <w:rsid w:val="3B625C0A"/>
    <w:rsid w:val="3CEE1963"/>
    <w:rsid w:val="436B78D3"/>
    <w:rsid w:val="4C9C27FE"/>
    <w:rsid w:val="512260B4"/>
    <w:rsid w:val="51D5430E"/>
    <w:rsid w:val="52BD6ACB"/>
    <w:rsid w:val="55537534"/>
    <w:rsid w:val="561A74F1"/>
    <w:rsid w:val="597244E8"/>
    <w:rsid w:val="5EB71C30"/>
    <w:rsid w:val="5FB65536"/>
    <w:rsid w:val="66AF0CE5"/>
    <w:rsid w:val="6AC537CF"/>
    <w:rsid w:val="6B8E6DE6"/>
    <w:rsid w:val="6E5B14A6"/>
    <w:rsid w:val="6EA95F50"/>
    <w:rsid w:val="711B255E"/>
    <w:rsid w:val="7BB51E06"/>
    <w:rsid w:val="7C387F7C"/>
    <w:rsid w:val="7FE83423"/>
    <w:rsid w:val="FFB73F57"/>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unhideWhenUsed/>
    <w:qFormat/>
    <w:uiPriority w:val="0"/>
    <w:pPr>
      <w:ind w:firstLine="420" w:firstLineChars="200"/>
    </w:pPr>
  </w:style>
  <w:style w:type="paragraph" w:styleId="3">
    <w:name w:val="Body Text Indent"/>
    <w:basedOn w:val="1"/>
    <w:unhideWhenUsed/>
    <w:qFormat/>
    <w:uiPriority w:val="0"/>
    <w:pPr>
      <w:spacing w:after="120" w:afterLines="0" w:afterAutospacing="0"/>
      <w:ind w:left="420" w:leftChars="200"/>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9">
    <w:name w:val="插入文本样式-插入总体目标文件"/>
    <w:basedOn w:val="1"/>
    <w:qFormat/>
    <w:uiPriority w:val="0"/>
    <w:pPr>
      <w:spacing w:line="500" w:lineRule="exact"/>
      <w:ind w:firstLine="560"/>
      <w:jc w:val="left"/>
    </w:pPr>
    <w:rPr>
      <w:rFonts w:ascii="Times New Roman" w:hAnsi="Times New Roman" w:eastAsia="方正仿宋_GBK" w:cs="Times New Roman"/>
      <w:sz w:val="28"/>
    </w:rPr>
  </w:style>
  <w:style w:type="paragraph" w:customStyle="1" w:styleId="10">
    <w:name w:val="插入文本样式-插入职责分类绩效目标文件"/>
    <w:basedOn w:val="1"/>
    <w:qFormat/>
    <w:uiPriority w:val="0"/>
    <w:pPr>
      <w:spacing w:line="500" w:lineRule="exact"/>
      <w:ind w:firstLine="560"/>
      <w:jc w:val="left"/>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16</Pages>
  <Words>6884</Words>
  <Characters>7113</Characters>
  <Lines>4</Lines>
  <Paragraphs>1</Paragraphs>
  <TotalTime>2</TotalTime>
  <ScaleCrop>false</ScaleCrop>
  <LinksUpToDate>false</LinksUpToDate>
  <CharactersWithSpaces>7196</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2020-02-04T11:46:00Z</dcterms:created>
  <dc:creator>欣欣大人</dc:creator>
  <cp:lastModifiedBy>世间</cp:lastModifiedBy>
  <cp:lastPrinted>2024-03-06T15:40:00Z</cp:lastPrinted>
  <dcterms:modified xsi:type="dcterms:W3CDTF">2025-07-08T03:06:27Z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96934721B1514D3FBAA28020338CE855_12</vt:lpwstr>
  </property>
  <property fmtid="{D5CDD505-2E9C-101B-9397-08002B2CF9AE}" pid="4" name="KSOTemplateDocerSaveRecord">
    <vt:lpwstr>eyJoZGlkIjoiNzNjYmEyMzUxMjc4YTg3M2FlN2U2NzRlMjE2NDUzNzEiLCJ1c2VySWQiOiI3NDMzODcwMzUifQ==</vt:lpwstr>
  </property>
</Properties>
</file>