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70" w:lineRule="exact"/>
        <w:rPr>
          <w:rFonts w:ascii="黑体" w:hAnsi="黑体" w:eastAsia="黑体"/>
          <w:sz w:val="32"/>
          <w:szCs w:val="32"/>
        </w:rPr>
      </w:pPr>
      <w:r>
        <w:rPr>
          <w:rFonts w:hint="eastAsia" w:ascii="黑体" w:hAnsi="黑体" w:eastAsia="黑体"/>
          <w:sz w:val="32"/>
          <w:szCs w:val="32"/>
        </w:rPr>
        <w:t>附件4</w:t>
      </w:r>
    </w:p>
    <w:p>
      <w:pPr>
        <w:spacing w:line="570" w:lineRule="exact"/>
        <w:jc w:val="center"/>
        <w:rPr>
          <w:rFonts w:ascii="宋体" w:hAnsi="宋体" w:cs="宋体"/>
          <w:b/>
          <w:bCs/>
          <w:sz w:val="44"/>
          <w:szCs w:val="44"/>
        </w:rPr>
      </w:pPr>
    </w:p>
    <w:p>
      <w:pPr>
        <w:spacing w:line="57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中国共产党赞皇县委员会社会工作部部门</w:t>
      </w:r>
    </w:p>
    <w:p>
      <w:pPr>
        <w:spacing w:line="570" w:lineRule="exact"/>
        <w:jc w:val="center"/>
        <w:rPr>
          <w:rFonts w:ascii="宋体" w:hAnsi="宋体" w:cs="宋体"/>
          <w:b/>
          <w:bCs/>
          <w:sz w:val="44"/>
          <w:szCs w:val="44"/>
        </w:rPr>
      </w:pPr>
      <w:r>
        <w:rPr>
          <w:rFonts w:hint="eastAsia" w:ascii="方正小标宋简体" w:hAnsi="方正小标宋简体" w:eastAsia="方正小标宋简体" w:cs="方正小标宋简体"/>
          <w:sz w:val="44"/>
          <w:szCs w:val="44"/>
        </w:rPr>
        <w:t>2024年整体</w:t>
      </w:r>
      <w:r>
        <w:rPr>
          <w:rFonts w:hint="eastAsia" w:ascii="方正小标宋简体" w:hAnsi="方正小标宋简体" w:eastAsia="方正小标宋简体" w:cs="方正小标宋简体"/>
          <w:sz w:val="44"/>
          <w:szCs w:val="44"/>
          <w:lang w:val="en-US" w:eastAsia="zh-CN"/>
        </w:rPr>
        <w:t>支出</w:t>
      </w:r>
      <w:r>
        <w:rPr>
          <w:rFonts w:hint="eastAsia" w:ascii="方正小标宋简体" w:hAnsi="方正小标宋简体" w:eastAsia="方正小标宋简体" w:cs="方正小标宋简体"/>
          <w:sz w:val="44"/>
          <w:szCs w:val="44"/>
        </w:rPr>
        <w:t>绩效</w:t>
      </w:r>
      <w:r>
        <w:rPr>
          <w:rFonts w:hint="eastAsia" w:ascii="方正小标宋简体" w:hAnsi="方正小标宋简体" w:eastAsia="方正小标宋简体" w:cs="方正小标宋简体"/>
          <w:sz w:val="44"/>
          <w:szCs w:val="44"/>
          <w:lang w:val="en-US" w:eastAsia="zh-CN"/>
        </w:rPr>
        <w:t>自评</w:t>
      </w:r>
      <w:r>
        <w:rPr>
          <w:rFonts w:hint="eastAsia" w:ascii="方正小标宋简体" w:hAnsi="方正小标宋简体" w:eastAsia="方正小标宋简体" w:cs="方正小标宋简体"/>
          <w:sz w:val="44"/>
          <w:szCs w:val="44"/>
        </w:rPr>
        <w:t>报告</w:t>
      </w:r>
    </w:p>
    <w:p>
      <w:pPr>
        <w:pStyle w:val="7"/>
        <w:spacing w:line="570" w:lineRule="exact"/>
        <w:ind w:left="0" w:leftChars="0"/>
      </w:pPr>
    </w:p>
    <w:p>
      <w:pPr>
        <w:adjustRightInd w:val="0"/>
        <w:snapToGrid w:val="0"/>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val="en-US" w:eastAsia="zh-CN"/>
        </w:rPr>
        <w:t>赞皇县财政局关于印发&lt;赞皇县全面实施预算绩效管理推进工作方案的通知&gt;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赞财预</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号）》文件精神，遵循“科学性、规范性、客观性和公正性”的原则，对中国共产党赞皇县委员会社会工作部部门2024年整体支出情况实施了财政支出绩效自评价，形成本评价报告。</w:t>
      </w:r>
    </w:p>
    <w:p>
      <w:pPr>
        <w:adjustRightInd w:val="0"/>
        <w:snapToGrid w:val="0"/>
        <w:spacing w:line="550" w:lineRule="exact"/>
        <w:ind w:firstLine="640" w:firstLineChars="200"/>
        <w:rPr>
          <w:rFonts w:ascii="黑体" w:hAnsi="黑体" w:eastAsia="黑体"/>
          <w:b/>
          <w:bCs/>
          <w:sz w:val="32"/>
          <w:szCs w:val="32"/>
        </w:rPr>
      </w:pPr>
      <w:r>
        <w:rPr>
          <w:rFonts w:hint="eastAsia" w:ascii="黑体" w:hAnsi="黑体" w:eastAsia="黑体"/>
          <w:sz w:val="32"/>
          <w:szCs w:val="32"/>
        </w:rPr>
        <w:t>一、部门基本情况</w:t>
      </w:r>
    </w:p>
    <w:p>
      <w:pPr>
        <w:spacing w:line="55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部门职能</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1.研究相关理论、政策和规划，拟订社会工作方面相关规范性文件草案并组织实施。负责县委非公有制经济组织和社会组织工作委员会日常工作。深入调查研究，及时向县委报告工作情况并提出建议。</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统筹指导群众利益协调、诉求表达、矛盾调处、权益保障等人民信访工作，协调解决人民群众急难愁盼的重大问题。指导人民建议征集工作，负责征集、办理公民、法人和其他组织提出的意见建议，向县委、县政府及时反映公民、法人和其他组织对党和国家事业发展提出的重要意见建议。指导各乡（镇）党委及相关部门开展工作。</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健全和落实党建引领基层治理工作机制，推动城乡社区治理体系和治理能力建设，提出加强和改进基层政权建设的建议，推动基层民主政治建设。指导监督基层群众自治制度的有效实施，健全基层群众自制机制。</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4.统筹指导社会组织、行业协会商会党建工作，协调推动行业协会商会深化改革和转型发展。</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指导混合所有制企业、非公有制企业和新经济组织、新社会组织、新就业群体党建工作，指导协调相关企业单位、社会组织、就业群体中党员的教育、管理、监督和服务工作，研究完善相关领域群众利益协调机制。</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6.拟订全县社会工作发展规划、志愿服务规范和标准并组织实施，负责全县志愿服务工作的统筹规划、协调指导、督促检查。会同有关部门推进社会工作人才队伍建设和志愿者队伍建设。</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7.完成县委交办的其他任务。</w:t>
      </w:r>
    </w:p>
    <w:p>
      <w:pPr>
        <w:spacing w:line="55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组织机构及人员、资产情况</w:t>
      </w:r>
    </w:p>
    <w:p>
      <w:pPr>
        <w:spacing w:line="55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1.内设机构及其职责：</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办公室。负责机关日常工作的协调和督查，负责机关文件、会务、机要、保密、档案、信访、制度建设、对外联络、后勤保障等工作；负责人大代表建议、政协委员提案承办工作；负责机关和所属单位财务、国有资产管理工作；协调处理信访工作的重大问题，承担人民建议征集有关工作。负责机关和所属单位党建、宣传、思想政治、精神文明建设及群团等工作；承担纪检、廉政建设等具体工作；负责机关和所属事业单位机构编制、人员管理和教育培训、队伍建设等工作；负责机关和所属单位老干部服务工作。</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（2）社会工作股。负责起草社会工作方面相关规范性文章草案；负责机关规范性文件的合法性审查工作；负责开展法制宣传教育；负责综合文稿的起草、重点工作调查研究；承担本部门新闻宣传工作。</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健全和落实党建引领基层治理工作机制，协调推进城乡社区治理体系和治理能力建设；负责推动基层民主政治建设有关工作，指导监督群众性自治组织规范化建设，指导村（居）民委员会选举、民主决策、民主管理、民主监督和民主协商，推进村（居）民自治、村（居）务公开；组织指导乡（镇）、基层群众自治组织、社区干部培训工作。协调有关部门做好村（居）民委员会工作。</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负责指导全县社会组织党建工作，研究提出加强全县社会组织党建工作的意见建议。调查研究行业协会商会深化改革和转型发展中的重大问题，组织起草相关政策措施；指导协调并督促检查各级各有关部门落实党中央关于行业协会商会深化改革和转型发展的决策部署和市委、县委工作安排。按规定权限做好全县性行业协会商会负责人人选审核有关工作。指导全县性行业协会商会党组织的日常工作，拟订全县性行业协会商会党建工作的规划、制度和措施。指导全县性行业协会商会基层党组织建设、党员队伍建设、思想政治工作、党的群众工作和党风廉政建设。组织对全县性行业协会商会遵守政治纪律和政治规矩、落实党建工作责任制情况进行监督检查。督促指导全县性行业协会商会的党组织按期换届。指导行业协会商会群团组织工作和党建其他工作。</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承担县委“两新”工委日常工作。承担指导混合所有制企业、非公有制企业和新经济组织、新就业群体党建工作，承担相关企业单位、就业群体中党员教育、管理、监督和服务的具体指导协调工作；调查研究相关企业单位、就业群体服务管理工作中的重大问题，提出完善相关领域群众利益协调机制的政策建议；承担对有关部门开展本领域内相关企业单位、就业群体党建工作的联系指导工作。</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研究起草、推动落实社会工作服务和志愿服务的政策和标准，负责社会工作人才队伍建设、志愿服务人才队伍建设和阵地建设工作，协调推动志愿服务体系建设。负责开展社会工作服务和志愿服务培训，培育志愿精神、志愿文化；组织开展全县性、示范性志愿服务重大活动；联系指导县域各类志愿服务组织等。</w:t>
      </w:r>
    </w:p>
    <w:p>
      <w:pPr>
        <w:spacing w:line="55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负责机关内部审计工作。</w:t>
      </w:r>
    </w:p>
    <w:p>
      <w:pPr>
        <w:pStyle w:val="2"/>
        <w:numPr>
          <w:ilvl w:val="0"/>
          <w:numId w:val="1"/>
        </w:numPr>
        <w:ind w:left="480" w:leftChars="0" w:firstLine="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社会工作综合服务中心。为混合所有制企业、非公有制企业和新经济组织、新社会组织、新就业群体党建工作提供协调服务保障；负责为社会工作、志愿服务人才队伍建设等工作提供服务保障；参与社会工作领域调研、分析和论证等工作。</w:t>
      </w:r>
    </w:p>
    <w:p>
      <w:pPr>
        <w:spacing w:line="55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2.人员编制。</w:t>
      </w:r>
      <w:r>
        <w:rPr>
          <w:rFonts w:hint="eastAsia" w:ascii="仿宋_GB2312" w:hAnsi="仿宋_GB2312" w:eastAsia="仿宋_GB2312" w:cs="仿宋_GB2312"/>
          <w:sz w:val="32"/>
          <w:szCs w:val="32"/>
        </w:rPr>
        <w:t>县委社会工作部机关行政编制7名，设部长1名（兼县委“两新”工委书记），副部长2名（不含兼职），县委“两新”工委专职副书记1名（副科级）。股级领导职数2名。</w:t>
      </w:r>
    </w:p>
    <w:p>
      <w:pPr>
        <w:spacing w:line="55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3.单位机构设置情况</w:t>
      </w:r>
    </w:p>
    <w:tbl>
      <w:tblPr>
        <w:tblStyle w:val="8"/>
        <w:tblW w:w="95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80"/>
        <w:gridCol w:w="2380"/>
        <w:gridCol w:w="2380"/>
        <w:gridCol w:w="23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2380" w:type="dxa"/>
            <w:vAlign w:val="center"/>
          </w:tcPr>
          <w:p>
            <w:pPr>
              <w:pStyle w:val="11"/>
              <w:spacing w:line="550" w:lineRule="exact"/>
              <w:rPr>
                <w:rFonts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单位名称</w:t>
            </w:r>
          </w:p>
        </w:tc>
        <w:tc>
          <w:tcPr>
            <w:tcW w:w="2380" w:type="dxa"/>
            <w:vAlign w:val="center"/>
          </w:tcPr>
          <w:p>
            <w:pPr>
              <w:pStyle w:val="11"/>
              <w:spacing w:line="550" w:lineRule="exact"/>
              <w:rPr>
                <w:rFonts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单位性质</w:t>
            </w:r>
          </w:p>
        </w:tc>
        <w:tc>
          <w:tcPr>
            <w:tcW w:w="2380" w:type="dxa"/>
            <w:vAlign w:val="center"/>
          </w:tcPr>
          <w:p>
            <w:pPr>
              <w:pStyle w:val="11"/>
              <w:spacing w:line="550" w:lineRule="exact"/>
              <w:rPr>
                <w:rFonts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单位规格</w:t>
            </w:r>
          </w:p>
        </w:tc>
        <w:tc>
          <w:tcPr>
            <w:tcW w:w="2380" w:type="dxa"/>
            <w:vAlign w:val="center"/>
          </w:tcPr>
          <w:p>
            <w:pPr>
              <w:pStyle w:val="11"/>
              <w:spacing w:line="550" w:lineRule="exact"/>
              <w:rPr>
                <w:rFonts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2380" w:type="dxa"/>
            <w:vAlign w:val="center"/>
          </w:tcPr>
          <w:p>
            <w:pPr>
              <w:pStyle w:val="12"/>
              <w:spacing w:line="55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中国共产党赞皇县委员会社会工作部</w:t>
            </w:r>
          </w:p>
        </w:tc>
        <w:tc>
          <w:tcPr>
            <w:tcW w:w="2380" w:type="dxa"/>
            <w:vAlign w:val="center"/>
          </w:tcPr>
          <w:p>
            <w:pPr>
              <w:pStyle w:val="13"/>
              <w:spacing w:line="55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机关</w:t>
            </w:r>
          </w:p>
        </w:tc>
        <w:tc>
          <w:tcPr>
            <w:tcW w:w="2380" w:type="dxa"/>
            <w:vAlign w:val="center"/>
          </w:tcPr>
          <w:p>
            <w:pPr>
              <w:pStyle w:val="13"/>
              <w:spacing w:line="55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正科级</w:t>
            </w:r>
          </w:p>
        </w:tc>
        <w:tc>
          <w:tcPr>
            <w:tcW w:w="2380" w:type="dxa"/>
            <w:vAlign w:val="center"/>
          </w:tcPr>
          <w:p>
            <w:pPr>
              <w:pStyle w:val="13"/>
              <w:spacing w:line="55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财政性资金基本保障</w:t>
            </w:r>
          </w:p>
        </w:tc>
      </w:tr>
    </w:tbl>
    <w:p>
      <w:pPr>
        <w:pStyle w:val="7"/>
        <w:ind w:left="0" w:leftChars="0" w:firstLine="0" w:firstLineChars="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中国共产党赞皇县委员会社会工作部为全额财政拨款行政单位，内设办公室、社会工作股,社会工作综合服务中心。行政人员7名，事业人员2人。</w:t>
      </w:r>
    </w:p>
    <w:p>
      <w:pPr>
        <w:pStyle w:val="7"/>
        <w:ind w:left="0" w:leftChars="0" w:firstLine="640" w:firstLineChars="200"/>
        <w:rPr>
          <w:rFonts w:ascii="黑体" w:hAnsi="黑体"/>
          <w:sz w:val="32"/>
          <w:szCs w:val="36"/>
        </w:rPr>
      </w:pPr>
      <w:r>
        <w:rPr>
          <w:rFonts w:hint="eastAsia" w:ascii="仿宋" w:hAnsi="仿宋" w:eastAsia="仿宋" w:cs="仿宋"/>
          <w:color w:val="000000"/>
          <w:sz w:val="32"/>
          <w:szCs w:val="32"/>
          <w:lang w:val="en-US" w:eastAsia="zh-CN"/>
        </w:rPr>
        <w:t>中国共产党赞皇县委员会社会工作部</w:t>
      </w:r>
      <w:r>
        <w:rPr>
          <w:rFonts w:hint="eastAsia" w:ascii="仿宋" w:hAnsi="仿宋" w:eastAsia="仿宋" w:cs="仿宋"/>
          <w:color w:val="000000"/>
          <w:sz w:val="32"/>
          <w:szCs w:val="32"/>
        </w:rPr>
        <w:t>在2024年末，资产净值</w:t>
      </w:r>
      <w:r>
        <w:rPr>
          <w:rFonts w:hint="eastAsia" w:ascii="仿宋" w:hAnsi="仿宋" w:eastAsia="仿宋" w:cs="仿宋"/>
          <w:color w:val="000000"/>
          <w:sz w:val="32"/>
          <w:szCs w:val="32"/>
          <w:lang w:val="en-US" w:eastAsia="zh-CN"/>
        </w:rPr>
        <w:t>22.407201</w:t>
      </w:r>
      <w:r>
        <w:rPr>
          <w:rFonts w:hint="eastAsia" w:ascii="仿宋" w:hAnsi="仿宋" w:eastAsia="仿宋" w:cs="仿宋"/>
          <w:color w:val="000000"/>
          <w:sz w:val="32"/>
          <w:szCs w:val="32"/>
        </w:rPr>
        <w:t>万元，其中：设备类净值</w:t>
      </w:r>
      <w:r>
        <w:rPr>
          <w:rFonts w:hint="eastAsia" w:ascii="仿宋" w:hAnsi="仿宋" w:eastAsia="仿宋" w:cs="仿宋"/>
          <w:color w:val="000000"/>
          <w:sz w:val="32"/>
          <w:szCs w:val="32"/>
          <w:lang w:val="en-US" w:eastAsia="zh-CN"/>
        </w:rPr>
        <w:t>22.258861</w:t>
      </w:r>
      <w:r>
        <w:rPr>
          <w:rFonts w:hint="eastAsia" w:ascii="仿宋" w:hAnsi="仿宋" w:eastAsia="仿宋" w:cs="仿宋"/>
          <w:color w:val="000000"/>
          <w:sz w:val="32"/>
          <w:szCs w:val="32"/>
        </w:rPr>
        <w:t>万元；家具和用具净值</w:t>
      </w:r>
      <w:r>
        <w:rPr>
          <w:rFonts w:hint="eastAsia" w:ascii="仿宋" w:hAnsi="仿宋" w:eastAsia="仿宋" w:cs="仿宋"/>
          <w:color w:val="000000"/>
          <w:sz w:val="32"/>
          <w:szCs w:val="32"/>
          <w:lang w:val="en-US" w:eastAsia="zh-CN"/>
        </w:rPr>
        <w:t>0.14834</w:t>
      </w:r>
      <w:r>
        <w:rPr>
          <w:rFonts w:hint="eastAsia" w:ascii="仿宋" w:hAnsi="仿宋" w:eastAsia="仿宋" w:cs="仿宋"/>
          <w:color w:val="000000"/>
          <w:sz w:val="32"/>
          <w:szCs w:val="32"/>
        </w:rPr>
        <w:t>万元。</w:t>
      </w:r>
    </w:p>
    <w:p>
      <w:pPr>
        <w:numPr>
          <w:ilvl w:val="0"/>
          <w:numId w:val="2"/>
        </w:num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pStyle w:val="2"/>
        <w:numPr>
          <w:ilvl w:val="0"/>
          <w:numId w:val="0"/>
        </w:numPr>
        <w:ind w:firstLine="640" w:firstLineChars="200"/>
        <w:rPr>
          <w:rFonts w:hint="eastAsia"/>
        </w:rPr>
      </w:pPr>
      <w:r>
        <w:rPr>
          <w:rFonts w:hint="eastAsia" w:ascii="仿宋" w:hAnsi="仿宋" w:eastAsia="仿宋" w:cs="仿宋"/>
          <w:sz w:val="32"/>
          <w:szCs w:val="32"/>
        </w:rPr>
        <w:t>2024年部门基本收入年初预算数为</w:t>
      </w:r>
      <w:r>
        <w:rPr>
          <w:rFonts w:hint="eastAsia" w:ascii="仿宋" w:hAnsi="仿宋" w:eastAsia="仿宋" w:cs="仿宋"/>
          <w:sz w:val="32"/>
          <w:szCs w:val="32"/>
          <w:lang w:val="en-US" w:eastAsia="zh-CN"/>
        </w:rPr>
        <w:t>80.379467</w:t>
      </w:r>
      <w:r>
        <w:rPr>
          <w:rFonts w:hint="eastAsia" w:ascii="仿宋" w:hAnsi="仿宋" w:eastAsia="仿宋" w:cs="仿宋"/>
          <w:sz w:val="32"/>
          <w:szCs w:val="32"/>
        </w:rPr>
        <w:t>万元，基本支出年初预算数为</w:t>
      </w:r>
      <w:r>
        <w:rPr>
          <w:rFonts w:hint="eastAsia" w:ascii="仿宋" w:hAnsi="仿宋" w:eastAsia="仿宋" w:cs="仿宋"/>
          <w:sz w:val="32"/>
          <w:szCs w:val="32"/>
          <w:lang w:val="en-US" w:eastAsia="zh-CN"/>
        </w:rPr>
        <w:t>80.379467</w:t>
      </w:r>
      <w:r>
        <w:rPr>
          <w:rFonts w:hint="eastAsia" w:ascii="仿宋" w:hAnsi="仿宋" w:eastAsia="仿宋" w:cs="仿宋"/>
          <w:sz w:val="32"/>
          <w:szCs w:val="32"/>
        </w:rPr>
        <w:t>万元。</w:t>
      </w:r>
    </w:p>
    <w:p>
      <w:pPr>
        <w:spacing w:line="55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三</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部门整体支出绩效目标、指标</w:t>
      </w:r>
    </w:p>
    <w:p>
      <w:pPr>
        <w:pStyle w:val="15"/>
        <w:spacing w:line="55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总体绩效目标 ：</w:t>
      </w:r>
      <w:r>
        <w:rPr>
          <w:rFonts w:hint="eastAsia" w:ascii="仿宋_GB2312" w:hAnsi="仿宋_GB2312" w:eastAsia="仿宋_GB2312" w:cs="仿宋_GB2312"/>
          <w:sz w:val="32"/>
          <w:szCs w:val="32"/>
          <w:lang w:val="en-US" w:eastAsia="zh-CN"/>
        </w:rPr>
        <w:t>1加强信访工作统筹指导，全力推进信访工作法制化走深走实。夯实基层工作队伍，指导开展人民建议征集工作，通过人民建议征集办公室、“赞皇之家”app功能、发放宣传材料等多种途径进行征集人民建议，定期开展工作会商，定期督导通报。2聚焦减负赋能，推进党建引领基层治理和基层政权建设。打造基层治理示范点工作。3品牌打造，强化“两企三新”党建工作。4统筹引领，推动志愿服务工作创新发展。</w:t>
      </w:r>
    </w:p>
    <w:p>
      <w:pPr>
        <w:adjustRightInd w:val="0"/>
        <w:snapToGrid w:val="0"/>
        <w:spacing w:line="55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5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（一）自评的组织工作</w:t>
      </w:r>
    </w:p>
    <w:p>
      <w:pPr>
        <w:pStyle w:val="7"/>
        <w:spacing w:line="550" w:lineRule="exact"/>
        <w:ind w:left="0" w:leftChars="0"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我单位2024年度预算项目的日常管理工作均按照相关制度执行，建立了工作计划、实施方案、日常监督等管理机制，工作取得了较好的成效，效能得到了很大提高。</w:t>
      </w:r>
    </w:p>
    <w:p>
      <w:pPr>
        <w:spacing w:line="55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（二）自评的方法和过程</w:t>
      </w:r>
    </w:p>
    <w:p>
      <w:pPr>
        <w:pStyle w:val="7"/>
        <w:spacing w:line="550" w:lineRule="exact"/>
        <w:ind w:left="0" w:leftChars="0"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我单位项目资金的实施经县财政局审核后，按照相关要求，认真组织项目实施。为了保证项目的顺利进行，我单位成立了以部长为组长，副部长为副组长，各科室主任为组员的领导小组，负责此项工作的具体落实。</w:t>
      </w:r>
    </w:p>
    <w:p>
      <w:pPr>
        <w:adjustRightInd w:val="0"/>
        <w:snapToGrid w:val="0"/>
        <w:spacing w:line="550" w:lineRule="exact"/>
        <w:ind w:firstLine="640" w:firstLineChars="200"/>
        <w:rPr>
          <w:rFonts w:ascii="黑体" w:hAnsi="黑体" w:eastAsia="黑体"/>
          <w:sz w:val="32"/>
          <w:szCs w:val="32"/>
        </w:rPr>
      </w:pPr>
      <w:r>
        <w:rPr>
          <w:rFonts w:hint="eastAsia" w:ascii="黑体" w:hAnsi="黑体" w:eastAsia="黑体"/>
          <w:sz w:val="32"/>
          <w:szCs w:val="32"/>
        </w:rPr>
        <w:t>三、部门整体支出绩效目标实现情况及指标分析</w:t>
      </w:r>
    </w:p>
    <w:p>
      <w:pPr>
        <w:spacing w:line="55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总体绩效目标实现情况</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县委社会工作部始终坚持和加强中央的集中统一领导，认真贯彻落实中央有关方针政策、决策部署和市委、县委工作要求，紧紧围绕县委“1567”总体工作思想，大力发扬“四比一争”精神，突出抓好人民信访和人民建议征集统筹指导、党建引领基层治理和基层政权建设、行业协会商会改革发展、两企三新党建、社会工作和志愿服务等工作，全面推进治理体系和治理能力现代化。</w:t>
      </w:r>
    </w:p>
    <w:p>
      <w:pPr>
        <w:pStyle w:val="7"/>
        <w:spacing w:line="550" w:lineRule="exact"/>
        <w:ind w:left="0" w:leftChars="0" w:firstLine="643"/>
        <w:rPr>
          <w:rFonts w:ascii="仿宋_GB2312" w:hAnsi="仿宋_GB2312" w:eastAsia="仿宋_GB2312" w:cs="仿宋_GB2312"/>
          <w:sz w:val="32"/>
          <w:szCs w:val="32"/>
        </w:rPr>
      </w:pPr>
      <w:r>
        <w:rPr>
          <w:rFonts w:hint="eastAsia" w:ascii="仿宋_GB2312" w:hAnsi="仿宋_GB2312" w:eastAsia="仿宋_GB2312" w:cs="仿宋_GB2312"/>
          <w:b/>
          <w:bCs/>
          <w:sz w:val="32"/>
          <w:szCs w:val="32"/>
        </w:rPr>
        <w:t>1.统筹指导人民信访和人民建议征集。</w:t>
      </w:r>
      <w:r>
        <w:rPr>
          <w:rFonts w:hint="eastAsia" w:ascii="仿宋_GB2312" w:hAnsi="仿宋_GB2312" w:eastAsia="仿宋_GB2312" w:cs="仿宋_GB2312"/>
          <w:sz w:val="32"/>
          <w:szCs w:val="32"/>
        </w:rPr>
        <w:t>坚持和发展新时代“枫桥经验”，全面推进信访工作法治化，用好《人民建议征集机制》，确保人民建议从提出、受理、办理到转化、督导、奖励等各环节形成工作闭环。</w:t>
      </w:r>
    </w:p>
    <w:p>
      <w:pPr>
        <w:pStyle w:val="7"/>
        <w:spacing w:line="550" w:lineRule="exact"/>
        <w:ind w:left="0" w:leftChars="0" w:firstLine="643"/>
        <w:rPr>
          <w:rFonts w:ascii="仿宋_GB2312" w:hAnsi="仿宋_GB2312" w:eastAsia="仿宋_GB2312" w:cs="仿宋_GB2312"/>
          <w:sz w:val="32"/>
          <w:szCs w:val="32"/>
        </w:rPr>
      </w:pPr>
      <w:r>
        <w:rPr>
          <w:rFonts w:hint="eastAsia" w:ascii="仿宋_GB2312" w:hAnsi="仿宋_GB2312" w:eastAsia="仿宋_GB2312" w:cs="仿宋_GB2312"/>
          <w:b/>
          <w:bCs/>
          <w:sz w:val="32"/>
          <w:szCs w:val="32"/>
        </w:rPr>
        <w:t>2.推进党建引领基层治理和基层政权建设。</w:t>
      </w:r>
      <w:r>
        <w:rPr>
          <w:rFonts w:hint="eastAsia" w:ascii="仿宋_GB2312" w:hAnsi="仿宋_GB2312" w:eastAsia="仿宋_GB2312" w:cs="仿宋_GB2312"/>
          <w:sz w:val="32"/>
          <w:szCs w:val="32"/>
        </w:rPr>
        <w:t>运用好“四下基层”制度，推行“街乡吹哨、部门报到”“接诉即办”事做法，凝聚治理合力；破解基层治理“小马拉大车”突出问题，清理基层组织“滥挂牌”问题。</w:t>
      </w:r>
    </w:p>
    <w:p>
      <w:pPr>
        <w:pStyle w:val="7"/>
        <w:spacing w:line="550" w:lineRule="exact"/>
        <w:ind w:left="0" w:leftChars="0" w:firstLine="643"/>
        <w:rPr>
          <w:rFonts w:ascii="仿宋_GB2312" w:hAnsi="仿宋_GB2312" w:eastAsia="仿宋_GB2312" w:cs="仿宋_GB2312"/>
          <w:sz w:val="32"/>
          <w:szCs w:val="32"/>
        </w:rPr>
      </w:pPr>
      <w:r>
        <w:rPr>
          <w:rFonts w:hint="eastAsia" w:ascii="仿宋_GB2312" w:hAnsi="仿宋_GB2312" w:eastAsia="仿宋_GB2312" w:cs="仿宋_GB2312"/>
          <w:b/>
          <w:bCs/>
          <w:sz w:val="32"/>
          <w:szCs w:val="32"/>
        </w:rPr>
        <w:t>3.推动行业协会商会改革发展，抓好两企三新党建。</w:t>
      </w:r>
      <w:r>
        <w:rPr>
          <w:rFonts w:hint="eastAsia" w:ascii="仿宋_GB2312" w:hAnsi="仿宋_GB2312" w:eastAsia="仿宋_GB2312" w:cs="仿宋_GB2312"/>
          <w:sz w:val="32"/>
          <w:szCs w:val="32"/>
        </w:rPr>
        <w:t>坚持“管行业就要管党建”的理念，强化政治引领，促进赋能增效，加强规范管理，促进行业协会商会健康有序发展；抓好“两企三新”党建工作，打造具有本地特色的“两新”组织党建品牌，推动两企三新党建全面进步、全面过硬。</w:t>
      </w:r>
    </w:p>
    <w:p>
      <w:pPr>
        <w:pStyle w:val="7"/>
        <w:spacing w:line="550" w:lineRule="exact"/>
        <w:ind w:left="0" w:leftChars="0" w:firstLine="643"/>
        <w:rPr>
          <w:rFonts w:ascii="仿宋_GB2312" w:hAnsi="仿宋_GB2312" w:eastAsia="仿宋_GB2312" w:cs="仿宋_GB2312"/>
          <w:sz w:val="32"/>
          <w:szCs w:val="32"/>
        </w:rPr>
      </w:pPr>
      <w:r>
        <w:rPr>
          <w:rFonts w:hint="eastAsia" w:ascii="仿宋_GB2312" w:hAnsi="仿宋_GB2312" w:eastAsia="仿宋_GB2312" w:cs="仿宋_GB2312"/>
          <w:b/>
          <w:bCs/>
          <w:sz w:val="32"/>
          <w:szCs w:val="32"/>
        </w:rPr>
        <w:t>4.强化社会工作和志愿服务。</w:t>
      </w:r>
      <w:r>
        <w:rPr>
          <w:rFonts w:hint="eastAsia" w:ascii="仿宋_GB2312" w:hAnsi="仿宋_GB2312" w:eastAsia="仿宋_GB2312" w:cs="仿宋_GB2312"/>
          <w:sz w:val="32"/>
          <w:szCs w:val="32"/>
        </w:rPr>
        <w:t>推动志愿服务积分激励机制建设，加强社会工作专业人才队伍建设，围绕全县中心工作、重大活动和传统节日，广泛指导开展志愿服务活动，让志愿服务与社会工作更好融入社会治理大局，为全县经济社会发展贡献力量。</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（二）分项绩效目标实现情况及指标分析</w:t>
      </w:r>
    </w:p>
    <w:p>
      <w:pPr>
        <w:spacing w:line="55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1）认真开展座谈调研。为迅速掌握情况，摸清底数，班子各成员针对分管领域工作，就信访源头治理和法治化、社区工作者队伍建设、数字乡村治理、暖“新”驿站、社区食堂、新就业群体发展、“两新”党建等工作，深入基层调研、外出学习参观，并召开座谈会，走访非公企业、社会组织和新业态、新就业群体，认真研究，制定举措，有充推进各项工作开展。（2）扎实开展基层治理。开展农村陈规陋习专项治理，开展基层治理拉练观摩，做好村规民约和居民公约修订完善“回头看”，完成问题台账梳理工作；积极推进村务公开，确保党务、村务、财务及其他各类需上墙公示的各项数据按时公开；安排部署并实地督导村级组织和工作机制挂牌工作，确保悬挂规范。（3）深入开展“两企三新”党建。加快推进非公党建重点工作推进，创建非公党建品牌，拍摄蕊源蜂业党支部“做蜂巢式支部 做蜜蜂式党员”党建品牌专题片，开展“助企惠企”服务，搭桥牵线，联系农行赞皇支行为1</w:t>
      </w:r>
      <w:r>
        <w:rPr>
          <w:rFonts w:hint="eastAsia" w:ascii="仿宋_GB2312" w:hAnsi="仿宋_GB2312" w:eastAsia="仿宋_GB2312" w:cs="仿宋_GB2312"/>
          <w:sz w:val="32"/>
          <w:szCs w:val="32"/>
          <w:lang w:val="en-US" w:eastAsia="zh-CN"/>
        </w:rPr>
        <w:t>5</w:t>
      </w:r>
      <w:bookmarkStart w:id="0" w:name="_GoBack"/>
      <w:bookmarkEnd w:id="0"/>
      <w:r>
        <w:rPr>
          <w:rFonts w:hint="eastAsia" w:ascii="仿宋_GB2312" w:hAnsi="仿宋_GB2312" w:eastAsia="仿宋_GB2312" w:cs="仿宋_GB2312"/>
          <w:sz w:val="32"/>
          <w:szCs w:val="32"/>
        </w:rPr>
        <w:t>家非公企业给予信贷支持。（4）积极开展志愿服务。紧盯国际节日和传统节日，积极开展各类暖心活动，与民政局、县慈善总会共同组织河北天下无孤志愿服务团赞皇团启动仪式，并进行志愿者培训，推进实现全县困境孤儿全覆盖帮扶目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暖新驿站创建，2024年根据新就业群体需求，在县城内共创建暖新驿站25个站点，真正做到了为民、惠民、便民的服务标准。扩大了新就业群体暖新驿站服务半径。坚持“党建+服务+治理”，开展系列暖“新”活动，推动新业态、新就业群体发挥自身优势融入城市基层治理。</w:t>
      </w:r>
    </w:p>
    <w:p>
      <w:pPr>
        <w:adjustRightInd w:val="0"/>
        <w:snapToGrid w:val="0"/>
        <w:spacing w:line="55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adjustRightInd w:val="0"/>
        <w:snapToGrid w:val="0"/>
        <w:spacing w:line="55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rPr>
        <w:t>根据部门职责定位和各项工作履职情况进行综合评价，给出总得分</w:t>
      </w:r>
      <w:r>
        <w:rPr>
          <w:rFonts w:hint="eastAsia" w:ascii="仿宋" w:hAnsi="仿宋" w:eastAsia="仿宋"/>
          <w:sz w:val="32"/>
          <w:szCs w:val="32"/>
          <w:lang w:eastAsia="zh-CN"/>
        </w:rPr>
        <w:t>，</w:t>
      </w:r>
      <w:r>
        <w:rPr>
          <w:rFonts w:hint="eastAsia" w:ascii="仿宋" w:hAnsi="仿宋" w:eastAsia="仿宋"/>
          <w:sz w:val="32"/>
          <w:szCs w:val="32"/>
        </w:rPr>
        <w:t>满分100分，</w:t>
      </w:r>
      <w:r>
        <w:rPr>
          <w:rFonts w:hint="eastAsia" w:ascii="仿宋" w:hAnsi="仿宋" w:eastAsia="仿宋"/>
          <w:sz w:val="32"/>
          <w:szCs w:val="32"/>
          <w:lang w:val="en-US" w:eastAsia="zh-CN"/>
        </w:rPr>
        <w:t>我部门总得分96分</w:t>
      </w:r>
      <w:r>
        <w:rPr>
          <w:rFonts w:hint="eastAsia" w:ascii="仿宋" w:hAnsi="仿宋" w:eastAsia="仿宋"/>
          <w:sz w:val="32"/>
          <w:szCs w:val="32"/>
        </w:rPr>
        <w:t>。部门整体支出综合绩效评价分为</w:t>
      </w:r>
      <w:r>
        <w:rPr>
          <w:rFonts w:hint="eastAsia" w:ascii="仿宋" w:hAnsi="仿宋" w:eastAsia="仿宋"/>
          <w:sz w:val="32"/>
          <w:szCs w:val="32"/>
          <w:lang w:val="en-US" w:eastAsia="zh-CN"/>
        </w:rPr>
        <w:t>优秀。</w:t>
      </w:r>
    </w:p>
    <w:p>
      <w:pPr>
        <w:adjustRightInd w:val="0"/>
        <w:snapToGrid w:val="0"/>
        <w:spacing w:line="55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5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（一）存在的主要问题</w:t>
      </w:r>
    </w:p>
    <w:p>
      <w:pPr>
        <w:spacing w:line="55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存在问题：</w:t>
      </w:r>
      <w:r>
        <w:rPr>
          <w:rFonts w:hint="eastAsia" w:ascii="仿宋_GB2312" w:hAnsi="仿宋_GB2312" w:eastAsia="仿宋_GB2312" w:cs="仿宋_GB2312"/>
          <w:sz w:val="32"/>
          <w:szCs w:val="32"/>
        </w:rPr>
        <w:t>预算编制不够细化。</w:t>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评价结论：</w:t>
      </w:r>
      <w:r>
        <w:rPr>
          <w:rFonts w:hint="eastAsia" w:ascii="仿宋" w:hAnsi="仿宋" w:eastAsia="仿宋" w:cs="仿宋"/>
          <w:sz w:val="32"/>
          <w:szCs w:val="32"/>
        </w:rPr>
        <w:t>2024年度整体支出工作实施情况良好，但在预算编制、预算管理措施及预算执行上，仍缺乏系统量化细化的绩效指标。同时，在整体支出完成率上有待进一步加强</w:t>
      </w:r>
      <w:r>
        <w:rPr>
          <w:rFonts w:hint="eastAsia" w:ascii="仿宋" w:hAnsi="仿宋" w:eastAsia="仿宋" w:cs="仿宋"/>
          <w:sz w:val="32"/>
          <w:szCs w:val="32"/>
          <w:lang w:eastAsia="zh-CN"/>
        </w:rPr>
        <w:t>，</w:t>
      </w:r>
      <w:r>
        <w:rPr>
          <w:rFonts w:hint="eastAsia" w:ascii="仿宋_GB2312" w:hAnsi="仿宋_GB2312" w:eastAsia="仿宋_GB2312" w:cs="仿宋_GB2312"/>
          <w:sz w:val="32"/>
          <w:szCs w:val="32"/>
        </w:rPr>
        <w:t>提高预算绩效评价质量。</w:t>
      </w:r>
    </w:p>
    <w:p>
      <w:pPr>
        <w:spacing w:line="55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（二）针对问题提出具体的改进措施或建议</w:t>
      </w:r>
    </w:p>
    <w:p>
      <w:pPr>
        <w:spacing w:line="55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加强预算编制管理，遵循“量入为出、收支平衡”的原则，合理安排资金，使其更具科学性、高效性，按要求推进预算支出。</w:t>
      </w:r>
    </w:p>
    <w:p>
      <w:pPr>
        <w:pStyle w:val="2"/>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2.加强对财会人员的业务培训，提高财会人员的履职能力和业务水平。</w:t>
      </w:r>
    </w:p>
    <w:p>
      <w:pPr>
        <w:pStyle w:val="2"/>
        <w:ind w:firstLine="64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3.在保证资金使用合理、合规、合法上进一步加强预算执行管理力度，确保财政资金的有效使用。</w:t>
      </w:r>
    </w:p>
    <w:p>
      <w:pPr>
        <w:pStyle w:val="2"/>
      </w:pPr>
    </w:p>
    <w:p>
      <w:pPr>
        <w:adjustRightInd w:val="0"/>
        <w:snapToGrid w:val="0"/>
        <w:spacing w:line="55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李立强  县委社会工作部  部长、“两新”工委书记</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韩建强  县委社会工作部  副部长</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闫树宾  县委社会工作部  副部长</w:t>
      </w:r>
    </w:p>
    <w:p>
      <w:pPr>
        <w:spacing w:line="55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腾  月  县委社会工作部  办公室主任</w:t>
      </w:r>
    </w:p>
    <w:p>
      <w:pPr>
        <w:spacing w:beforeLines="50" w:line="57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签字：</w:t>
      </w:r>
    </w:p>
    <w:p>
      <w:pPr>
        <w:spacing w:line="570" w:lineRule="exact"/>
        <w:ind w:firstLine="640" w:firstLineChars="200"/>
        <w:rPr>
          <w:rFonts w:ascii="仿宋_GB2312" w:hAnsi="仿宋_GB2312" w:eastAsia="仿宋_GB2312" w:cs="仿宋_GB2312"/>
          <w:sz w:val="32"/>
          <w:szCs w:val="32"/>
        </w:rPr>
      </w:pPr>
    </w:p>
    <w:sectPr>
      <w:footerReference r:id="rId3" w:type="default"/>
      <w:pgSz w:w="11906" w:h="16838"/>
      <w:pgMar w:top="2098" w:right="1474" w:bottom="1984" w:left="1587" w:header="851" w:footer="1474"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书宋_GBK">
    <w:altName w:val="宋体"/>
    <w:panose1 w:val="00000000000000000000"/>
    <w:charset w:val="86"/>
    <w:family w:val="modern"/>
    <w:pitch w:val="default"/>
    <w:sig w:usb0="00000000" w:usb1="00000000" w:usb2="00000000" w:usb3="00000000" w:csb0="0004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path/>
          <v:fill on="f" focussize="0,0"/>
          <v:stroke on="f" joinstyle="miter"/>
          <v:imagedata o:title=""/>
          <o:lock v:ext="edit"/>
          <v:textbox inset="0mm,0mm,0mm,0mm" style="mso-fit-shape-to-text:t;">
            <w:txbxContent>
              <w:p>
                <w:pPr>
                  <w:snapToGrid w:val="0"/>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- 6 -</w:t>
                </w:r>
                <w:r>
                  <w:rPr>
                    <w:rFonts w:hint="eastAsia" w:ascii="宋体" w:hAnsi="宋体" w:cs="宋体"/>
                    <w:sz w:val="28"/>
                    <w:szCs w:val="2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27CBD7"/>
    <w:multiLevelType w:val="singleLevel"/>
    <w:tmpl w:val="8A27CBD7"/>
    <w:lvl w:ilvl="0" w:tentative="0">
      <w:start w:val="3"/>
      <w:numFmt w:val="decimal"/>
      <w:suff w:val="nothing"/>
      <w:lvlText w:val="（%1）"/>
      <w:lvlJc w:val="left"/>
      <w:pPr>
        <w:ind w:left="480" w:leftChars="0" w:firstLine="0" w:firstLineChars="0"/>
      </w:pPr>
    </w:lvl>
  </w:abstractNum>
  <w:abstractNum w:abstractNumId="1">
    <w:nsid w:val="A986ED34"/>
    <w:multiLevelType w:val="singleLevel"/>
    <w:tmpl w:val="A986ED34"/>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420"/>
  <w:drawingGridVerticalSpacing w:val="156"/>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GU5MDZkMDAyNGE3MWUyNTQ2MGMxZTI3YWQ4NGM1NWUifQ=="/>
  </w:docVars>
  <w:rsids>
    <w:rsidRoot w:val="0EBD2122"/>
    <w:rsid w:val="0003647B"/>
    <w:rsid w:val="000B0260"/>
    <w:rsid w:val="00594D6F"/>
    <w:rsid w:val="007E6C1F"/>
    <w:rsid w:val="00956A93"/>
    <w:rsid w:val="009E575C"/>
    <w:rsid w:val="00A14EE1"/>
    <w:rsid w:val="00AF167E"/>
    <w:rsid w:val="00AF566A"/>
    <w:rsid w:val="00B478EA"/>
    <w:rsid w:val="00B6553A"/>
    <w:rsid w:val="00BC6576"/>
    <w:rsid w:val="00CE06BA"/>
    <w:rsid w:val="00F441CC"/>
    <w:rsid w:val="00F60E40"/>
    <w:rsid w:val="01B104CA"/>
    <w:rsid w:val="02106AB0"/>
    <w:rsid w:val="02B43A28"/>
    <w:rsid w:val="046F331E"/>
    <w:rsid w:val="07956271"/>
    <w:rsid w:val="09721397"/>
    <w:rsid w:val="0BB63BED"/>
    <w:rsid w:val="0DFC496D"/>
    <w:rsid w:val="0EB97A43"/>
    <w:rsid w:val="0EBD2122"/>
    <w:rsid w:val="0F214EAE"/>
    <w:rsid w:val="0FE0565A"/>
    <w:rsid w:val="1070136F"/>
    <w:rsid w:val="11B71E6A"/>
    <w:rsid w:val="130F4EEC"/>
    <w:rsid w:val="18861EFD"/>
    <w:rsid w:val="1AAF0063"/>
    <w:rsid w:val="1B8A7EAA"/>
    <w:rsid w:val="1BE140DE"/>
    <w:rsid w:val="248C197D"/>
    <w:rsid w:val="252959AF"/>
    <w:rsid w:val="277A6671"/>
    <w:rsid w:val="292D35B7"/>
    <w:rsid w:val="2E812D1C"/>
    <w:rsid w:val="2F146650"/>
    <w:rsid w:val="2F89676A"/>
    <w:rsid w:val="33EB6CFF"/>
    <w:rsid w:val="35A12947"/>
    <w:rsid w:val="366E5DBD"/>
    <w:rsid w:val="370422B5"/>
    <w:rsid w:val="37387040"/>
    <w:rsid w:val="3B625C0A"/>
    <w:rsid w:val="3CEE1963"/>
    <w:rsid w:val="3F173801"/>
    <w:rsid w:val="4124333A"/>
    <w:rsid w:val="42122FAA"/>
    <w:rsid w:val="45702D01"/>
    <w:rsid w:val="4C9C27FE"/>
    <w:rsid w:val="4FF9AD8B"/>
    <w:rsid w:val="50014F59"/>
    <w:rsid w:val="50E41AA0"/>
    <w:rsid w:val="512260B4"/>
    <w:rsid w:val="52BD6ACB"/>
    <w:rsid w:val="52F42A31"/>
    <w:rsid w:val="538D3C6F"/>
    <w:rsid w:val="54821FC9"/>
    <w:rsid w:val="55537534"/>
    <w:rsid w:val="561A74F1"/>
    <w:rsid w:val="597244E8"/>
    <w:rsid w:val="5A0767B5"/>
    <w:rsid w:val="5D7346BE"/>
    <w:rsid w:val="5DF35FBA"/>
    <w:rsid w:val="5EB71C30"/>
    <w:rsid w:val="61D218D0"/>
    <w:rsid w:val="66AF0CE5"/>
    <w:rsid w:val="68777B36"/>
    <w:rsid w:val="6A64145A"/>
    <w:rsid w:val="6AC537CF"/>
    <w:rsid w:val="6C5D38C8"/>
    <w:rsid w:val="6C6E0528"/>
    <w:rsid w:val="6C8D5B7B"/>
    <w:rsid w:val="6CA536CD"/>
    <w:rsid w:val="6E5B14A6"/>
    <w:rsid w:val="711B255E"/>
    <w:rsid w:val="72336C73"/>
    <w:rsid w:val="73721F98"/>
    <w:rsid w:val="73FF0D6C"/>
    <w:rsid w:val="7BB51E06"/>
    <w:rsid w:val="7C387F7C"/>
    <w:rsid w:val="7FC847D5"/>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纯文本1"/>
    <w:basedOn w:val="1"/>
    <w:qFormat/>
    <w:uiPriority w:val="0"/>
    <w:rPr>
      <w:rFonts w:ascii="宋体" w:hAnsi="Courier New" w:cs="Courier New"/>
      <w:szCs w:val="21"/>
    </w:rPr>
  </w:style>
  <w:style w:type="paragraph" w:styleId="3">
    <w:name w:val="Body Text Indent"/>
    <w:basedOn w:val="1"/>
    <w:unhideWhenUsed/>
    <w:qFormat/>
    <w:uiPriority w:val="0"/>
    <w:pPr>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unhideWhenUsed/>
    <w:qFormat/>
    <w:uiPriority w:val="0"/>
    <w:pPr>
      <w:jc w:val="left"/>
    </w:pPr>
    <w:rPr>
      <w:rFonts w:cs="Times New Roman"/>
      <w:kern w:val="0"/>
      <w:sz w:val="24"/>
    </w:rPr>
  </w:style>
  <w:style w:type="paragraph" w:styleId="7">
    <w:name w:val="Body Text First Indent 2"/>
    <w:basedOn w:val="3"/>
    <w:unhideWhenUsed/>
    <w:qFormat/>
    <w:uiPriority w:val="0"/>
    <w:pPr>
      <w:ind w:firstLine="420" w:firstLineChars="200"/>
    </w:pPr>
  </w:style>
  <w:style w:type="paragraph" w:customStyle="1" w:styleId="10">
    <w:name w:val="插入文本样式-插入单位职责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1">
    <w:name w:val="单元格样式1"/>
    <w:basedOn w:val="1"/>
    <w:qFormat/>
    <w:uiPriority w:val="0"/>
    <w:pPr>
      <w:jc w:val="center"/>
    </w:pPr>
    <w:rPr>
      <w:rFonts w:ascii="方正书宋_GBK" w:hAnsi="方正书宋_GBK" w:eastAsia="方正书宋_GBK" w:cs="方正书宋_GBK"/>
      <w:b/>
    </w:rPr>
  </w:style>
  <w:style w:type="paragraph" w:customStyle="1" w:styleId="12">
    <w:name w:val="单元格样式2"/>
    <w:basedOn w:val="1"/>
    <w:qFormat/>
    <w:uiPriority w:val="0"/>
    <w:pPr>
      <w:jc w:val="left"/>
    </w:pPr>
    <w:rPr>
      <w:rFonts w:ascii="方正书宋_GBK" w:hAnsi="方正书宋_GBK" w:eastAsia="方正书宋_GBK" w:cs="方正书宋_GBK"/>
    </w:rPr>
  </w:style>
  <w:style w:type="paragraph" w:customStyle="1" w:styleId="13">
    <w:name w:val="单元格样式3"/>
    <w:basedOn w:val="1"/>
    <w:qFormat/>
    <w:uiPriority w:val="0"/>
    <w:pPr>
      <w:jc w:val="center"/>
    </w:pPr>
    <w:rPr>
      <w:rFonts w:ascii="方正书宋_GBK" w:hAnsi="方正书宋_GBK" w:eastAsia="方正书宋_GBK" w:cs="方正书宋_GBK"/>
    </w:rPr>
  </w:style>
  <w:style w:type="paragraph" w:customStyle="1" w:styleId="14">
    <w:name w:val="toa heading1"/>
    <w:basedOn w:val="1"/>
    <w:next w:val="1"/>
    <w:qFormat/>
    <w:uiPriority w:val="0"/>
    <w:rPr>
      <w:rFonts w:ascii="Arial" w:hAnsi="Arial" w:cs="Times New Roman"/>
      <w:sz w:val="24"/>
    </w:rPr>
  </w:style>
  <w:style w:type="paragraph" w:customStyle="1" w:styleId="15">
    <w:name w:val="插入文本样式-插入总体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6">
    <w:name w:val="插入文本样式-插入职责分类绩效目标文件"/>
    <w:basedOn w:val="1"/>
    <w:qFormat/>
    <w:uiPriority w:val="0"/>
    <w:pPr>
      <w:spacing w:line="500" w:lineRule="exact"/>
      <w:ind w:firstLine="560"/>
      <w:jc w:val="left"/>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9</Pages>
  <Words>634</Words>
  <Characters>3617</Characters>
  <Lines>30</Lines>
  <Paragraphs>8</Paragraphs>
  <TotalTime>24</TotalTime>
  <ScaleCrop>false</ScaleCrop>
  <LinksUpToDate>false</LinksUpToDate>
  <CharactersWithSpaces>4243</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Administrator</cp:lastModifiedBy>
  <cp:lastPrinted>2022-01-19T15:24:00Z</cp:lastPrinted>
  <dcterms:modified xsi:type="dcterms:W3CDTF">2025-04-19T04:35:06Z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877FE8DE2E564207B33D51D28C8F7BA7</vt:lpwstr>
  </property>
</Properties>
</file>