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7B08883C">
      <w:pPr>
        <w:keepNext w:val="0"/>
        <w:keepLines w:val="0"/>
        <w:pageBreakBefore w:val="0"/>
        <w:widowControl w:val="0"/>
        <w:kinsoku/>
        <w:wordWrap/>
        <w:overflowPunct/>
        <w:topLinePunct w:val="0"/>
        <w:autoSpaceDE/>
        <w:autoSpaceDN/>
        <w:bidi w:val="0"/>
        <w:spacing w:line="700" w:lineRule="exact"/>
        <w:jc w:val="center"/>
        <w:textAlignment w:val="auto"/>
        <w:rPr>
          <w:rFonts w:ascii="宋体" w:hAnsi="宋体" w:cs="宋体"/>
          <w:b/>
          <w:bCs/>
          <w:sz w:val="44"/>
          <w:szCs w:val="44"/>
        </w:rPr>
      </w:pPr>
    </w:p>
    <w:p w14:paraId="15AA86FD">
      <w:pPr>
        <w:keepNext w:val="0"/>
        <w:keepLines w:val="0"/>
        <w:pageBreakBefore w:val="0"/>
        <w:widowControl w:val="0"/>
        <w:kinsoku/>
        <w:wordWrap/>
        <w:overflowPunct/>
        <w:topLinePunct w:val="0"/>
        <w:autoSpaceDE/>
        <w:autoSpaceDN/>
        <w:bidi w:val="0"/>
        <w:spacing w:line="700" w:lineRule="exact"/>
        <w:ind w:firstLine="1325" w:firstLineChars="300"/>
        <w:jc w:val="left"/>
        <w:textAlignment w:val="auto"/>
        <w:rPr>
          <w:rFonts w:hint="eastAsia" w:ascii="宋体" w:hAnsi="宋体" w:cs="宋体"/>
          <w:b/>
          <w:bCs/>
          <w:sz w:val="44"/>
          <w:szCs w:val="44"/>
        </w:rPr>
      </w:pPr>
      <w:r>
        <w:rPr>
          <w:rFonts w:hint="eastAsia" w:ascii="宋体" w:hAnsi="宋体" w:cs="宋体"/>
          <w:b/>
          <w:bCs/>
          <w:sz w:val="44"/>
          <w:szCs w:val="44"/>
          <w:lang w:eastAsia="zh-CN"/>
        </w:rPr>
        <w:t>赞皇县人力资源和社会保障</w:t>
      </w:r>
      <w:r>
        <w:rPr>
          <w:rFonts w:hint="eastAsia" w:ascii="宋体" w:hAnsi="宋体" w:cs="宋体"/>
          <w:b/>
          <w:bCs/>
          <w:sz w:val="44"/>
          <w:szCs w:val="44"/>
        </w:rPr>
        <w:t>部门</w:t>
      </w:r>
    </w:p>
    <w:p w14:paraId="325C502F">
      <w:pPr>
        <w:keepNext w:val="0"/>
        <w:keepLines w:val="0"/>
        <w:pageBreakBefore w:val="0"/>
        <w:widowControl w:val="0"/>
        <w:kinsoku/>
        <w:wordWrap/>
        <w:overflowPunct/>
        <w:topLinePunct w:val="0"/>
        <w:autoSpaceDE/>
        <w:autoSpaceDN/>
        <w:bidi w:val="0"/>
        <w:spacing w:line="70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436C67B9">
      <w:pPr>
        <w:keepNext w:val="0"/>
        <w:keepLines w:val="0"/>
        <w:pageBreakBefore w:val="0"/>
        <w:widowControl w:val="0"/>
        <w:kinsoku/>
        <w:wordWrap/>
        <w:overflowPunct/>
        <w:topLinePunct w:val="0"/>
        <w:autoSpaceDE/>
        <w:autoSpaceDN/>
        <w:bidi w:val="0"/>
        <w:adjustRightInd w:val="0"/>
        <w:snapToGrid w:val="0"/>
        <w:spacing w:line="700" w:lineRule="exact"/>
        <w:ind w:firstLine="640" w:firstLineChars="200"/>
        <w:textAlignment w:val="auto"/>
        <w:rPr>
          <w:rFonts w:hint="eastAsia" w:ascii="仿宋_GB2312" w:hAnsi="仿宋_GB2312" w:eastAsia="仿宋_GB2312" w:cs="仿宋_GB2312"/>
          <w:sz w:val="32"/>
          <w:szCs w:val="32"/>
        </w:rPr>
      </w:pPr>
    </w:p>
    <w:p w14:paraId="7E628446">
      <w:pPr>
        <w:keepNext w:val="0"/>
        <w:keepLines w:val="0"/>
        <w:pageBreakBefore w:val="0"/>
        <w:kinsoku/>
        <w:wordWrap/>
        <w:overflowPunct/>
        <w:topLinePunct w:val="0"/>
        <w:autoSpaceDE/>
        <w:autoSpaceDN/>
        <w:bidi w:val="0"/>
        <w:adjustRightInd w:val="0"/>
        <w:snapToGrid w:val="0"/>
        <w:spacing w:line="60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遵循“科学性、规范性、客观性和公正性”的原则，对</w:t>
      </w:r>
      <w:r>
        <w:rPr>
          <w:rFonts w:hint="eastAsia" w:ascii="仿宋_GB2312" w:hAnsi="仿宋_GB2312" w:eastAsia="仿宋_GB2312" w:cs="仿宋_GB2312"/>
          <w:sz w:val="32"/>
          <w:szCs w:val="32"/>
          <w:lang w:eastAsia="zh-CN"/>
        </w:rPr>
        <w:t>赞皇县人力资源和社会保障</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keepNext w:val="0"/>
        <w:keepLines w:val="0"/>
        <w:pageBreakBefore w:val="0"/>
        <w:kinsoku/>
        <w:wordWrap/>
        <w:overflowPunct/>
        <w:topLinePunct w:val="0"/>
        <w:autoSpaceDE/>
        <w:autoSpaceDN/>
        <w:bidi w:val="0"/>
        <w:adjustRightInd w:val="0"/>
        <w:snapToGrid w:val="0"/>
        <w:spacing w:line="600" w:lineRule="exact"/>
        <w:ind w:left="0" w:leftChars="0" w:firstLine="640" w:firstLineChars="200"/>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keepNext w:val="0"/>
        <w:keepLines w:val="0"/>
        <w:pageBreakBefore w:val="0"/>
        <w:kinsoku/>
        <w:wordWrap/>
        <w:overflowPunct/>
        <w:topLinePunct w:val="0"/>
        <w:autoSpaceDE/>
        <w:autoSpaceDN/>
        <w:bidi w:val="0"/>
        <w:adjustRightInd w:val="0"/>
        <w:snapToGrid w:val="0"/>
        <w:spacing w:line="600" w:lineRule="exact"/>
        <w:ind w:left="0" w:leftChars="0"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048FA378">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拟订全县人力资源和社会保障事业发展规划。</w:t>
      </w:r>
    </w:p>
    <w:p w14:paraId="34413735">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拟订人力资源市场发展规划和人力资源服务业发展、人力资源流动政策，促进人力资源合理流动、有效配置。按照管理权限拟订人员（不含公务员）调配政策和特殊人员安置政策。</w:t>
      </w:r>
    </w:p>
    <w:p w14:paraId="2126069F">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促进就业创业工作，拟订统筹城乡的就业发展规划和促进就业创业扶持政策，完善公共就业服务体系，拟订全县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14:paraId="00A1639B">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44A42C10">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负责就业、失业和相关社会保险基金预测预警和信息引导，拟订应对预案、实施预防、调节和控制，保持就业形势稳定和社会保险基金总体收支平衡。</w:t>
      </w:r>
    </w:p>
    <w:p w14:paraId="58F97253">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41CD385F">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赞（回国）工作或定居政策，组织拟订技能人才培训、评价、使用和激励制度。贯彻执行职业资格制度，负责职业技能多元化评价工作。</w:t>
      </w:r>
    </w:p>
    <w:p w14:paraId="413ED11C">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中央驻赞单位工资基金手册管理工作。</w:t>
      </w:r>
    </w:p>
    <w:p w14:paraId="49F6951C">
      <w:pPr>
        <w:pStyle w:val="7"/>
        <w:keepNext w:val="0"/>
        <w:keepLines w:val="0"/>
        <w:pageBreakBefore w:val="0"/>
        <w:widowControl/>
        <w:kinsoku/>
        <w:wordWrap/>
        <w:overflowPunct/>
        <w:topLinePunct w:val="0"/>
        <w:autoSpaceDE/>
        <w:autoSpaceDN/>
        <w:bidi w:val="0"/>
        <w:adjustRightInd w:val="0"/>
        <w:snapToGrid/>
        <w:spacing w:before="0" w:beforeAutospacing="0" w:after="0" w:afterAutospacing="0" w:line="600" w:lineRule="exact"/>
        <w:ind w:left="0" w:leftChars="0" w:firstLine="640" w:firstLineChars="200"/>
        <w:textAlignment w:val="baseline"/>
        <w:rPr>
          <w:rFonts w:hint="eastAsia" w:eastAsia="仿宋"/>
          <w:sz w:val="32"/>
        </w:rPr>
      </w:pPr>
      <w:r>
        <w:rPr>
          <w:rFonts w:hint="eastAsia" w:eastAsia="仿宋"/>
          <w:sz w:val="32"/>
          <w:lang w:val="en-US" w:eastAsia="zh-CN"/>
        </w:rPr>
        <w:t>9、</w:t>
      </w:r>
      <w:r>
        <w:rPr>
          <w:rFonts w:hint="eastAsia" w:eastAsia="仿宋"/>
          <w:sz w:val="32"/>
        </w:rPr>
        <w:t>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14:paraId="6560603B">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14:paraId="1BAC11D0">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负责农民工工作，对政策落实情况进行监督检查，协调解决重点难点问题，维护农民工合法权益。</w:t>
      </w:r>
    </w:p>
    <w:p w14:paraId="2AD82862">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负责人力资源和社会保障对外交流与合作工作。</w:t>
      </w:r>
    </w:p>
    <w:p w14:paraId="7D4DF385">
      <w:pPr>
        <w:pStyle w:val="14"/>
        <w:keepNext w:val="0"/>
        <w:keepLines w:val="0"/>
        <w:pageBreakBefore w:val="0"/>
        <w:widowControl w:val="0"/>
        <w:kinsoku/>
        <w:wordWrap/>
        <w:overflowPunct/>
        <w:topLinePunct w:val="0"/>
        <w:autoSpaceDE/>
        <w:autoSpaceDN/>
        <w:bidi w:val="0"/>
        <w:adjustRightInd/>
        <w:snapToGrid/>
        <w:spacing w:beforeAutospacing="0" w:after="0" w:afterAutospacing="0" w:line="60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完成县委、县政府交办的其他任务。</w:t>
      </w:r>
    </w:p>
    <w:p w14:paraId="444BED7F">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 w:eastAsia="仿宋_GB2312"/>
          <w:sz w:val="32"/>
          <w:szCs w:val="32"/>
        </w:rPr>
      </w:pPr>
      <w:r>
        <w:rPr>
          <w:rFonts w:hint="eastAsia" w:ascii="仿宋" w:hAnsi="仿宋" w:eastAsia="仿宋" w:cs="仿宋"/>
          <w:b/>
          <w:bCs/>
          <w:kern w:val="0"/>
          <w:sz w:val="32"/>
          <w:szCs w:val="32"/>
          <w:lang w:val="en-US" w:eastAsia="zh-CN" w:bidi="ar"/>
        </w:rPr>
        <w:t>人员情况：</w:t>
      </w:r>
      <w:r>
        <w:rPr>
          <w:rFonts w:hint="eastAsia" w:ascii="仿宋" w:hAnsi="仿宋" w:eastAsia="仿宋" w:cs="仿宋"/>
          <w:kern w:val="0"/>
          <w:sz w:val="32"/>
          <w:szCs w:val="32"/>
          <w:lang w:val="en-US" w:eastAsia="zh-CN" w:bidi="ar"/>
        </w:rPr>
        <w:t xml:space="preserve"> </w:t>
      </w:r>
      <w:r>
        <w:rPr>
          <w:rFonts w:hint="eastAsia" w:eastAsia="仿宋"/>
          <w:sz w:val="32"/>
        </w:rPr>
        <w:t>人员情况，</w:t>
      </w:r>
      <w:r>
        <w:rPr>
          <w:rFonts w:hint="eastAsia" w:eastAsia="仿宋"/>
          <w:sz w:val="32"/>
          <w:lang w:eastAsia="zh-CN"/>
        </w:rPr>
        <w:t>部门包括人员</w:t>
      </w:r>
      <w:r>
        <w:rPr>
          <w:rFonts w:hint="eastAsia" w:eastAsia="仿宋"/>
          <w:sz w:val="32"/>
          <w:lang w:val="en-US" w:eastAsia="zh-CN"/>
        </w:rPr>
        <w:t>154人，其中</w:t>
      </w:r>
      <w:r>
        <w:rPr>
          <w:rFonts w:hint="eastAsia" w:eastAsia="仿宋"/>
          <w:sz w:val="32"/>
          <w:lang w:eastAsia="zh-CN"/>
        </w:rPr>
        <w:t>在职人员</w:t>
      </w:r>
      <w:r>
        <w:rPr>
          <w:rFonts w:hint="eastAsia" w:eastAsia="仿宋"/>
          <w:sz w:val="32"/>
          <w:lang w:val="en-US" w:eastAsia="zh-CN"/>
        </w:rPr>
        <w:t>100人，退休人员54人。</w:t>
      </w:r>
    </w:p>
    <w:p w14:paraId="649298FE">
      <w:pPr>
        <w:keepNext w:val="0"/>
        <w:keepLines w:val="0"/>
        <w:pageBreakBefore w:val="0"/>
        <w:kinsoku/>
        <w:wordWrap/>
        <w:overflowPunct/>
        <w:topLinePunct w:val="0"/>
        <w:autoSpaceDE/>
        <w:autoSpaceDN/>
        <w:bidi w:val="0"/>
        <w:spacing w:line="600" w:lineRule="exact"/>
        <w:ind w:left="0" w:leftChars="0" w:firstLine="643" w:firstLineChars="200"/>
        <w:rPr>
          <w:rFonts w:hint="eastAsia" w:ascii="仿宋" w:hAnsi="仿宋" w:eastAsia="仿宋"/>
          <w:color w:val="auto"/>
          <w:sz w:val="32"/>
          <w:szCs w:val="32"/>
        </w:rPr>
      </w:pPr>
      <w:r>
        <w:rPr>
          <w:rFonts w:hint="eastAsia" w:ascii="仿宋" w:hAnsi="仿宋" w:eastAsia="仿宋" w:cs="仿宋"/>
          <w:b/>
          <w:bCs/>
          <w:kern w:val="0"/>
          <w:sz w:val="32"/>
          <w:szCs w:val="32"/>
          <w:lang w:val="en-US" w:eastAsia="zh-CN" w:bidi="ar"/>
        </w:rPr>
        <w:t>资产情况：</w:t>
      </w:r>
      <w:r>
        <w:rPr>
          <w:rFonts w:hint="eastAsia" w:ascii="仿宋" w:hAnsi="仿宋" w:eastAsia="仿宋"/>
          <w:color w:val="auto"/>
          <w:sz w:val="32"/>
          <w:szCs w:val="32"/>
          <w:lang w:val="en-US" w:eastAsia="zh-CN"/>
        </w:rPr>
        <w:t>2024年固定资产4514449.95元，比2023年固定资产4725513.31元，</w:t>
      </w:r>
      <w:r>
        <w:rPr>
          <w:rFonts w:hint="eastAsia" w:ascii="仿宋" w:hAnsi="仿宋" w:eastAsia="仿宋"/>
          <w:color w:val="auto"/>
          <w:sz w:val="32"/>
          <w:szCs w:val="32"/>
        </w:rPr>
        <w:t>减少</w:t>
      </w:r>
      <w:r>
        <w:rPr>
          <w:rFonts w:hint="eastAsia" w:ascii="仿宋" w:hAnsi="仿宋" w:eastAsia="仿宋"/>
          <w:color w:val="auto"/>
          <w:sz w:val="32"/>
          <w:szCs w:val="32"/>
          <w:lang w:val="en-US" w:eastAsia="zh-CN"/>
        </w:rPr>
        <w:t xml:space="preserve"> 211063.36</w:t>
      </w:r>
      <w:r>
        <w:rPr>
          <w:rFonts w:hint="eastAsia" w:ascii="仿宋" w:hAnsi="仿宋" w:eastAsia="仿宋"/>
          <w:color w:val="auto"/>
          <w:sz w:val="32"/>
          <w:szCs w:val="32"/>
        </w:rPr>
        <w:t>元，主要是固定资产折旧。</w:t>
      </w:r>
    </w:p>
    <w:p w14:paraId="352A7128">
      <w:pPr>
        <w:keepNext w:val="0"/>
        <w:keepLines w:val="0"/>
        <w:pageBreakBefore w:val="0"/>
        <w:numPr>
          <w:ilvl w:val="0"/>
          <w:numId w:val="1"/>
        </w:numPr>
        <w:kinsoku/>
        <w:wordWrap/>
        <w:overflowPunct/>
        <w:topLinePunct w:val="0"/>
        <w:autoSpaceDE/>
        <w:autoSpaceDN/>
        <w:bidi w:val="0"/>
        <w:adjustRightInd w:val="0"/>
        <w:snapToGrid w:val="0"/>
        <w:spacing w:line="600" w:lineRule="exact"/>
        <w:ind w:left="0" w:leftChars="0"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4E26473F">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_GB2312" w:hAnsi="宋体" w:eastAsia="仿宋_GB2312"/>
          <w:bCs/>
          <w:kern w:val="2"/>
          <w:sz w:val="32"/>
          <w:szCs w:val="32"/>
          <w:lang w:val="en-US" w:eastAsia="zh-CN"/>
        </w:rPr>
      </w:pPr>
      <w:r>
        <w:rPr>
          <w:rFonts w:hint="eastAsia" w:ascii="仿宋_GB2312" w:hAnsi="宋体" w:eastAsia="仿宋_GB2312"/>
          <w:bCs/>
          <w:kern w:val="2"/>
          <w:sz w:val="32"/>
          <w:szCs w:val="32"/>
          <w:lang w:val="en-US" w:eastAsia="zh-CN"/>
        </w:rPr>
        <w:t>2024年初预算收入11241.8万元，</w:t>
      </w:r>
      <w:r>
        <w:rPr>
          <w:rFonts w:hint="eastAsia" w:ascii="仿宋_GB2312" w:hAnsi="宋体" w:eastAsia="仿宋_GB2312"/>
          <w:bCs/>
          <w:kern w:val="2"/>
          <w:sz w:val="32"/>
          <w:szCs w:val="32"/>
        </w:rPr>
        <w:t>其中财政拨款数</w:t>
      </w:r>
      <w:r>
        <w:rPr>
          <w:rFonts w:hint="eastAsia" w:ascii="仿宋_GB2312" w:hAnsi="宋体" w:eastAsia="仿宋_GB2312"/>
          <w:bCs/>
          <w:kern w:val="2"/>
          <w:sz w:val="32"/>
          <w:szCs w:val="32"/>
          <w:lang w:val="en-US" w:eastAsia="zh-CN"/>
        </w:rPr>
        <w:t xml:space="preserve">    11241.8万元，</w:t>
      </w:r>
      <w:r>
        <w:rPr>
          <w:rFonts w:hint="eastAsia" w:ascii="仿宋_GB2312" w:hAnsi="宋体" w:eastAsia="仿宋_GB2312"/>
          <w:bCs/>
          <w:kern w:val="2"/>
          <w:sz w:val="32"/>
          <w:szCs w:val="32"/>
        </w:rPr>
        <w:t>占总收入的</w:t>
      </w:r>
      <w:r>
        <w:rPr>
          <w:rFonts w:hint="eastAsia" w:ascii="仿宋_GB2312" w:hAnsi="宋体" w:eastAsia="仿宋_GB2312"/>
          <w:bCs/>
          <w:kern w:val="2"/>
          <w:sz w:val="32"/>
          <w:szCs w:val="32"/>
          <w:lang w:val="en-US" w:eastAsia="zh-CN"/>
        </w:rPr>
        <w:t xml:space="preserve">100 </w:t>
      </w:r>
      <w:r>
        <w:rPr>
          <w:rFonts w:ascii="仿宋_GB2312" w:hAnsi="宋体" w:eastAsia="仿宋_GB2312"/>
          <w:bCs/>
          <w:kern w:val="2"/>
          <w:sz w:val="32"/>
          <w:szCs w:val="32"/>
        </w:rPr>
        <w:t>%</w:t>
      </w:r>
      <w:r>
        <w:rPr>
          <w:rFonts w:hint="eastAsia" w:ascii="仿宋_GB2312" w:hAnsi="宋体" w:eastAsia="仿宋_GB2312"/>
          <w:bCs/>
          <w:kern w:val="2"/>
          <w:sz w:val="32"/>
          <w:szCs w:val="32"/>
        </w:rPr>
        <w:t>。</w:t>
      </w:r>
      <w:r>
        <w:rPr>
          <w:rFonts w:hint="eastAsia" w:ascii="仿宋_GB2312" w:hAnsi="宋体" w:eastAsia="仿宋_GB2312"/>
          <w:bCs/>
          <w:kern w:val="2"/>
          <w:sz w:val="32"/>
          <w:szCs w:val="32"/>
          <w:lang w:eastAsia="zh-CN"/>
        </w:rPr>
        <w:t>预算支出</w:t>
      </w:r>
      <w:r>
        <w:rPr>
          <w:rFonts w:hint="eastAsia" w:ascii="仿宋_GB2312" w:hAnsi="宋体" w:eastAsia="仿宋_GB2312"/>
          <w:bCs/>
          <w:kern w:val="2"/>
          <w:sz w:val="32"/>
          <w:szCs w:val="32"/>
          <w:lang w:val="en-US" w:eastAsia="zh-CN"/>
        </w:rPr>
        <w:t>11241.8万元，其中基本支出1647.67万元，占总支出的 15 %，项目支出9594.13万元，占总支出的85%。</w:t>
      </w:r>
    </w:p>
    <w:p w14:paraId="3368F6B2">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_GB2312" w:hAnsi="宋体" w:eastAsia="仿宋_GB2312"/>
          <w:sz w:val="32"/>
          <w:szCs w:val="32"/>
        </w:rPr>
      </w:pPr>
      <w:r>
        <w:rPr>
          <w:rFonts w:hint="eastAsia" w:ascii="仿宋_GB2312" w:hAnsi="宋体" w:eastAsia="仿宋_GB2312"/>
          <w:sz w:val="32"/>
          <w:szCs w:val="32"/>
          <w:lang w:val="en-US" w:eastAsia="zh-CN"/>
        </w:rPr>
        <w:t>2024年决算收入143920527.44 元，较</w:t>
      </w:r>
      <w:r>
        <w:rPr>
          <w:rFonts w:ascii="仿宋_GB2312" w:hAnsi="宋体" w:eastAsia="仿宋_GB2312"/>
          <w:sz w:val="32"/>
          <w:szCs w:val="32"/>
        </w:rPr>
        <w:t>20</w:t>
      </w:r>
      <w:r>
        <w:rPr>
          <w:rFonts w:hint="eastAsia" w:ascii="仿宋_GB2312" w:hAnsi="宋体" w:eastAsia="仿宋_GB2312"/>
          <w:sz w:val="32"/>
          <w:szCs w:val="32"/>
        </w:rPr>
        <w:t>2</w:t>
      </w:r>
      <w:r>
        <w:rPr>
          <w:rFonts w:hint="eastAsia" w:ascii="仿宋_GB2312" w:hAnsi="宋体" w:eastAsia="仿宋_GB2312"/>
          <w:sz w:val="32"/>
          <w:szCs w:val="32"/>
          <w:lang w:val="en-US" w:eastAsia="zh-CN"/>
        </w:rPr>
        <w:t>3</w:t>
      </w:r>
      <w:r>
        <w:rPr>
          <w:rFonts w:hint="eastAsia" w:ascii="仿宋_GB2312" w:hAnsi="宋体" w:eastAsia="仿宋_GB2312"/>
          <w:sz w:val="32"/>
          <w:szCs w:val="32"/>
        </w:rPr>
        <w:t>年决算</w:t>
      </w:r>
      <w:r>
        <w:rPr>
          <w:rFonts w:hint="eastAsia" w:ascii="仿宋_GB2312" w:hAnsi="宋体" w:eastAsia="仿宋_GB2312"/>
          <w:sz w:val="32"/>
          <w:szCs w:val="32"/>
          <w:lang w:eastAsia="zh-CN"/>
        </w:rPr>
        <w:t>收入</w:t>
      </w:r>
      <w:r>
        <w:rPr>
          <w:rFonts w:hint="eastAsia" w:ascii="仿宋_GB2312" w:hAnsi="仿宋" w:eastAsia="仿宋_GB2312"/>
          <w:sz w:val="32"/>
          <w:szCs w:val="32"/>
          <w:lang w:val="en-US" w:eastAsia="zh-CN"/>
        </w:rPr>
        <w:t xml:space="preserve"> </w:t>
      </w:r>
      <w:r>
        <w:rPr>
          <w:rFonts w:hint="eastAsia" w:ascii="仿宋_GB2312" w:hAnsi="宋体" w:eastAsia="仿宋_GB2312"/>
          <w:sz w:val="32"/>
          <w:szCs w:val="32"/>
          <w:lang w:val="en-US" w:eastAsia="zh-CN"/>
        </w:rPr>
        <w:t>118417651.51</w:t>
      </w:r>
      <w:r>
        <w:rPr>
          <w:rFonts w:hint="eastAsia" w:ascii="仿宋_GB2312" w:hAnsi="仿宋" w:eastAsia="仿宋_GB2312"/>
          <w:sz w:val="32"/>
          <w:szCs w:val="32"/>
          <w:lang w:val="en-US" w:eastAsia="zh-CN"/>
        </w:rPr>
        <w:t>元，增加 25502875.93</w:t>
      </w:r>
      <w:r>
        <w:rPr>
          <w:rFonts w:hint="eastAsia" w:ascii="仿宋_GB2312" w:hAnsi="宋体" w:eastAsia="仿宋_GB2312"/>
          <w:bCs/>
          <w:kern w:val="2"/>
          <w:sz w:val="32"/>
          <w:szCs w:val="32"/>
          <w:lang w:val="en-US" w:eastAsia="zh-CN"/>
        </w:rPr>
        <w:t xml:space="preserve"> 元，</w:t>
      </w:r>
      <w:r>
        <w:rPr>
          <w:rFonts w:hint="eastAsia" w:ascii="仿宋_GB2312" w:hAnsi="宋体" w:eastAsia="仿宋_GB2312"/>
          <w:sz w:val="32"/>
          <w:szCs w:val="32"/>
        </w:rPr>
        <w:t>原因为</w:t>
      </w:r>
      <w:r>
        <w:rPr>
          <w:rFonts w:hint="eastAsia" w:ascii="仿宋_GB2312" w:hAnsi="宋体" w:eastAsia="仿宋_GB2312"/>
          <w:sz w:val="32"/>
          <w:szCs w:val="32"/>
          <w:lang w:eastAsia="zh-CN"/>
        </w:rPr>
        <w:t>政策调整</w:t>
      </w:r>
      <w:r>
        <w:rPr>
          <w:rFonts w:hint="eastAsia" w:ascii="仿宋_GB2312" w:hAnsi="宋体" w:eastAsia="仿宋_GB2312"/>
          <w:sz w:val="32"/>
          <w:szCs w:val="32"/>
        </w:rPr>
        <w:t>。</w:t>
      </w:r>
    </w:p>
    <w:p w14:paraId="29DAE010">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_GB2312" w:hAnsi="宋体" w:eastAsia="仿宋_GB2312"/>
          <w:sz w:val="32"/>
          <w:szCs w:val="32"/>
        </w:rPr>
      </w:pPr>
      <w:r>
        <w:rPr>
          <w:rFonts w:hint="eastAsia" w:ascii="仿宋_GB2312" w:hAnsi="宋体" w:eastAsia="仿宋_GB2312"/>
          <w:sz w:val="32"/>
          <w:szCs w:val="32"/>
          <w:lang w:val="en-US" w:eastAsia="zh-CN"/>
        </w:rPr>
        <w:t>2024年决算支出143920527.44元，较</w:t>
      </w:r>
      <w:r>
        <w:rPr>
          <w:rFonts w:ascii="仿宋_GB2312" w:hAnsi="宋体" w:eastAsia="仿宋_GB2312"/>
          <w:sz w:val="32"/>
          <w:szCs w:val="32"/>
        </w:rPr>
        <w:t>20</w:t>
      </w:r>
      <w:r>
        <w:rPr>
          <w:rFonts w:hint="eastAsia" w:ascii="仿宋_GB2312" w:hAnsi="宋体" w:eastAsia="仿宋_GB2312"/>
          <w:sz w:val="32"/>
          <w:szCs w:val="32"/>
        </w:rPr>
        <w:t>2</w:t>
      </w:r>
      <w:r>
        <w:rPr>
          <w:rFonts w:hint="eastAsia" w:ascii="仿宋_GB2312" w:hAnsi="宋体" w:eastAsia="仿宋_GB2312"/>
          <w:sz w:val="32"/>
          <w:szCs w:val="32"/>
          <w:lang w:val="en-US" w:eastAsia="zh-CN"/>
        </w:rPr>
        <w:t>3</w:t>
      </w:r>
      <w:r>
        <w:rPr>
          <w:rFonts w:hint="eastAsia" w:ascii="仿宋_GB2312" w:hAnsi="宋体" w:eastAsia="仿宋_GB2312"/>
          <w:sz w:val="32"/>
          <w:szCs w:val="32"/>
        </w:rPr>
        <w:t>年决算</w:t>
      </w:r>
      <w:r>
        <w:rPr>
          <w:rFonts w:hint="eastAsia" w:ascii="仿宋_GB2312" w:hAnsi="宋体" w:eastAsia="仿宋_GB2312"/>
          <w:sz w:val="32"/>
          <w:szCs w:val="32"/>
          <w:lang w:eastAsia="zh-CN"/>
        </w:rPr>
        <w:t>支出</w:t>
      </w:r>
      <w:r>
        <w:rPr>
          <w:rFonts w:hint="eastAsia" w:ascii="仿宋_GB2312" w:hAnsi="宋体" w:eastAsia="仿宋_GB2312"/>
          <w:sz w:val="32"/>
          <w:szCs w:val="32"/>
          <w:lang w:val="en-US" w:eastAsia="zh-CN"/>
        </w:rPr>
        <w:t>118417651.51</w:t>
      </w:r>
      <w:r>
        <w:rPr>
          <w:rFonts w:hint="eastAsia" w:ascii="仿宋_GB2312" w:hAnsi="仿宋" w:eastAsia="仿宋_GB2312"/>
          <w:sz w:val="32"/>
          <w:szCs w:val="32"/>
          <w:lang w:val="en-US" w:eastAsia="zh-CN"/>
        </w:rPr>
        <w:t>元，增加25502875.93</w:t>
      </w:r>
      <w:r>
        <w:rPr>
          <w:rFonts w:hint="eastAsia" w:ascii="仿宋_GB2312" w:hAnsi="宋体" w:eastAsia="仿宋_GB2312"/>
          <w:bCs/>
          <w:kern w:val="2"/>
          <w:sz w:val="32"/>
          <w:szCs w:val="32"/>
          <w:lang w:val="en-US" w:eastAsia="zh-CN"/>
        </w:rPr>
        <w:t>元，</w:t>
      </w:r>
      <w:r>
        <w:rPr>
          <w:rFonts w:hint="eastAsia" w:ascii="仿宋_GB2312" w:hAnsi="宋体" w:eastAsia="仿宋_GB2312"/>
          <w:sz w:val="32"/>
          <w:szCs w:val="32"/>
        </w:rPr>
        <w:t>原因为</w:t>
      </w:r>
      <w:r>
        <w:rPr>
          <w:rFonts w:hint="eastAsia" w:ascii="仿宋_GB2312" w:hAnsi="宋体" w:eastAsia="仿宋_GB2312"/>
          <w:sz w:val="32"/>
          <w:szCs w:val="32"/>
          <w:lang w:eastAsia="zh-CN"/>
        </w:rPr>
        <w:t>政策调整</w:t>
      </w:r>
      <w:r>
        <w:rPr>
          <w:rFonts w:hint="eastAsia" w:ascii="仿宋_GB2312" w:hAnsi="宋体" w:eastAsia="仿宋_GB2312"/>
          <w:sz w:val="32"/>
          <w:szCs w:val="32"/>
        </w:rPr>
        <w:t>。</w:t>
      </w:r>
    </w:p>
    <w:p w14:paraId="5452A2CE">
      <w:pPr>
        <w:keepNext w:val="0"/>
        <w:keepLines w:val="0"/>
        <w:pageBreakBefore w:val="0"/>
        <w:widowControl w:val="0"/>
        <w:numPr>
          <w:ilvl w:val="0"/>
          <w:numId w:val="1"/>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 w:hAnsi="仿宋" w:eastAsia="仿宋" w:cs="仿宋"/>
          <w:sz w:val="32"/>
          <w:szCs w:val="32"/>
        </w:rPr>
      </w:pPr>
      <w:r>
        <w:rPr>
          <w:rFonts w:hint="eastAsia" w:ascii="楷体_GB2312" w:hAnsi="楷体_GB2312" w:eastAsia="楷体_GB2312" w:cs="楷体_GB2312"/>
          <w:bCs/>
          <w:sz w:val="32"/>
          <w:szCs w:val="32"/>
        </w:rPr>
        <w:t>部门整体支出绩效目标、指标</w:t>
      </w:r>
      <w:bookmarkStart w:id="0" w:name="_GoBack"/>
      <w:bookmarkEnd w:id="0"/>
    </w:p>
    <w:p w14:paraId="497534B2">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2024</w:t>
      </w:r>
      <w:r>
        <w:rPr>
          <w:rFonts w:hint="eastAsia" w:ascii="仿宋" w:hAnsi="仿宋" w:eastAsia="仿宋" w:cs="仿宋"/>
          <w:sz w:val="32"/>
          <w:szCs w:val="32"/>
          <w:lang w:eastAsia="zh-CN"/>
        </w:rPr>
        <w:t>年初结合部门工作实际，确定了整体绩效目标，以实施社会保障提升工程和“四比一争”为抓手，不断夯实就业基础，扩大社会保险覆盖面从而提高保障水平，维护劳动者合法权益，健全社会保障服务体系，为“绿水青山就是金山银山”赞皇实践、赞皇样板贡献人社力量。</w:t>
      </w:r>
      <w:r>
        <w:rPr>
          <w:rFonts w:hint="eastAsia" w:ascii="仿宋" w:hAnsi="仿宋" w:eastAsia="仿宋" w:cs="仿宋"/>
          <w:sz w:val="32"/>
          <w:szCs w:val="32"/>
        </w:rPr>
        <w:t>绩效目标设定清晰准确，绩效指标全面完整、科学合理，绩效标准恰当适宜、易于评价。通过绩效自评结果对比倒查的年初绩效目标，严格了项目资金审批手续，每一笔项目资金都经审核方可拨付，加强基金管理，确保基金零差错。</w:t>
      </w:r>
    </w:p>
    <w:p w14:paraId="1946D700">
      <w:pPr>
        <w:keepNext w:val="0"/>
        <w:keepLines w:val="0"/>
        <w:pageBreakBefore w:val="0"/>
        <w:widowControl w:val="0"/>
        <w:numPr>
          <w:ilvl w:val="0"/>
          <w:numId w:val="2"/>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黑体" w:hAnsi="黑体" w:eastAsia="黑体"/>
          <w:sz w:val="32"/>
          <w:szCs w:val="32"/>
        </w:rPr>
      </w:pPr>
      <w:r>
        <w:rPr>
          <w:rFonts w:hint="eastAsia" w:ascii="黑体" w:hAnsi="黑体" w:eastAsia="黑体"/>
          <w:sz w:val="32"/>
          <w:szCs w:val="32"/>
        </w:rPr>
        <w:t>自评工作开展情况</w:t>
      </w:r>
    </w:p>
    <w:p w14:paraId="08ECB934">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Chars="200" w:right="0" w:rightChars="0"/>
        <w:jc w:val="both"/>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0152B6B5">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由办公室牵头组织开展评价工作，按照相关管理制度执行，建立了工作有计划、实施有方案、日常有监督的管理机制。</w:t>
      </w:r>
    </w:p>
    <w:p w14:paraId="792104DE">
      <w:pPr>
        <w:keepNext w:val="0"/>
        <w:keepLines w:val="0"/>
        <w:pageBreakBefore w:val="0"/>
        <w:numPr>
          <w:ilvl w:val="0"/>
          <w:numId w:val="0"/>
        </w:numPr>
        <w:kinsoku/>
        <w:wordWrap/>
        <w:overflowPunct/>
        <w:topLinePunct w:val="0"/>
        <w:autoSpaceDE/>
        <w:autoSpaceDN/>
        <w:bidi w:val="0"/>
        <w:spacing w:line="600" w:lineRule="exact"/>
        <w:ind w:left="0" w:leftChars="0" w:firstLine="640" w:firstLineChars="200"/>
        <w:rPr>
          <w:rFonts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自评的方法和过程</w:t>
      </w:r>
    </w:p>
    <w:p w14:paraId="40AF03DB">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自评工作小组要单位提交年初的预算文本和年终的工作报告，并根据项目支出的有关绩效情况，填写《绩效目标自评表》，初步形成自评报告，在单位自评报告的基础上，结合会议实施情况展开评价，最后分析原因，提出建议，形成最终的自评价报告。</w:t>
      </w:r>
    </w:p>
    <w:p w14:paraId="44DEF651">
      <w:pPr>
        <w:keepNext w:val="0"/>
        <w:keepLines w:val="0"/>
        <w:pageBreakBefore w:val="0"/>
        <w:kinsoku/>
        <w:wordWrap/>
        <w:overflowPunct/>
        <w:topLinePunct w:val="0"/>
        <w:autoSpaceDE/>
        <w:autoSpaceDN/>
        <w:bidi w:val="0"/>
        <w:spacing w:line="600" w:lineRule="exact"/>
        <w:ind w:left="0" w:leftChars="0"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79788755">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（一）推进全民参保，调整养老待遇。</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实行“三险合一”整体参保制度，2024年，我县企业职工基本养老保险新参保955人，完成全年任务522人的183%；失业保险新参保580人，完成全年任务572人的101%；工伤保险新参保2215人，完成全年任务2100人的105.5%。城乡居民养老保险参保率始终保持在95%以上。</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积极推动被征地农民养老保险补贴工作</w:t>
      </w:r>
      <w:r>
        <w:rPr>
          <w:rFonts w:hint="eastAsia" w:ascii="仿宋_GB2312" w:hAnsi="仿宋_GB2312" w:eastAsia="仿宋_GB2312" w:cs="仿宋_GB2312"/>
          <w:b w:val="0"/>
          <w:bCs w:val="0"/>
          <w:color w:val="auto"/>
          <w:sz w:val="32"/>
          <w:szCs w:val="32"/>
          <w:lang w:val="en-US" w:eastAsia="zh-CN"/>
        </w:rPr>
        <w:t>，今年以来共补贴9批次170人696.0383万元。</w:t>
      </w:r>
      <w:r>
        <w:rPr>
          <w:rFonts w:hint="eastAsia" w:ascii="仿宋_GB2312" w:hAnsi="仿宋_GB2312" w:eastAsia="仿宋_GB2312" w:cs="仿宋_GB2312"/>
          <w:b/>
          <w:bCs/>
          <w:color w:val="auto"/>
          <w:kern w:val="2"/>
          <w:sz w:val="32"/>
          <w:szCs w:val="32"/>
          <w:lang w:val="en-US" w:eastAsia="zh-CN" w:bidi="ar-SA"/>
        </w:rPr>
        <w:t>三是</w:t>
      </w:r>
      <w:r>
        <w:rPr>
          <w:rFonts w:hint="eastAsia" w:ascii="仿宋_GB2312" w:hAnsi="仿宋_GB2312" w:eastAsia="仿宋_GB2312" w:cs="仿宋_GB2312"/>
          <w:color w:val="auto"/>
          <w:kern w:val="2"/>
          <w:sz w:val="32"/>
          <w:szCs w:val="32"/>
          <w:lang w:val="en-US" w:eastAsia="zh-CN" w:bidi="ar-SA"/>
        </w:rPr>
        <w:t>按时调整退休人员养老待遇。调整后机关事业退休人员平均养老金达到4407.14元；企业退休人员平均养老金达到2936.42元；居民养老保险基础养老金每人每月增长39.3元，调整后我县居民养老保险水平达到200.04元/月。</w:t>
      </w:r>
    </w:p>
    <w:p w14:paraId="2CB3A56F">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楷体_GB2312" w:hAnsi="楷体_GB2312" w:eastAsia="楷体_GB2312" w:cs="楷体_GB2312"/>
          <w:b w:val="0"/>
          <w:bCs w:val="0"/>
          <w:sz w:val="32"/>
          <w:szCs w:val="32"/>
          <w:lang w:val="en-US" w:eastAsia="zh-CN"/>
        </w:rPr>
        <w:t>（二）不断扩大就业，稳住就业基本面。</w:t>
      </w:r>
      <w:r>
        <w:rPr>
          <w:rFonts w:hint="eastAsia" w:ascii="仿宋_GB2312" w:hAnsi="仿宋_GB2312" w:eastAsia="仿宋_GB2312" w:cs="仿宋_GB2312"/>
          <w:b/>
          <w:bCs/>
          <w:color w:val="auto"/>
          <w:sz w:val="32"/>
          <w:szCs w:val="32"/>
          <w:lang w:val="en-US" w:eastAsia="zh-CN"/>
        </w:rPr>
        <w:t>一是</w:t>
      </w:r>
      <w:r>
        <w:rPr>
          <w:rFonts w:hint="eastAsia" w:ascii="仿宋" w:hAnsi="仿宋" w:eastAsia="仿宋" w:cs="仿宋"/>
          <w:sz w:val="32"/>
          <w:szCs w:val="32"/>
          <w:lang w:val="en-US" w:eastAsia="zh-CN"/>
        </w:rPr>
        <w:t>组织开展线上线下招聘活动共44期，共发布招聘岗位42779个。</w:t>
      </w:r>
      <w:r>
        <w:rPr>
          <w:rFonts w:hint="eastAsia" w:ascii="仿宋_GB2312" w:hAnsi="仿宋_GB2312" w:eastAsia="仿宋_GB2312" w:cs="仿宋_GB2312"/>
          <w:b w:val="0"/>
          <w:bCs w:val="0"/>
          <w:color w:val="auto"/>
          <w:sz w:val="32"/>
          <w:szCs w:val="32"/>
          <w:lang w:val="en-US" w:eastAsia="zh-CN"/>
        </w:rPr>
        <w:t>审批发放创业担保贷款800万元，职业技能培训完成8</w:t>
      </w:r>
      <w:r>
        <w:rPr>
          <w:rFonts w:hint="eastAsia" w:ascii="仿宋_GB2312" w:hAnsi="仿宋_GB2312" w:cs="仿宋_GB2312"/>
          <w:b w:val="0"/>
          <w:bCs w:val="0"/>
          <w:color w:val="auto"/>
          <w:sz w:val="32"/>
          <w:szCs w:val="32"/>
          <w:lang w:val="en-US" w:eastAsia="zh-CN"/>
        </w:rPr>
        <w:t>78</w:t>
      </w:r>
      <w:r>
        <w:rPr>
          <w:rFonts w:hint="eastAsia" w:ascii="仿宋_GB2312" w:hAnsi="仿宋_GB2312" w:eastAsia="仿宋_GB2312" w:cs="仿宋_GB2312"/>
          <w:b w:val="0"/>
          <w:bCs w:val="0"/>
          <w:color w:val="auto"/>
          <w:sz w:val="32"/>
          <w:szCs w:val="32"/>
          <w:lang w:val="en-US" w:eastAsia="zh-CN"/>
        </w:rPr>
        <w:t>人，完成任务875人的</w:t>
      </w:r>
      <w:r>
        <w:rPr>
          <w:rFonts w:hint="eastAsia" w:ascii="仿宋_GB2312" w:hAnsi="仿宋_GB2312" w:cs="仿宋_GB2312"/>
          <w:b w:val="0"/>
          <w:bCs w:val="0"/>
          <w:color w:val="auto"/>
          <w:sz w:val="32"/>
          <w:szCs w:val="32"/>
          <w:lang w:val="en-US" w:eastAsia="zh-CN"/>
        </w:rPr>
        <w:t>100.3</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就业指标逐步推进，</w:t>
      </w:r>
      <w:r>
        <w:rPr>
          <w:rFonts w:hint="eastAsia" w:ascii="仿宋_GB2312" w:hAnsi="仿宋_GB2312" w:cs="仿宋_GB2312"/>
          <w:b w:val="0"/>
          <w:bCs w:val="0"/>
          <w:color w:val="auto"/>
          <w:sz w:val="32"/>
          <w:szCs w:val="32"/>
          <w:lang w:val="en-US" w:eastAsia="zh-CN"/>
        </w:rPr>
        <w:t>完成</w:t>
      </w:r>
      <w:r>
        <w:rPr>
          <w:rFonts w:hint="eastAsia" w:ascii="仿宋_GB2312" w:hAnsi="仿宋_GB2312" w:eastAsia="仿宋_GB2312" w:cs="仿宋_GB2312"/>
          <w:b w:val="0"/>
          <w:bCs w:val="0"/>
          <w:color w:val="auto"/>
          <w:sz w:val="32"/>
          <w:szCs w:val="32"/>
          <w:lang w:val="en-US" w:eastAsia="zh-CN"/>
        </w:rPr>
        <w:t>“城镇新增就业”达到1722人，占全年任务1650人的</w:t>
      </w:r>
      <w:r>
        <w:rPr>
          <w:rFonts w:hint="eastAsia" w:ascii="仿宋_GB2312" w:hAnsi="仿宋_GB2312" w:cs="仿宋_GB2312"/>
          <w:b w:val="0"/>
          <w:bCs w:val="0"/>
          <w:color w:val="auto"/>
          <w:sz w:val="32"/>
          <w:szCs w:val="32"/>
          <w:lang w:val="en-US" w:eastAsia="zh-CN"/>
        </w:rPr>
        <w:t>106.3</w:t>
      </w:r>
      <w:r>
        <w:rPr>
          <w:rFonts w:hint="eastAsia" w:ascii="仿宋_GB2312" w:hAnsi="仿宋_GB2312" w:eastAsia="仿宋_GB2312" w:cs="仿宋_GB2312"/>
          <w:b w:val="0"/>
          <w:bCs w:val="0"/>
          <w:color w:val="auto"/>
          <w:sz w:val="32"/>
          <w:szCs w:val="32"/>
          <w:lang w:val="en-US" w:eastAsia="zh-CN"/>
        </w:rPr>
        <w:t>%。农村劳动力转移就业2771人，完成任务2000人</w:t>
      </w:r>
      <w:r>
        <w:rPr>
          <w:rFonts w:hint="eastAsia" w:ascii="仿宋_GB2312" w:hAnsi="仿宋_GB2312" w:cs="仿宋_GB2312"/>
          <w:b w:val="0"/>
          <w:bCs w:val="0"/>
          <w:color w:val="auto"/>
          <w:sz w:val="32"/>
          <w:szCs w:val="32"/>
          <w:lang w:val="en-US" w:eastAsia="zh-CN"/>
        </w:rPr>
        <w:t>138.5</w:t>
      </w:r>
      <w:r>
        <w:rPr>
          <w:rFonts w:hint="eastAsia" w:ascii="仿宋_GB2312" w:hAnsi="仿宋_GB2312" w:eastAsia="仿宋_GB2312" w:cs="仿宋_GB2312"/>
          <w:b w:val="0"/>
          <w:bCs w:val="0"/>
          <w:color w:val="auto"/>
          <w:sz w:val="32"/>
          <w:szCs w:val="32"/>
          <w:lang w:val="en-US" w:eastAsia="zh-CN"/>
        </w:rPr>
        <w:t>%。三</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b w:val="0"/>
          <w:bCs w:val="0"/>
          <w:color w:val="auto"/>
          <w:sz w:val="32"/>
          <w:szCs w:val="32"/>
          <w:lang w:val="en-US" w:eastAsia="zh-CN"/>
        </w:rPr>
        <w:t xml:space="preserve">结合我县产业特色，积极打造“赞皇蜂农”市级劳务品牌，申报成功。 </w:t>
      </w:r>
    </w:p>
    <w:p w14:paraId="640674CE">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_GB2312" w:hAnsi="仿宋_GB2312" w:eastAsia="仿宋_GB2312"/>
          <w:sz w:val="32"/>
          <w:szCs w:val="32"/>
          <w:lang w:val="en-US" w:eastAsia="zh-CN"/>
        </w:rPr>
      </w:pPr>
      <w:r>
        <w:rPr>
          <w:rFonts w:hint="eastAsia" w:ascii="楷体_GB2312" w:hAnsi="楷体_GB2312" w:eastAsia="楷体_GB2312" w:cs="楷体_GB2312"/>
          <w:b w:val="0"/>
          <w:bCs w:val="0"/>
          <w:color w:val="auto"/>
          <w:sz w:val="32"/>
          <w:szCs w:val="32"/>
          <w:lang w:val="en-US" w:eastAsia="zh-CN"/>
        </w:rPr>
        <w:t>（三）发挥职能优势，引进培育人才。</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积极引才。借助全市统一招聘平台，2024年统一招聘到岗13人（综合岗6人，卫生岗2人，教育岗5人），三支一扶12人，均为本科</w:t>
      </w:r>
      <w:r>
        <w:rPr>
          <w:rFonts w:hint="eastAsia" w:ascii="仿宋_GB2312" w:hAnsi="仿宋_GB2312" w:eastAsia="仿宋_GB2312" w:cs="仿宋_GB2312"/>
          <w:color w:val="auto"/>
          <w:sz w:val="32"/>
          <w:szCs w:val="32"/>
          <w:lang w:val="en-US" w:eastAsia="zh-CN"/>
        </w:rPr>
        <w:t>学历</w:t>
      </w:r>
      <w:r>
        <w:rPr>
          <w:rFonts w:hint="eastAsia" w:ascii="仿宋_GB2312" w:hAnsi="仿宋_GB2312" w:eastAsia="仿宋_GB2312" w:cs="仿宋_GB2312"/>
          <w:sz w:val="32"/>
          <w:szCs w:val="32"/>
          <w:lang w:val="en-US" w:eastAsia="zh-CN"/>
        </w:rPr>
        <w:t>。积极参加石家庄市企事业人才专场招聘会，为县社成功定向招聘1人。上报2025年政府事业编招聘计划22人（综合类5人，卫生类17人）。柔性引进国家“万人计划”科技创业领军人才、大地种业有限公司总经理、小麦育种专家武金燚，开展培训等方面合作。</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广泛</w:t>
      </w:r>
      <w:r>
        <w:rPr>
          <w:rFonts w:hint="eastAsia" w:ascii="仿宋_GB2312" w:hAnsi="仿宋_GB2312" w:eastAsia="仿宋_GB2312" w:cs="仿宋_GB2312"/>
          <w:b w:val="0"/>
          <w:bCs w:val="0"/>
          <w:sz w:val="32"/>
          <w:szCs w:val="32"/>
          <w:lang w:eastAsia="zh-CN"/>
        </w:rPr>
        <w:t>育才</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kern w:val="2"/>
          <w:sz w:val="32"/>
          <w:szCs w:val="32"/>
          <w:lang w:val="en-US" w:eastAsia="zh-CN" w:bidi="ar-SA"/>
        </w:rPr>
        <w:t>目前我县高级职称917人（正高级60人，副高级857人），中级职称1417人,2024年申报高级职称200人（正高级职称10人，副高职称190人），中级职称253人，初级职称已完成评审</w:t>
      </w:r>
      <w:r>
        <w:rPr>
          <w:rFonts w:hint="eastAsia" w:ascii="仿宋_GB2312" w:hAnsi="仿宋_GB2312" w:eastAsia="仿宋_GB2312" w:cs="仿宋_GB2312"/>
          <w:color w:val="auto"/>
          <w:kern w:val="2"/>
          <w:sz w:val="32"/>
          <w:szCs w:val="32"/>
          <w:lang w:val="en-US" w:eastAsia="zh-CN" w:bidi="ar-SA"/>
        </w:rPr>
        <w:t>627人</w:t>
      </w:r>
      <w:r>
        <w:rPr>
          <w:rFonts w:hint="eastAsia" w:ascii="仿宋_GB2312" w:hAnsi="仿宋_GB2312" w:eastAsia="仿宋_GB2312" w:cs="仿宋_GB2312"/>
          <w:kern w:val="2"/>
          <w:sz w:val="32"/>
          <w:szCs w:val="32"/>
          <w:lang w:val="en-US" w:eastAsia="zh-CN" w:bidi="ar-SA"/>
        </w:rPr>
        <w:t>。</w:t>
      </w:r>
      <w:r>
        <w:rPr>
          <w:rFonts w:hint="eastAsia" w:ascii="仿宋_GB2312" w:hAnsi="仿宋_GB2312" w:eastAsia="仿宋_GB2312"/>
          <w:sz w:val="32"/>
          <w:szCs w:val="32"/>
          <w:lang w:val="en-US" w:eastAsia="zh-CN"/>
        </w:rPr>
        <w:t>推荐入选“石家庄工匠”2人</w:t>
      </w:r>
      <w:r>
        <w:rPr>
          <w:rFonts w:hint="eastAsia" w:ascii="仿宋_GB2312" w:hAnsi="仿宋_GB2312" w:eastAsia="仿宋_GB2312"/>
          <w:color w:val="000000"/>
          <w:sz w:val="32"/>
          <w:szCs w:val="32"/>
          <w:lang w:val="en-US" w:eastAsia="zh-CN"/>
        </w:rPr>
        <w:t>（蕊源蜂业王岳森、金隅水泥宫建格），省</w:t>
      </w:r>
      <w:r>
        <w:rPr>
          <w:rFonts w:hint="eastAsia" w:ascii="仿宋_GB2312" w:hAnsi="仿宋_GB2312" w:eastAsia="仿宋_GB2312"/>
          <w:sz w:val="32"/>
          <w:szCs w:val="32"/>
          <w:lang w:val="en-US" w:eastAsia="zh-CN"/>
        </w:rPr>
        <w:t>级突出贡献技师1人</w:t>
      </w:r>
      <w:r>
        <w:rPr>
          <w:rFonts w:hint="eastAsia" w:ascii="仿宋_GB2312" w:hAnsi="仿宋_GB2312" w:eastAsia="仿宋_GB2312"/>
          <w:color w:val="000000"/>
          <w:sz w:val="32"/>
          <w:szCs w:val="32"/>
          <w:lang w:val="en-US" w:eastAsia="zh-CN"/>
        </w:rPr>
        <w:t>（金隅水泥武晓东），推荐市政府津贴专家5人</w:t>
      </w:r>
      <w:r>
        <w:rPr>
          <w:rFonts w:hint="eastAsia" w:ascii="仿宋_GB2312" w:hAnsi="仿宋_GB2312" w:eastAsia="仿宋_GB2312"/>
          <w:sz w:val="32"/>
          <w:szCs w:val="32"/>
          <w:lang w:val="en-US" w:eastAsia="zh-CN"/>
        </w:rPr>
        <w:t xml:space="preserve">。 </w:t>
      </w:r>
    </w:p>
    <w:p w14:paraId="4A7B0350">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val="0"/>
          <w:bCs w:val="0"/>
          <w:sz w:val="32"/>
          <w:szCs w:val="32"/>
          <w:lang w:val="en-US" w:eastAsia="zh-CN"/>
        </w:rPr>
        <w:t>（四）强化欠薪线索排查，防范化解劳动纠纷。</w:t>
      </w:r>
      <w:r>
        <w:rPr>
          <w:rFonts w:hint="eastAsia" w:ascii="仿宋_GB2312" w:hAnsi="仿宋_GB2312" w:eastAsia="仿宋_GB2312" w:cs="仿宋_GB2312"/>
          <w:sz w:val="32"/>
          <w:szCs w:val="32"/>
          <w:lang w:val="en-US" w:eastAsia="zh-CN"/>
        </w:rPr>
        <w:t>多次调度协调行业主管部门，落实治欠保支的主体责任，全力保障农民工工资发放，确保不因欠薪问题出现群体性越级上访案件。</w:t>
      </w:r>
      <w:r>
        <w:rPr>
          <w:rFonts w:hint="eastAsia" w:ascii="仿宋_GB2312" w:hAnsi="仿宋_GB2312" w:eastAsia="仿宋_GB2312" w:cs="仿宋_GB2312"/>
          <w:color w:val="000000"/>
          <w:sz w:val="32"/>
          <w:szCs w:val="32"/>
          <w:lang w:val="en-US" w:eastAsia="zh-CN"/>
        </w:rPr>
        <w:t>开展了根治欠薪“春季行动”、“安薪行动”“冬季行动”，</w:t>
      </w:r>
      <w:r>
        <w:rPr>
          <w:rFonts w:hint="eastAsia" w:ascii="仿宋_GB2312" w:hAnsi="仿宋_GB2312" w:eastAsia="仿宋_GB2312" w:cs="仿宋_GB2312"/>
          <w:color w:val="auto"/>
          <w:sz w:val="32"/>
          <w:szCs w:val="32"/>
          <w:lang w:val="en-US" w:eastAsia="zh-CN"/>
        </w:rPr>
        <w:t>全力保障农民工工资发放，确保不因欠薪问题出现群体越级上访案件。共核实处置618条欠薪线索，为759名农民工追回工资832万元。</w:t>
      </w:r>
    </w:p>
    <w:p w14:paraId="21B43219">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ascii="黑体" w:hAnsi="黑体" w:eastAsia="黑体"/>
          <w:sz w:val="32"/>
          <w:szCs w:val="32"/>
        </w:rPr>
      </w:pPr>
      <w:r>
        <w:rPr>
          <w:rFonts w:hint="eastAsia" w:ascii="黑体" w:hAnsi="黑体" w:eastAsia="黑体"/>
          <w:sz w:val="32"/>
          <w:szCs w:val="32"/>
        </w:rPr>
        <w:t>四、评价结论和评价等级</w:t>
      </w:r>
    </w:p>
    <w:p w14:paraId="115AE964">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600" w:lineRule="exact"/>
        <w:ind w:left="0" w:leftChars="0" w:right="0" w:rightChars="0" w:firstLine="640" w:firstLineChars="200"/>
        <w:jc w:val="both"/>
        <w:textAlignment w:val="auto"/>
        <w:rPr>
          <w:rFonts w:hint="eastAsia" w:ascii="仿宋" w:hAnsi="仿宋" w:eastAsia="仿宋" w:cs="仿宋"/>
          <w:sz w:val="32"/>
          <w:szCs w:val="32"/>
          <w:lang w:eastAsia="zh-CN"/>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r>
        <w:rPr>
          <w:rFonts w:hint="eastAsia" w:ascii="仿宋" w:hAnsi="仿宋" w:eastAsia="仿宋" w:cs="仿宋"/>
          <w:sz w:val="32"/>
          <w:szCs w:val="32"/>
          <w:lang w:eastAsia="zh-CN"/>
        </w:rPr>
        <w:t>经评价，我部门整体绩效综合评价等级为优秀。</w:t>
      </w:r>
    </w:p>
    <w:p w14:paraId="002EDE3A">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600" w:lineRule="exact"/>
        <w:ind w:left="0" w:leftChars="0" w:right="0" w:rightChars="0" w:firstLine="640" w:firstLineChars="200"/>
        <w:jc w:val="both"/>
        <w:textAlignment w:val="auto"/>
        <w:rPr>
          <w:rFonts w:ascii="黑体" w:hAnsi="黑体" w:eastAsia="黑体"/>
          <w:sz w:val="32"/>
          <w:szCs w:val="32"/>
        </w:rPr>
      </w:pPr>
      <w:r>
        <w:rPr>
          <w:rFonts w:hint="eastAsia" w:ascii="黑体" w:hAnsi="黑体" w:eastAsia="黑体"/>
          <w:sz w:val="32"/>
          <w:szCs w:val="32"/>
        </w:rPr>
        <w:t>五、存在的问题及改进措施</w:t>
      </w:r>
    </w:p>
    <w:p w14:paraId="6B9DD46D">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600" w:lineRule="exact"/>
        <w:ind w:left="0" w:leftChars="0" w:right="0" w:rightChars="0" w:firstLine="640" w:firstLineChars="200"/>
        <w:jc w:val="both"/>
        <w:textAlignment w:val="auto"/>
        <w:rPr>
          <w:rFonts w:hint="eastAsia" w:ascii="仿宋" w:hAnsi="仿宋" w:eastAsia="仿宋" w:cs="仿宋"/>
          <w:color w:val="000000"/>
          <w:sz w:val="32"/>
          <w:szCs w:val="32"/>
          <w:shd w:val="clear" w:color="auto" w:fill="FFFFFF"/>
        </w:rPr>
      </w:pPr>
      <w:r>
        <w:rPr>
          <w:rFonts w:hint="eastAsia" w:ascii="仿宋" w:hAnsi="仿宋" w:eastAsia="仿宋" w:cs="仿宋"/>
          <w:sz w:val="32"/>
          <w:szCs w:val="32"/>
        </w:rPr>
        <w:t>一是</w:t>
      </w:r>
      <w:r>
        <w:rPr>
          <w:rFonts w:hint="eastAsia" w:ascii="仿宋" w:hAnsi="仿宋" w:eastAsia="仿宋" w:cs="仿宋"/>
          <w:color w:val="000000"/>
          <w:sz w:val="32"/>
          <w:szCs w:val="32"/>
          <w:shd w:val="clear" w:color="auto" w:fill="FFFFFF"/>
        </w:rPr>
        <w:t>我</w:t>
      </w:r>
      <w:r>
        <w:rPr>
          <w:rFonts w:hint="eastAsia" w:ascii="仿宋" w:hAnsi="仿宋" w:eastAsia="仿宋" w:cs="仿宋"/>
          <w:color w:val="000000"/>
          <w:sz w:val="32"/>
          <w:szCs w:val="32"/>
          <w:shd w:val="clear" w:color="auto" w:fill="FFFFFF"/>
          <w:lang w:eastAsia="zh-CN"/>
        </w:rPr>
        <w:t>部门</w:t>
      </w:r>
      <w:r>
        <w:rPr>
          <w:rFonts w:hint="eastAsia" w:ascii="仿宋" w:hAnsi="仿宋" w:eastAsia="仿宋" w:cs="仿宋"/>
          <w:color w:val="000000"/>
          <w:sz w:val="32"/>
          <w:szCs w:val="32"/>
          <w:shd w:val="clear" w:color="auto" w:fill="FFFFFF"/>
        </w:rPr>
        <w:t xml:space="preserve">将加强对预算绩效工作的重视，认真做好财政资金预算，严格控制支出， </w:t>
      </w:r>
      <w:r>
        <w:rPr>
          <w:rFonts w:hint="eastAsia" w:ascii="仿宋" w:hAnsi="仿宋" w:eastAsia="仿宋" w:cs="仿宋"/>
          <w:sz w:val="32"/>
          <w:szCs w:val="32"/>
        </w:rPr>
        <w:t>参照并对比年初设置的绩效目标，强化支出分析，对实际支出预算过慢的情况，要及时纠正，确保全年绩效目标顺利完成</w:t>
      </w:r>
      <w:r>
        <w:rPr>
          <w:rFonts w:hint="eastAsia" w:ascii="仿宋" w:hAnsi="仿宋" w:eastAsia="仿宋" w:cs="仿宋"/>
          <w:color w:val="000000"/>
          <w:sz w:val="32"/>
          <w:szCs w:val="32"/>
          <w:shd w:val="clear" w:color="auto" w:fill="FFFFFF"/>
        </w:rPr>
        <w:t>。</w:t>
      </w:r>
    </w:p>
    <w:p w14:paraId="4135F378">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600" w:lineRule="exact"/>
        <w:ind w:left="0" w:leftChars="0" w:right="0" w:rightChars="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sz w:val="32"/>
          <w:szCs w:val="32"/>
        </w:rPr>
        <w:t>二是加强日常监控工作。</w:t>
      </w:r>
      <w:r>
        <w:rPr>
          <w:rFonts w:hint="eastAsia" w:ascii="仿宋" w:hAnsi="仿宋" w:eastAsia="仿宋" w:cs="仿宋"/>
          <w:color w:val="333333"/>
          <w:sz w:val="32"/>
          <w:szCs w:val="32"/>
        </w:rPr>
        <w:t>建立和完善绩效监控管理制度，增强绩效主体责任和绩效监控意识，重视资金监控，提高资金使用效率，逐步扩大项目执行绩效跟踪监控范围，为下一步绩效监控工作打下坚实基础。</w:t>
      </w:r>
    </w:p>
    <w:p w14:paraId="2D77F158">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600" w:lineRule="exact"/>
        <w:ind w:left="0" w:leftChars="0" w:right="0" w:rightChars="0" w:firstLine="640" w:firstLineChars="200"/>
        <w:jc w:val="both"/>
        <w:textAlignment w:val="auto"/>
        <w:rPr>
          <w:rFonts w:hint="eastAsia" w:ascii="黑体" w:hAnsi="黑体" w:eastAsia="黑体"/>
          <w:sz w:val="32"/>
          <w:szCs w:val="32"/>
        </w:rPr>
      </w:pPr>
      <w:r>
        <w:rPr>
          <w:rFonts w:hint="eastAsia" w:ascii="黑体" w:hAnsi="黑体" w:eastAsia="黑体" w:cs="黑体"/>
          <w:color w:val="333333"/>
          <w:sz w:val="32"/>
          <w:szCs w:val="32"/>
          <w:lang w:eastAsia="zh-CN"/>
        </w:rPr>
        <w:t>六</w:t>
      </w:r>
      <w:r>
        <w:rPr>
          <w:rFonts w:hint="eastAsia" w:ascii="仿宋" w:hAnsi="仿宋" w:eastAsia="仿宋" w:cs="仿宋"/>
          <w:color w:val="333333"/>
          <w:sz w:val="32"/>
          <w:szCs w:val="32"/>
          <w:lang w:eastAsia="zh-CN"/>
        </w:rPr>
        <w:t>、</w:t>
      </w:r>
      <w:r>
        <w:rPr>
          <w:rFonts w:hint="eastAsia" w:ascii="黑体" w:hAnsi="黑体" w:eastAsia="黑体"/>
          <w:sz w:val="32"/>
          <w:szCs w:val="32"/>
        </w:rPr>
        <w:t>评价工作组人员名单及签字（姓名、工作单位、职务、职称）</w:t>
      </w:r>
    </w:p>
    <w:p w14:paraId="3EB6E77A">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组  长      陈利强    就业中心副主任</w:t>
      </w:r>
    </w:p>
    <w:p w14:paraId="2C312142">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副组长      韩俊峰    办公室副主任</w:t>
      </w:r>
    </w:p>
    <w:p w14:paraId="19EADD33">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firstLine="640" w:firstLineChars="200"/>
        <w:textAlignment w:val="auto"/>
      </w:pPr>
      <w:r>
        <w:rPr>
          <w:rFonts w:hint="eastAsia" w:ascii="仿宋" w:hAnsi="仿宋" w:eastAsia="仿宋"/>
          <w:sz w:val="32"/>
          <w:szCs w:val="32"/>
          <w:lang w:val="en-US" w:eastAsia="zh-CN"/>
        </w:rPr>
        <w:t>组  员      刘江伟    办公室科员</w:t>
      </w:r>
    </w:p>
    <w:p w14:paraId="34B6B8B4">
      <w:pPr>
        <w:pStyle w:val="2"/>
        <w:keepNext w:val="0"/>
        <w:keepLines w:val="0"/>
        <w:pageBreakBefore w:val="0"/>
        <w:numPr>
          <w:ilvl w:val="0"/>
          <w:numId w:val="0"/>
        </w:numPr>
        <w:kinsoku/>
        <w:wordWrap/>
        <w:overflowPunct/>
        <w:topLinePunct w:val="0"/>
        <w:autoSpaceDE/>
        <w:autoSpaceDN/>
        <w:bidi w:val="0"/>
        <w:spacing w:after="0" w:line="500" w:lineRule="exact"/>
        <w:ind w:left="0" w:leftChars="0" w:firstLine="420" w:firstLineChars="200"/>
      </w:pPr>
    </w:p>
    <w:p w14:paraId="37A03E8D">
      <w:pPr>
        <w:pStyle w:val="2"/>
        <w:keepNext w:val="0"/>
        <w:keepLines w:val="0"/>
        <w:pageBreakBefore w:val="0"/>
        <w:numPr>
          <w:ilvl w:val="0"/>
          <w:numId w:val="0"/>
        </w:numPr>
        <w:kinsoku/>
        <w:wordWrap/>
        <w:overflowPunct/>
        <w:topLinePunct w:val="0"/>
        <w:autoSpaceDE/>
        <w:autoSpaceDN/>
        <w:bidi w:val="0"/>
        <w:spacing w:after="0" w:line="500" w:lineRule="exact"/>
        <w:ind w:left="0" w:leftChars="0" w:firstLine="420" w:firstLineChars="200"/>
      </w:pPr>
    </w:p>
    <w:p w14:paraId="5671E3B9">
      <w:pPr>
        <w:keepNext w:val="0"/>
        <w:keepLines w:val="0"/>
        <w:pageBreakBefore w:val="0"/>
        <w:kinsoku/>
        <w:wordWrap/>
        <w:overflowPunct/>
        <w:topLinePunct w:val="0"/>
        <w:autoSpaceDE/>
        <w:autoSpaceDN/>
        <w:bidi w:val="0"/>
        <w:spacing w:line="500" w:lineRule="exact"/>
        <w:ind w:left="0" w:leftChars="0" w:firstLine="420" w:firstLineChars="200"/>
        <w:rPr>
          <w:rFonts w:ascii="仿宋" w:hAnsi="仿宋" w:eastAsia="仿宋"/>
        </w:rPr>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10"/>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9B519B"/>
    <w:multiLevelType w:val="singleLevel"/>
    <w:tmpl w:val="1C9B519B"/>
    <w:lvl w:ilvl="0" w:tentative="0">
      <w:start w:val="2"/>
      <w:numFmt w:val="chineseCounting"/>
      <w:suff w:val="nothing"/>
      <w:lvlText w:val="%1、"/>
      <w:lvlJc w:val="left"/>
      <w:rPr>
        <w:rFonts w:hint="eastAsia"/>
      </w:rPr>
    </w:lvl>
  </w:abstractNum>
  <w:abstractNum w:abstractNumId="1">
    <w:nsid w:val="543195AC"/>
    <w:multiLevelType w:val="singleLevel"/>
    <w:tmpl w:val="543195AC"/>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484B1B"/>
    <w:rsid w:val="33EB6CFF"/>
    <w:rsid w:val="35A12947"/>
    <w:rsid w:val="36F17DCB"/>
    <w:rsid w:val="37387040"/>
    <w:rsid w:val="3AAF2DC4"/>
    <w:rsid w:val="3B625C0A"/>
    <w:rsid w:val="3CEE1963"/>
    <w:rsid w:val="436B78D3"/>
    <w:rsid w:val="47A46BD3"/>
    <w:rsid w:val="4C9C27FE"/>
    <w:rsid w:val="512260B4"/>
    <w:rsid w:val="51D5430E"/>
    <w:rsid w:val="52BD6ACB"/>
    <w:rsid w:val="55537534"/>
    <w:rsid w:val="561A74F1"/>
    <w:rsid w:val="58D2391F"/>
    <w:rsid w:val="597244E8"/>
    <w:rsid w:val="5EB71C30"/>
    <w:rsid w:val="636F5F17"/>
    <w:rsid w:val="66AF0CE5"/>
    <w:rsid w:val="6AC537CF"/>
    <w:rsid w:val="6B8E6DE6"/>
    <w:rsid w:val="6E5B14A6"/>
    <w:rsid w:val="711B255E"/>
    <w:rsid w:val="72681EC4"/>
    <w:rsid w:val="767A2A0C"/>
    <w:rsid w:val="7AED280F"/>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5"/>
    <w:qFormat/>
    <w:uiPriority w:val="99"/>
    <w:pPr>
      <w:ind w:firstLine="420" w:firstLineChars="200"/>
    </w:pPr>
  </w:style>
  <w:style w:type="paragraph" w:styleId="3">
    <w:name w:val="Body Text Indent"/>
    <w:basedOn w:val="1"/>
    <w:next w:val="4"/>
    <w:qFormat/>
    <w:uiPriority w:val="99"/>
    <w:pPr>
      <w:spacing w:after="120"/>
      <w:ind w:left="420" w:leftChars="200"/>
    </w:pPr>
  </w:style>
  <w:style w:type="paragraph" w:styleId="4">
    <w:name w:val="Subtitle"/>
    <w:basedOn w:val="1"/>
    <w:next w:val="1"/>
    <w:qFormat/>
    <w:uiPriority w:val="0"/>
    <w:pPr>
      <w:wordWrap w:val="0"/>
      <w:spacing w:after="60"/>
      <w:jc w:val="center"/>
    </w:pPr>
    <w:rPr>
      <w:rFonts w:ascii="Calibri" w:hAnsi="Calibri" w:cs="Calibri"/>
      <w:sz w:val="24"/>
      <w:szCs w:val="24"/>
    </w:rPr>
  </w:style>
  <w:style w:type="paragraph" w:styleId="5">
    <w:name w:val="Body Text Indent 2"/>
    <w:basedOn w:val="6"/>
    <w:qFormat/>
    <w:uiPriority w:val="0"/>
    <w:pPr>
      <w:snapToGrid/>
      <w:spacing w:line="240" w:lineRule="auto"/>
      <w:ind w:left="420" w:leftChars="200"/>
    </w:pPr>
    <w:rPr>
      <w:kern w:val="2"/>
      <w:szCs w:val="32"/>
      <w:lang w:val="en-US"/>
    </w:rPr>
  </w:style>
  <w:style w:type="paragraph" w:styleId="6">
    <w:name w:val="Body Text"/>
    <w:basedOn w:val="1"/>
    <w:next w:val="7"/>
    <w:qFormat/>
    <w:uiPriority w:val="0"/>
    <w:pPr>
      <w:widowControl/>
      <w:spacing w:before="100" w:beforeAutospacing="1" w:after="100" w:afterAutospacing="1"/>
      <w:jc w:val="left"/>
    </w:pPr>
    <w:rPr>
      <w:rFonts w:ascii="宋体" w:hAnsi="宋体" w:cs="宋体"/>
      <w:kern w:val="0"/>
      <w:sz w:val="24"/>
    </w:rPr>
  </w:style>
  <w:style w:type="paragraph" w:customStyle="1" w:styleId="7">
    <w:name w:val="正文部分 Char Char Char"/>
    <w:basedOn w:val="6"/>
    <w:next w:val="8"/>
    <w:autoRedefine/>
    <w:qFormat/>
    <w:uiPriority w:val="0"/>
    <w:pPr>
      <w:adjustRightInd w:val="0"/>
      <w:spacing w:line="460" w:lineRule="exact"/>
      <w:textAlignment w:val="baseline"/>
    </w:pPr>
    <w:rPr>
      <w:rFonts w:hAnsi="Calibri"/>
      <w:sz w:val="24"/>
    </w:rPr>
  </w:style>
  <w:style w:type="paragraph" w:customStyle="1" w:styleId="8">
    <w:name w:val="章标题"/>
    <w:basedOn w:val="9"/>
    <w:autoRedefine/>
    <w:qFormat/>
    <w:uiPriority w:val="0"/>
    <w:pPr>
      <w:spacing w:line="360" w:lineRule="auto"/>
    </w:pPr>
  </w:style>
  <w:style w:type="paragraph" w:styleId="9">
    <w:name w:val="Title"/>
    <w:basedOn w:val="1"/>
    <w:next w:val="1"/>
    <w:qFormat/>
    <w:uiPriority w:val="0"/>
    <w:pPr>
      <w:spacing w:before="240" w:beforeLines="0" w:after="60" w:afterLines="0"/>
      <w:jc w:val="center"/>
      <w:outlineLvl w:val="0"/>
    </w:pPr>
    <w:rPr>
      <w:rFonts w:ascii="Cambria" w:hAnsi="Cambria" w:cs="Times New Roman"/>
      <w:b/>
      <w:bCs/>
      <w:sz w:val="32"/>
      <w:szCs w:val="32"/>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4">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3400</Words>
  <Characters>3633</Characters>
  <Lines>4</Lines>
  <Paragraphs>1</Paragraphs>
  <TotalTime>1</TotalTime>
  <ScaleCrop>false</ScaleCrop>
  <LinksUpToDate>false</LinksUpToDate>
  <CharactersWithSpaces>3680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xi</cp:lastModifiedBy>
  <cp:lastPrinted>2024-03-06T15:40:00Z</cp:lastPrinted>
  <dcterms:modified xsi:type="dcterms:W3CDTF">2025-07-08T02:52:19Z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eyJoZGlkIjoiZjkyNGUzMmNjZjlhYzQ1YjFjNmQ4NDc5OGVhNjhmNTQiLCJ1c2VySWQiOiI1OTg5OTU0MDQifQ==</vt:lpwstr>
  </property>
</Properties>
</file>