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889F39">
      <w:pPr>
        <w:adjustRightInd w:val="0"/>
        <w:snapToGrid w:val="0"/>
        <w:spacing w:line="560" w:lineRule="exact"/>
        <w:rPr>
          <w:rFonts w:hint="eastAsia" w:ascii="仿宋_GB2312" w:eastAsia="仿宋_GB2312"/>
          <w:sz w:val="32"/>
          <w:szCs w:val="32"/>
        </w:rPr>
      </w:pPr>
    </w:p>
    <w:p w14:paraId="6B848A35">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76DF48D0">
      <w:pPr>
        <w:spacing w:line="560" w:lineRule="exact"/>
        <w:jc w:val="center"/>
        <w:rPr>
          <w:rFonts w:ascii="宋体" w:hAnsi="宋体" w:cs="宋体"/>
          <w:b/>
          <w:bCs/>
          <w:sz w:val="44"/>
          <w:szCs w:val="44"/>
        </w:rPr>
      </w:pPr>
    </w:p>
    <w:p w14:paraId="22C11E77">
      <w:pPr>
        <w:spacing w:line="560" w:lineRule="exact"/>
        <w:jc w:val="center"/>
        <w:rPr>
          <w:rFonts w:ascii="宋体" w:hAnsi="宋体" w:cs="宋体"/>
          <w:b/>
          <w:bCs/>
          <w:sz w:val="44"/>
          <w:szCs w:val="44"/>
        </w:rPr>
      </w:pPr>
      <w:r>
        <w:rPr>
          <w:rFonts w:hint="eastAsia" w:ascii="宋体" w:hAnsi="宋体" w:cs="宋体"/>
          <w:b/>
          <w:bCs/>
          <w:sz w:val="44"/>
          <w:szCs w:val="44"/>
        </w:rPr>
        <w:t>赞皇县信访局部门</w:t>
      </w:r>
    </w:p>
    <w:p w14:paraId="553F8170">
      <w:pPr>
        <w:spacing w:line="560" w:lineRule="exact"/>
        <w:jc w:val="center"/>
        <w:rPr>
          <w:rFonts w:ascii="宋体" w:hAnsi="宋体" w:cs="宋体"/>
          <w:b/>
          <w:bCs/>
          <w:sz w:val="44"/>
          <w:szCs w:val="44"/>
        </w:rPr>
      </w:pPr>
      <w:r>
        <w:rPr>
          <w:rFonts w:hint="eastAsia" w:ascii="宋体" w:hAnsi="宋体" w:cs="宋体"/>
          <w:b/>
          <w:bCs/>
          <w:sz w:val="44"/>
          <w:szCs w:val="44"/>
        </w:rPr>
        <w:t>2024年度整体支出绩效自评报告</w:t>
      </w:r>
    </w:p>
    <w:p w14:paraId="33EE8DC3">
      <w:pPr>
        <w:pStyle w:val="2"/>
      </w:pPr>
    </w:p>
    <w:p w14:paraId="20E32CA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实施预算绩效管理工作方案》（赞财预﹝2019﹞７号）文件精神，遵循“科学性、规范性、客观性和公正性”的原则，对赞皇县信访局部门2024年整体支出情况实施了财政支出绩效自评价，形成本评价报告。</w:t>
      </w:r>
    </w:p>
    <w:p w14:paraId="7AA1032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24E9A90">
      <w:pPr>
        <w:adjustRightInd w:val="0"/>
        <w:snapToGrid w:val="0"/>
        <w:spacing w:line="560" w:lineRule="exact"/>
        <w:ind w:firstLine="640" w:firstLineChars="200"/>
        <w:rPr>
          <w:rFonts w:ascii="黑体" w:hAnsi="黑体" w:eastAsia="黑体"/>
          <w:sz w:val="32"/>
          <w:szCs w:val="36"/>
        </w:rPr>
      </w:pPr>
      <w:r>
        <w:rPr>
          <w:rFonts w:hint="eastAsia" w:ascii="黑体" w:hAnsi="黑体" w:eastAsia="黑体"/>
          <w:sz w:val="32"/>
          <w:szCs w:val="36"/>
        </w:rPr>
        <w:t>部门职能</w:t>
      </w:r>
    </w:p>
    <w:p w14:paraId="4AC0A22D">
      <w:pPr>
        <w:pStyle w:val="9"/>
        <w:rPr>
          <w:rFonts w:ascii="仿宋" w:hAnsi="仿宋" w:eastAsia="仿宋" w:cs="仿宋"/>
          <w:sz w:val="32"/>
          <w:szCs w:val="32"/>
        </w:rPr>
      </w:pPr>
      <w:r>
        <w:rPr>
          <w:rFonts w:hint="eastAsia" w:ascii="仿宋" w:hAnsi="仿宋" w:eastAsia="仿宋" w:cs="仿宋"/>
          <w:sz w:val="32"/>
          <w:szCs w:val="32"/>
        </w:rPr>
        <w:t>（一）研究提出全县信访工作思路，起草信访工作地方性法规、规章草案。</w:t>
      </w:r>
    </w:p>
    <w:p w14:paraId="5144B459">
      <w:pPr>
        <w:pStyle w:val="9"/>
        <w:rPr>
          <w:rFonts w:ascii="仿宋" w:hAnsi="仿宋" w:eastAsia="仿宋" w:cs="仿宋"/>
          <w:sz w:val="32"/>
          <w:szCs w:val="32"/>
        </w:rPr>
      </w:pPr>
      <w:r>
        <w:rPr>
          <w:rFonts w:hint="eastAsia" w:ascii="仿宋" w:hAnsi="仿宋" w:eastAsia="仿宋" w:cs="仿宋"/>
          <w:sz w:val="32"/>
          <w:szCs w:val="32"/>
        </w:rPr>
        <w:t>（二）办理人民群众来信，接待群众来访，受理群众网上投诉，查办信访案件，承办县领导电子信箱日常工作，负责人民群众建议征集工作。</w:t>
      </w:r>
    </w:p>
    <w:p w14:paraId="4469A712">
      <w:pPr>
        <w:pStyle w:val="9"/>
        <w:rPr>
          <w:rFonts w:ascii="仿宋" w:hAnsi="仿宋" w:eastAsia="仿宋" w:cs="仿宋"/>
          <w:sz w:val="32"/>
          <w:szCs w:val="32"/>
        </w:rPr>
      </w:pPr>
      <w:r>
        <w:rPr>
          <w:rFonts w:hint="eastAsia" w:ascii="仿宋" w:hAnsi="仿宋" w:eastAsia="仿宋" w:cs="仿宋"/>
          <w:sz w:val="32"/>
          <w:szCs w:val="32"/>
        </w:rPr>
        <w:t>（三）调查研究和综合分析全县信访形势及信访工作状况，总结推广各级各部门信访工作经验，提出改进和加强信访工作的意见和建议。</w:t>
      </w:r>
    </w:p>
    <w:p w14:paraId="22C93325">
      <w:pPr>
        <w:pStyle w:val="9"/>
        <w:rPr>
          <w:rFonts w:ascii="仿宋" w:hAnsi="仿宋" w:eastAsia="仿宋" w:cs="仿宋"/>
          <w:sz w:val="32"/>
          <w:szCs w:val="32"/>
        </w:rPr>
      </w:pPr>
      <w:r>
        <w:rPr>
          <w:rFonts w:hint="eastAsia" w:ascii="仿宋" w:hAnsi="仿宋" w:eastAsia="仿宋" w:cs="仿宋"/>
          <w:sz w:val="32"/>
          <w:szCs w:val="32"/>
        </w:rPr>
        <w:t>（四）参与组织、协调、指导全县社会治安综合治理和维护社会政治稳定工作，协助保障国家、省、市、县重大政治活动顺利进行，参与处理影响社会政治稳定的突发性、群体性事件。</w:t>
      </w:r>
    </w:p>
    <w:p w14:paraId="2310A810">
      <w:pPr>
        <w:pStyle w:val="9"/>
        <w:rPr>
          <w:rFonts w:ascii="仿宋" w:hAnsi="仿宋" w:eastAsia="仿宋" w:cs="仿宋"/>
          <w:sz w:val="32"/>
          <w:szCs w:val="32"/>
        </w:rPr>
      </w:pPr>
      <w:r>
        <w:rPr>
          <w:rFonts w:hint="eastAsia" w:ascii="仿宋" w:hAnsi="仿宋" w:eastAsia="仿宋" w:cs="仿宋"/>
          <w:sz w:val="32"/>
          <w:szCs w:val="32"/>
        </w:rPr>
        <w:t>（五）督促和指导全县各级党委、政府和县直部门的信访工作。对乡（镇）和县直部门的信访工作年度责任目标进行考核，对全县社会治安治理和维护社会稳定年度责任目标中有关信访工作进行考核。</w:t>
      </w:r>
    </w:p>
    <w:p w14:paraId="4F9C4171">
      <w:pPr>
        <w:pStyle w:val="9"/>
        <w:rPr>
          <w:rFonts w:ascii="仿宋" w:hAnsi="仿宋" w:eastAsia="仿宋" w:cs="仿宋"/>
          <w:sz w:val="32"/>
          <w:szCs w:val="32"/>
        </w:rPr>
      </w:pPr>
      <w:r>
        <w:rPr>
          <w:rFonts w:hint="eastAsia" w:ascii="仿宋" w:hAnsi="仿宋" w:eastAsia="仿宋" w:cs="仿宋"/>
          <w:sz w:val="32"/>
          <w:szCs w:val="32"/>
        </w:rPr>
        <w:t>（六）协助国家和省、市信访局处理县内群众进京上访工作，综合处理跨行业的重要信访问题，协助公安机关维护县委、县政府机关正常工作秩序。</w:t>
      </w:r>
    </w:p>
    <w:p w14:paraId="4250C85D">
      <w:pPr>
        <w:pStyle w:val="9"/>
        <w:rPr>
          <w:rFonts w:ascii="仿宋" w:hAnsi="仿宋" w:eastAsia="仿宋" w:cs="仿宋"/>
          <w:sz w:val="32"/>
          <w:szCs w:val="32"/>
        </w:rPr>
      </w:pPr>
      <w:r>
        <w:rPr>
          <w:rFonts w:hint="eastAsia" w:ascii="仿宋" w:hAnsi="仿宋" w:eastAsia="仿宋" w:cs="仿宋"/>
          <w:sz w:val="32"/>
          <w:szCs w:val="32"/>
        </w:rPr>
        <w:t>（七）负责县领导及县直部门分开接访和包联案件的组织协调工作。</w:t>
      </w:r>
    </w:p>
    <w:p w14:paraId="0254F397">
      <w:pPr>
        <w:pStyle w:val="9"/>
        <w:rPr>
          <w:rFonts w:ascii="仿宋" w:hAnsi="仿宋" w:eastAsia="仿宋" w:cs="仿宋"/>
          <w:sz w:val="32"/>
          <w:szCs w:val="32"/>
        </w:rPr>
      </w:pPr>
      <w:r>
        <w:rPr>
          <w:rFonts w:hint="eastAsia" w:ascii="仿宋" w:hAnsi="仿宋" w:eastAsia="仿宋" w:cs="仿宋"/>
          <w:sz w:val="32"/>
          <w:szCs w:val="32"/>
        </w:rPr>
        <w:t>（八）承担赞皇县信访工作联席会议的日常工作，督促落实联席会议决定的事项。</w:t>
      </w:r>
    </w:p>
    <w:p w14:paraId="4D566C79">
      <w:pPr>
        <w:pStyle w:val="9"/>
        <w:rPr>
          <w:rFonts w:ascii="仿宋" w:hAnsi="仿宋" w:eastAsia="仿宋" w:cs="仿宋"/>
          <w:sz w:val="32"/>
          <w:szCs w:val="32"/>
        </w:rPr>
      </w:pPr>
      <w:r>
        <w:rPr>
          <w:rFonts w:hint="eastAsia" w:ascii="仿宋" w:hAnsi="仿宋" w:eastAsia="仿宋" w:cs="仿宋"/>
          <w:sz w:val="32"/>
          <w:szCs w:val="32"/>
        </w:rPr>
        <w:t>（九）完成县委、县政府及国家、省、市信访局交办的其他任务。</w:t>
      </w:r>
    </w:p>
    <w:p w14:paraId="3B032DDA">
      <w:pPr>
        <w:rPr>
          <w:rFonts w:ascii="仿宋" w:hAnsi="仿宋" w:eastAsia="黑体"/>
          <w:sz w:val="32"/>
          <w:szCs w:val="32"/>
        </w:rPr>
      </w:pPr>
      <w:r>
        <w:rPr>
          <w:rFonts w:hint="eastAsia" w:ascii="黑体" w:hAnsi="黑体" w:eastAsia="黑体"/>
          <w:sz w:val="32"/>
          <w:szCs w:val="36"/>
        </w:rPr>
        <w:t>组织机构及人员、资产情况</w:t>
      </w:r>
    </w:p>
    <w:p w14:paraId="39D9424F">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1E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4A93CA08">
            <w:pPr>
              <w:pStyle w:val="10"/>
            </w:pPr>
            <w:r>
              <w:t>单位名称</w:t>
            </w:r>
          </w:p>
        </w:tc>
        <w:tc>
          <w:tcPr>
            <w:tcW w:w="1843" w:type="dxa"/>
            <w:tcBorders>
              <w:top w:val="single" w:color="000000" w:sz="6" w:space="0"/>
              <w:left w:val="single" w:color="000000" w:sz="6" w:space="0"/>
              <w:bottom w:val="single" w:color="000000" w:sz="6" w:space="0"/>
              <w:right w:val="single" w:color="000000" w:sz="6" w:space="0"/>
            </w:tcBorders>
            <w:vAlign w:val="center"/>
          </w:tcPr>
          <w:p w14:paraId="27BE4AE9">
            <w:pPr>
              <w:pStyle w:val="10"/>
            </w:pPr>
            <w:r>
              <w:t>单位性质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4C14817F">
            <w:pPr>
              <w:pStyle w:val="10"/>
            </w:pPr>
            <w:r>
              <w:t>单位规格</w:t>
            </w:r>
          </w:p>
        </w:tc>
        <w:tc>
          <w:tcPr>
            <w:tcW w:w="3827" w:type="dxa"/>
            <w:tcBorders>
              <w:top w:val="single" w:color="000000" w:sz="6" w:space="0"/>
              <w:left w:val="single" w:color="000000" w:sz="6" w:space="0"/>
              <w:bottom w:val="single" w:color="000000" w:sz="6" w:space="0"/>
              <w:right w:val="single" w:color="000000" w:sz="6" w:space="0"/>
            </w:tcBorders>
            <w:vAlign w:val="center"/>
          </w:tcPr>
          <w:p w14:paraId="19F715B3">
            <w:pPr>
              <w:pStyle w:val="10"/>
            </w:pPr>
            <w:r>
              <w:t>经费保障形式</w:t>
            </w:r>
          </w:p>
        </w:tc>
      </w:tr>
      <w:tr w14:paraId="16DB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5C67EA5">
            <w:pPr>
              <w:pStyle w:val="10"/>
            </w:pPr>
            <w:r>
              <w:t>赞皇县信访局</w:t>
            </w:r>
          </w:p>
        </w:tc>
        <w:tc>
          <w:tcPr>
            <w:tcW w:w="1843" w:type="dxa"/>
            <w:tcBorders>
              <w:top w:val="single" w:color="000000" w:sz="6" w:space="0"/>
              <w:left w:val="single" w:color="000000" w:sz="6" w:space="0"/>
              <w:bottom w:val="single" w:color="000000" w:sz="6" w:space="0"/>
              <w:right w:val="single" w:color="000000" w:sz="6" w:space="0"/>
            </w:tcBorders>
            <w:vAlign w:val="center"/>
          </w:tcPr>
          <w:p w14:paraId="734D73CA">
            <w:pPr>
              <w:pStyle w:val="10"/>
            </w:pPr>
            <w:r>
              <w:t>行政</w:t>
            </w:r>
          </w:p>
        </w:tc>
        <w:tc>
          <w:tcPr>
            <w:tcW w:w="2126" w:type="dxa"/>
            <w:tcBorders>
              <w:top w:val="single" w:color="000000" w:sz="6" w:space="0"/>
              <w:left w:val="single" w:color="000000" w:sz="6" w:space="0"/>
              <w:bottom w:val="single" w:color="000000" w:sz="6" w:space="0"/>
              <w:right w:val="single" w:color="000000" w:sz="6" w:space="0"/>
            </w:tcBorders>
            <w:vAlign w:val="center"/>
          </w:tcPr>
          <w:p w14:paraId="697262C9">
            <w:pPr>
              <w:pStyle w:val="10"/>
            </w:pPr>
            <w:r>
              <w:t>正科级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5C3C0786">
            <w:pPr>
              <w:pStyle w:val="10"/>
            </w:pPr>
            <w:r>
              <w:t>财政拨款</w:t>
            </w:r>
          </w:p>
        </w:tc>
      </w:tr>
    </w:tbl>
    <w:p w14:paraId="6C048C44">
      <w:pPr>
        <w:spacing w:line="560" w:lineRule="exact"/>
        <w:ind w:firstLine="560"/>
        <w:rPr>
          <w:rFonts w:ascii="仿宋" w:hAnsi="仿宋" w:eastAsia="仿宋" w:cs="仿宋"/>
          <w:color w:val="000000"/>
          <w:sz w:val="32"/>
          <w:szCs w:val="32"/>
        </w:rPr>
      </w:pPr>
      <w:r>
        <w:rPr>
          <w:rFonts w:hint="eastAsia" w:ascii="仿宋" w:hAnsi="仿宋" w:eastAsia="仿宋" w:cs="仿宋"/>
          <w:color w:val="000000"/>
          <w:sz w:val="32"/>
          <w:szCs w:val="32"/>
        </w:rPr>
        <w:t>赞皇县信访局为全额财政拨款正科级行政单位，内设办公室、督查室、接待科，信访服务中心。行政人员8名，事业人员8人，退休人员8名。</w:t>
      </w:r>
    </w:p>
    <w:p w14:paraId="4A4216D0">
      <w:pPr>
        <w:pStyle w:val="2"/>
        <w:ind w:left="0" w:leftChars="0" w:firstLine="0" w:firstLineChars="0"/>
        <w:rPr>
          <w:rFonts w:ascii="黑体" w:hAnsi="黑体"/>
          <w:sz w:val="32"/>
          <w:szCs w:val="36"/>
        </w:rPr>
      </w:pPr>
      <w:r>
        <w:rPr>
          <w:rFonts w:hint="eastAsia" w:ascii="黑体" w:hAnsi="黑体" w:eastAsia="黑体"/>
          <w:sz w:val="32"/>
          <w:szCs w:val="36"/>
        </w:rPr>
        <w:t xml:space="preserve">   </w:t>
      </w:r>
      <w:r>
        <w:rPr>
          <w:rFonts w:hint="eastAsia" w:ascii="仿宋" w:hAnsi="仿宋" w:eastAsia="仿宋" w:cs="仿宋"/>
          <w:color w:val="000000"/>
          <w:sz w:val="32"/>
          <w:szCs w:val="32"/>
        </w:rPr>
        <w:t>赞皇县信访局在2024年末，资产净值6.165898万元，其中：通用设备类净值4.127127万元；家具和用具净值2.038771万元。</w:t>
      </w:r>
    </w:p>
    <w:p w14:paraId="00CBF8DC">
      <w:pPr>
        <w:numPr>
          <w:ilvl w:val="0"/>
          <w:numId w:val="1"/>
        </w:numPr>
        <w:adjustRightInd w:val="0"/>
        <w:snapToGrid w:val="0"/>
        <w:spacing w:line="50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06EFE5B6">
      <w:pPr>
        <w:snapToGrid w:val="0"/>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2024年部门基本收入年初预算数为479.30146万元，基本支出年初预算数为479.30146万元。</w:t>
      </w:r>
    </w:p>
    <w:p w14:paraId="55C57C7E">
      <w:pPr>
        <w:numPr>
          <w:ilvl w:val="0"/>
          <w:numId w:val="1"/>
        </w:numPr>
        <w:adjustRightInd w:val="0"/>
        <w:snapToGrid w:val="0"/>
        <w:spacing w:line="50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5FA67DD3">
      <w:pPr>
        <w:pStyle w:val="14"/>
        <w:rPr>
          <w:rFonts w:ascii="仿宋" w:hAnsi="仿宋" w:eastAsia="仿宋" w:cs="仿宋"/>
          <w:sz w:val="32"/>
          <w:szCs w:val="32"/>
        </w:rPr>
      </w:pPr>
      <w:r>
        <w:rPr>
          <w:rFonts w:hint="eastAsia" w:ascii="仿宋" w:hAnsi="仿宋" w:eastAsia="仿宋" w:cs="仿宋"/>
          <w:sz w:val="32"/>
          <w:szCs w:val="32"/>
        </w:rPr>
        <w:t>总体绩效目标 1、坚持把领导干部接访约访下访制度和领导包案制度作为维护群众合法权益、密切党群干群关系、促进社会和谐稳定的基础性工作；2、降低全县进京、赴省集体访数量，提高信访案件“三率”情况，坚持开展信访苗头隐患排查；3、加大力度开展信访积案化解，把信访积案作为信访工作的一项重要任务，以重信重访为重点，认真化解信访老案积案，努力减少信访源；4、积极推进信访工作信息化、网络化、阳光化、法制化发展，畅通群众诉求渠道；5、深入宣传法律法规，依法规范信访秩序组织开展《河北省信访条例》专项宣传活动，全方位、高密度地进行集中宣传，营造浓厚氛围，形成声势，让广大信访群众知法、用法、守法，有效促进信访工作规范化、法制化。</w:t>
      </w:r>
    </w:p>
    <w:p w14:paraId="6AAB175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90DEF5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2B60280">
      <w:pPr>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我单位2024年预算部门的日常管理工作均按照相关管理制度执行，为加强局整体支出绩效评价工作，我局成立了评价工作领导小组，负责本次绩效评价的具体工作，建立了工作有计划、实施有方案、日常有监督的管理机制，工作取得了较好的成效，效能得到了提高、获得了社会公众的好评100%。</w:t>
      </w:r>
    </w:p>
    <w:p w14:paraId="168886B2">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1C19596">
      <w:pPr>
        <w:spacing w:line="520" w:lineRule="exact"/>
        <w:ind w:firstLine="640" w:firstLineChars="200"/>
      </w:pPr>
      <w:r>
        <w:rPr>
          <w:rFonts w:hint="eastAsia" w:ascii="仿宋" w:hAnsi="仿宋" w:eastAsia="仿宋" w:cs="仿宋"/>
          <w:sz w:val="32"/>
          <w:szCs w:val="32"/>
        </w:rPr>
        <w:t>我单位资金的实施经财政局审核后,按照相关要求，认真组织实施，事项完成后，及时开展验收,部门采取的评价方法是通过开展部门支出管理综合评价，促进部门从整体上提升预算绩效管理工作水平，实施日常检查和监督管理提高财政资金使用效益，保障单位更好地履行职责。</w:t>
      </w:r>
    </w:p>
    <w:p w14:paraId="369F15E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F6DFD84">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8874CD8">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今年以来，县信访联席会议严格按照省、市、县要求，坚持和发展新时代“枫桥经验”，深入践行“浦江经验”，持续开展隐患排查整治工作，采取有效措施，加大重点信访案件化解力度，信访工作取得一定成效。一是赞皇县依托“我为群众办实事”活动，把党建引领转变成党员干部实际行动。县委书记陈宏锋带头开展“走亲住农家，暖心办实事”活动，主动下乡，了解民意，并以实际行动解决群众关注的焦点难点问题，把工作做细、做实、做到了群众的心坎里，把党和政府的关爱正真落到了实处，引导广大党员主动为群众办实事，解难题。二是主要领导带头接访。</w:t>
      </w:r>
      <w:r>
        <w:rPr>
          <w:rFonts w:hint="eastAsia" w:ascii="仿宋" w:hAnsi="仿宋" w:eastAsia="仿宋" w:cs="仿宋"/>
          <w:sz w:val="32"/>
          <w:szCs w:val="32"/>
          <w:lang w:eastAsia="zh-CN"/>
        </w:rPr>
        <w:t>县委、县政府</w:t>
      </w:r>
      <w:r>
        <w:rPr>
          <w:rFonts w:hint="eastAsia" w:ascii="仿宋" w:hAnsi="仿宋" w:eastAsia="仿宋" w:cs="仿宋"/>
          <w:sz w:val="32"/>
          <w:szCs w:val="32"/>
        </w:rPr>
        <w:t>主要领导身体力行，带头公开接访约访，坚持定期到县群众工作中心坐班接访，今年以来党政主要领导在县群众工作中心公开接访，通过现场化解、批示交办，召开调度会等方式，将所有接待案件全部化解，极大提高群众满意率。三是主要领导带头攻坚克难化解信访积案。对中央联席办、省联席办交办的重点信访案件，</w:t>
      </w:r>
      <w:r>
        <w:rPr>
          <w:rFonts w:hint="eastAsia" w:ascii="仿宋" w:hAnsi="仿宋" w:eastAsia="仿宋" w:cs="仿宋"/>
          <w:sz w:val="32"/>
          <w:szCs w:val="32"/>
          <w:lang w:eastAsia="zh-CN"/>
        </w:rPr>
        <w:t>县委、县政府</w:t>
      </w:r>
      <w:bookmarkStart w:id="0" w:name="_GoBack"/>
      <w:bookmarkEnd w:id="0"/>
      <w:r>
        <w:rPr>
          <w:rFonts w:hint="eastAsia" w:ascii="仿宋" w:hAnsi="仿宋" w:eastAsia="仿宋" w:cs="仿宋"/>
          <w:sz w:val="32"/>
          <w:szCs w:val="32"/>
        </w:rPr>
        <w:t>主要领导高度重视，多次召开案件调度会进行安排部署，对发生的进京访及形成的重复访，多次在县委常委会、政府常务会上进行研究，切实化解了一批重点信访案件。</w:t>
      </w:r>
    </w:p>
    <w:p w14:paraId="653C58EF">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18DE036">
      <w:pPr>
        <w:pStyle w:val="15"/>
        <w:rPr>
          <w:rFonts w:ascii="仿宋" w:hAnsi="仿宋" w:eastAsia="仿宋" w:cs="仿宋"/>
          <w:sz w:val="32"/>
          <w:szCs w:val="32"/>
        </w:rPr>
      </w:pPr>
      <w:r>
        <w:rPr>
          <w:rFonts w:hint="eastAsia" w:ascii="仿宋" w:hAnsi="仿宋" w:eastAsia="仿宋" w:cs="仿宋"/>
          <w:sz w:val="32"/>
          <w:szCs w:val="32"/>
        </w:rPr>
        <w:t>分项绩效目标</w:t>
      </w:r>
    </w:p>
    <w:p w14:paraId="65B2852C">
      <w:pPr>
        <w:pStyle w:val="15"/>
        <w:rPr>
          <w:rFonts w:ascii="仿宋" w:hAnsi="仿宋" w:eastAsia="仿宋" w:cs="仿宋"/>
          <w:sz w:val="32"/>
          <w:szCs w:val="32"/>
        </w:rPr>
      </w:pPr>
      <w:r>
        <w:rPr>
          <w:rFonts w:hint="eastAsia" w:ascii="仿宋" w:hAnsi="仿宋" w:eastAsia="仿宋" w:cs="仿宋"/>
          <w:sz w:val="32"/>
          <w:szCs w:val="32"/>
        </w:rPr>
        <w:t>1、信访案件办理</w:t>
      </w:r>
    </w:p>
    <w:p w14:paraId="1BDFE3C8">
      <w:pPr>
        <w:pStyle w:val="15"/>
        <w:rPr>
          <w:rFonts w:ascii="仿宋" w:hAnsi="仿宋" w:eastAsia="仿宋" w:cs="仿宋"/>
          <w:sz w:val="32"/>
          <w:szCs w:val="32"/>
        </w:rPr>
      </w:pPr>
      <w:r>
        <w:rPr>
          <w:rFonts w:hint="eastAsia" w:ascii="仿宋" w:hAnsi="仿宋" w:eastAsia="仿宋" w:cs="仿宋"/>
          <w:sz w:val="32"/>
          <w:szCs w:val="32"/>
        </w:rPr>
        <w:t>绩效目标：畅通信访渠道，提高办理质量和效率</w:t>
      </w:r>
    </w:p>
    <w:p w14:paraId="4354EA5B">
      <w:pPr>
        <w:pStyle w:val="15"/>
        <w:rPr>
          <w:rFonts w:ascii="仿宋" w:hAnsi="仿宋" w:eastAsia="仿宋" w:cs="仿宋"/>
          <w:sz w:val="32"/>
          <w:szCs w:val="32"/>
        </w:rPr>
      </w:pPr>
      <w:r>
        <w:rPr>
          <w:rFonts w:hint="eastAsia" w:ascii="仿宋" w:hAnsi="仿宋" w:eastAsia="仿宋" w:cs="仿宋"/>
          <w:sz w:val="32"/>
          <w:szCs w:val="32"/>
        </w:rPr>
        <w:t>绩效指标：访事项受理与按期结案率达到90%以上</w:t>
      </w:r>
    </w:p>
    <w:p w14:paraId="55C1ADE2">
      <w:pPr>
        <w:pStyle w:val="15"/>
        <w:rPr>
          <w:rFonts w:ascii="仿宋" w:hAnsi="仿宋" w:eastAsia="仿宋" w:cs="仿宋"/>
          <w:sz w:val="32"/>
          <w:szCs w:val="32"/>
        </w:rPr>
      </w:pPr>
      <w:r>
        <w:rPr>
          <w:rFonts w:hint="eastAsia" w:ascii="仿宋" w:hAnsi="仿宋" w:eastAsia="仿宋" w:cs="仿宋"/>
          <w:sz w:val="32"/>
          <w:szCs w:val="32"/>
        </w:rPr>
        <w:t>2、信访突发事项办理</w:t>
      </w:r>
    </w:p>
    <w:p w14:paraId="39D9DB08">
      <w:pPr>
        <w:pStyle w:val="15"/>
        <w:rPr>
          <w:rFonts w:ascii="仿宋" w:hAnsi="仿宋" w:eastAsia="仿宋" w:cs="仿宋"/>
          <w:sz w:val="32"/>
          <w:szCs w:val="32"/>
        </w:rPr>
      </w:pPr>
      <w:r>
        <w:rPr>
          <w:rFonts w:hint="eastAsia" w:ascii="仿宋" w:hAnsi="仿宋" w:eastAsia="仿宋" w:cs="仿宋"/>
          <w:sz w:val="32"/>
          <w:szCs w:val="32"/>
        </w:rPr>
        <w:t>绩效目标：及时有效处置</w:t>
      </w:r>
    </w:p>
    <w:p w14:paraId="40B127CD">
      <w:pPr>
        <w:pStyle w:val="15"/>
        <w:rPr>
          <w:rFonts w:ascii="仿宋" w:hAnsi="仿宋" w:eastAsia="仿宋" w:cs="仿宋"/>
          <w:sz w:val="32"/>
          <w:szCs w:val="32"/>
        </w:rPr>
      </w:pPr>
      <w:r>
        <w:rPr>
          <w:rFonts w:hint="eastAsia" w:ascii="仿宋" w:hAnsi="仿宋" w:eastAsia="仿宋" w:cs="仿宋"/>
          <w:sz w:val="32"/>
          <w:szCs w:val="32"/>
        </w:rPr>
        <w:t>绩效指标：高效有力处置率达到90%以上</w:t>
      </w:r>
    </w:p>
    <w:p w14:paraId="6031E794">
      <w:pPr>
        <w:pStyle w:val="15"/>
        <w:rPr>
          <w:rFonts w:ascii="仿宋" w:hAnsi="仿宋" w:eastAsia="仿宋" w:cs="仿宋"/>
          <w:sz w:val="32"/>
          <w:szCs w:val="32"/>
        </w:rPr>
      </w:pPr>
      <w:r>
        <w:rPr>
          <w:rFonts w:hint="eastAsia" w:ascii="仿宋" w:hAnsi="仿宋" w:eastAsia="仿宋" w:cs="仿宋"/>
          <w:sz w:val="32"/>
          <w:szCs w:val="32"/>
        </w:rPr>
        <w:t>3、信访积案化解</w:t>
      </w:r>
    </w:p>
    <w:p w14:paraId="49E02EC2">
      <w:pPr>
        <w:pStyle w:val="15"/>
        <w:rPr>
          <w:rFonts w:ascii="仿宋" w:hAnsi="仿宋" w:eastAsia="仿宋" w:cs="仿宋"/>
          <w:sz w:val="32"/>
          <w:szCs w:val="32"/>
        </w:rPr>
      </w:pPr>
      <w:r>
        <w:rPr>
          <w:rFonts w:hint="eastAsia" w:ascii="仿宋" w:hAnsi="仿宋" w:eastAsia="仿宋" w:cs="仿宋"/>
          <w:sz w:val="32"/>
          <w:szCs w:val="32"/>
        </w:rPr>
        <w:t>绩效目标：妥善化解特殊疑难案件</w:t>
      </w:r>
    </w:p>
    <w:p w14:paraId="0694388B">
      <w:pPr>
        <w:pStyle w:val="15"/>
        <w:rPr>
          <w:rFonts w:ascii="仿宋" w:hAnsi="仿宋" w:eastAsia="仿宋" w:cs="仿宋"/>
          <w:sz w:val="32"/>
          <w:szCs w:val="32"/>
        </w:rPr>
      </w:pPr>
      <w:r>
        <w:rPr>
          <w:rFonts w:hint="eastAsia" w:ascii="仿宋" w:hAnsi="仿宋" w:eastAsia="仿宋" w:cs="仿宋"/>
          <w:sz w:val="32"/>
          <w:szCs w:val="32"/>
        </w:rPr>
        <w:t>绩效指标：化解特殊疑难信访问题10件以上</w:t>
      </w:r>
    </w:p>
    <w:p w14:paraId="59814279">
      <w:pPr>
        <w:pStyle w:val="15"/>
        <w:rPr>
          <w:rFonts w:ascii="仿宋" w:hAnsi="仿宋" w:eastAsia="仿宋" w:cs="仿宋"/>
          <w:sz w:val="32"/>
          <w:szCs w:val="32"/>
        </w:rPr>
      </w:pPr>
      <w:r>
        <w:rPr>
          <w:rFonts w:hint="eastAsia" w:ascii="仿宋" w:hAnsi="仿宋" w:eastAsia="仿宋" w:cs="仿宋"/>
          <w:sz w:val="32"/>
          <w:szCs w:val="32"/>
        </w:rPr>
        <w:t>4、信访建议征集</w:t>
      </w:r>
    </w:p>
    <w:p w14:paraId="44EE5B79">
      <w:pPr>
        <w:pStyle w:val="15"/>
        <w:rPr>
          <w:rFonts w:ascii="仿宋" w:hAnsi="仿宋" w:eastAsia="仿宋" w:cs="仿宋"/>
          <w:sz w:val="32"/>
          <w:szCs w:val="32"/>
        </w:rPr>
      </w:pPr>
      <w:r>
        <w:rPr>
          <w:rFonts w:hint="eastAsia" w:ascii="仿宋" w:hAnsi="仿宋" w:eastAsia="仿宋" w:cs="仿宋"/>
          <w:sz w:val="32"/>
          <w:szCs w:val="32"/>
        </w:rPr>
        <w:t>绩效目标：调研提出信访工作建议</w:t>
      </w:r>
    </w:p>
    <w:p w14:paraId="0D904E13">
      <w:pPr>
        <w:pStyle w:val="15"/>
        <w:rPr>
          <w:rFonts w:ascii="仿宋" w:hAnsi="仿宋" w:eastAsia="仿宋" w:cs="仿宋"/>
          <w:sz w:val="32"/>
          <w:szCs w:val="32"/>
        </w:rPr>
      </w:pPr>
      <w:r>
        <w:rPr>
          <w:rFonts w:hint="eastAsia" w:ascii="仿宋" w:hAnsi="仿宋" w:eastAsia="仿宋" w:cs="仿宋"/>
          <w:sz w:val="32"/>
          <w:szCs w:val="32"/>
        </w:rPr>
        <w:t>绩效指标；征集梳理可行性建议10项以上</w:t>
      </w:r>
    </w:p>
    <w:p w14:paraId="559BF176">
      <w:pPr>
        <w:pStyle w:val="15"/>
        <w:rPr>
          <w:rFonts w:ascii="仿宋" w:hAnsi="仿宋" w:eastAsia="仿宋" w:cs="仿宋"/>
          <w:sz w:val="32"/>
          <w:szCs w:val="32"/>
        </w:rPr>
      </w:pPr>
      <w:r>
        <w:rPr>
          <w:rFonts w:hint="eastAsia" w:ascii="仿宋" w:hAnsi="仿宋" w:eastAsia="仿宋" w:cs="仿宋"/>
          <w:sz w:val="32"/>
          <w:szCs w:val="32"/>
        </w:rPr>
        <w:t>5、业务学习活动</w:t>
      </w:r>
    </w:p>
    <w:p w14:paraId="2F314D22">
      <w:pPr>
        <w:pStyle w:val="15"/>
        <w:rPr>
          <w:rFonts w:ascii="仿宋" w:hAnsi="仿宋" w:eastAsia="仿宋" w:cs="仿宋"/>
          <w:sz w:val="32"/>
          <w:szCs w:val="32"/>
        </w:rPr>
      </w:pPr>
      <w:r>
        <w:rPr>
          <w:rFonts w:hint="eastAsia" w:ascii="仿宋" w:hAnsi="仿宋" w:eastAsia="仿宋" w:cs="仿宋"/>
          <w:sz w:val="32"/>
          <w:szCs w:val="32"/>
        </w:rPr>
        <w:t>绩效目标：提高信访干部业务能力</w:t>
      </w:r>
    </w:p>
    <w:p w14:paraId="333AB71E">
      <w:pPr>
        <w:pStyle w:val="15"/>
        <w:rPr>
          <w:rFonts w:ascii="仿宋" w:hAnsi="仿宋" w:eastAsia="仿宋" w:cs="仿宋"/>
          <w:sz w:val="32"/>
          <w:szCs w:val="32"/>
        </w:rPr>
      </w:pPr>
      <w:r>
        <w:rPr>
          <w:rFonts w:hint="eastAsia" w:ascii="仿宋" w:hAnsi="仿宋" w:eastAsia="仿宋" w:cs="仿宋"/>
          <w:sz w:val="32"/>
          <w:szCs w:val="32"/>
        </w:rPr>
        <w:t>绩效指标：组织全县信访队伍业务学习不低于4次</w:t>
      </w:r>
    </w:p>
    <w:p w14:paraId="3682C51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235383D">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55B07D4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AE4A017">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52D29506">
      <w:pPr>
        <w:pStyle w:val="6"/>
        <w:shd w:val="clear" w:color="auto" w:fill="FFFFFF"/>
        <w:spacing w:line="160" w:lineRule="atLeast"/>
        <w:ind w:firstLine="640" w:firstLineChars="200"/>
        <w:rPr>
          <w:rFonts w:ascii="仿宋_GB2312" w:hAnsi="仿宋_GB2312" w:eastAsia="仿宋_GB2312" w:cs="仿宋_GB2312"/>
          <w:color w:val="000000"/>
          <w:kern w:val="2"/>
          <w:sz w:val="32"/>
          <w:szCs w:val="32"/>
        </w:rPr>
      </w:pPr>
      <w:r>
        <w:rPr>
          <w:rFonts w:hint="eastAsia" w:ascii="仿宋" w:hAnsi="仿宋" w:eastAsia="仿宋" w:cs="仿宋"/>
          <w:sz w:val="32"/>
          <w:szCs w:val="32"/>
        </w:rPr>
        <w:t>1.预算编制不够细化。</w:t>
      </w:r>
      <w:r>
        <w:rPr>
          <w:rFonts w:hint="eastAsia" w:ascii="仿宋_GB2312" w:hAnsi="仿宋_GB2312" w:eastAsia="仿宋_GB2312" w:cs="仿宋_GB2312"/>
          <w:color w:val="000000"/>
          <w:kern w:val="2"/>
          <w:sz w:val="32"/>
          <w:szCs w:val="32"/>
        </w:rPr>
        <w:t>2.单位固定资产使用率有待提升。</w:t>
      </w:r>
    </w:p>
    <w:p w14:paraId="65182DD5">
      <w:pPr>
        <w:ind w:firstLine="640" w:firstLineChars="200"/>
      </w:pPr>
      <w:r>
        <w:rPr>
          <w:rFonts w:hint="eastAsia" w:ascii="仿宋" w:hAnsi="仿宋" w:eastAsia="仿宋" w:cs="仿宋"/>
          <w:sz w:val="32"/>
          <w:szCs w:val="32"/>
        </w:rPr>
        <w:t>评价结论：我局在2024年度整体支出工作实施情况良好，但在预算编制、预算管理措施及预算执行上，仍缺乏系统量化细化的绩效指标。同时，在整体支出完成率上有待进一步加强。</w:t>
      </w:r>
    </w:p>
    <w:p w14:paraId="03281260">
      <w:pPr>
        <w:numPr>
          <w:ilvl w:val="0"/>
          <w:numId w:val="3"/>
        </w:numPr>
        <w:spacing w:line="560" w:lineRule="exact"/>
        <w:ind w:firstLine="640" w:firstLineChars="200"/>
        <w:rPr>
          <w:rFonts w:ascii="楷体" w:hAnsi="楷体" w:eastAsia="楷体"/>
          <w:bCs/>
          <w:sz w:val="32"/>
          <w:szCs w:val="32"/>
        </w:rPr>
      </w:pPr>
      <w:r>
        <w:rPr>
          <w:rFonts w:hint="eastAsia" w:ascii="楷体" w:hAnsi="楷体" w:eastAsia="楷体"/>
          <w:bCs/>
          <w:sz w:val="32"/>
          <w:szCs w:val="32"/>
        </w:rPr>
        <w:t>针对问题提出具体的改进措施或建议</w:t>
      </w:r>
    </w:p>
    <w:p w14:paraId="37CA01EE">
      <w:pPr>
        <w:spacing w:line="560" w:lineRule="exact"/>
        <w:ind w:firstLine="640" w:firstLineChars="200"/>
      </w:pPr>
      <w:r>
        <w:rPr>
          <w:rFonts w:hint="eastAsia" w:ascii="仿宋" w:hAnsi="仿宋" w:eastAsia="仿宋" w:cs="仿宋"/>
          <w:sz w:val="32"/>
          <w:szCs w:val="32"/>
        </w:rPr>
        <w:t>一是加强对财务人员的业务培训，提高财务人员的履职能力和业务水平；二是科学合理地设置绩效目标和指标。结合我局信访工作实际，进行充分的调理论证。绩效指标设置要做到量化和细化，有效衡量和考核绩效目标实现程度；三是提高预算编制精准度，扎实打好预算绩效管理工作基础。做到全面、综合地反映单位支出及总体目标情况；四是加强预算编制管理，夯实预算执行基础。注重预算编制的科学性，完整性、细化性，遵循“量入为出、收支平衡”的原则，采取更有效程序和方法合理安排资金，有效推进预算支出进度，达到综合预算、不偏不漏。五是在保证资金使用合理、合规、合法基础上，采取各种有效措施，加强预算执行进度管理，提高下一年度预算完成率和支出完成率，进一步提高资金管理水平和财政资金使用效益。</w:t>
      </w:r>
    </w:p>
    <w:p w14:paraId="050AC1DF">
      <w:pPr>
        <w:numPr>
          <w:ilvl w:val="0"/>
          <w:numId w:val="4"/>
        </w:num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评价工作组人员名单及签字（姓名、工作单位、职务、职称）</w:t>
      </w:r>
    </w:p>
    <w:p w14:paraId="32C8845E">
      <w:pPr>
        <w:spacing w:line="560" w:lineRule="exact"/>
        <w:ind w:firstLine="420" w:firstLineChars="200"/>
        <w:rPr>
          <w:rFonts w:ascii="仿宋" w:hAnsi="仿宋" w:eastAsia="仿宋" w:cs="仿宋"/>
          <w:sz w:val="32"/>
          <w:szCs w:val="32"/>
        </w:rPr>
      </w:pPr>
      <w:r>
        <w:rPr>
          <w:rFonts w:hint="eastAsia" w:ascii="仿宋" w:hAnsi="仿宋" w:eastAsia="仿宋"/>
        </w:rPr>
        <w:t xml:space="preserve">  </w:t>
      </w:r>
      <w:r>
        <w:rPr>
          <w:rFonts w:hint="eastAsia" w:ascii="仿宋" w:hAnsi="仿宋" w:eastAsia="仿宋" w:cs="仿宋"/>
          <w:sz w:val="32"/>
          <w:szCs w:val="32"/>
        </w:rPr>
        <w:t>孔国强   赞皇县信访局   局长    一级主任科员</w:t>
      </w:r>
    </w:p>
    <w:p w14:paraId="37B12173">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张建德   赞皇县信访局   副局长  二级主任科员</w:t>
      </w:r>
    </w:p>
    <w:p w14:paraId="64A9C492">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秦玉平   赞皇县信访局   督查专员</w:t>
      </w:r>
    </w:p>
    <w:p w14:paraId="7BDA544E">
      <w:pPr>
        <w:tabs>
          <w:tab w:val="left" w:pos="2090"/>
        </w:tabs>
        <w:spacing w:line="560" w:lineRule="exact"/>
        <w:ind w:firstLine="640" w:firstLineChars="200"/>
        <w:rPr>
          <w:rFonts w:ascii="仿宋" w:hAnsi="仿宋" w:eastAsia="仿宋"/>
          <w:sz w:val="32"/>
          <w:szCs w:val="32"/>
        </w:rPr>
      </w:pPr>
      <w:r>
        <w:rPr>
          <w:rFonts w:hint="eastAsia" w:ascii="仿宋" w:hAnsi="仿宋" w:eastAsia="仿宋"/>
          <w:sz w:val="32"/>
          <w:szCs w:val="32"/>
        </w:rPr>
        <w:t>刘沛立</w:t>
      </w:r>
      <w:r>
        <w:rPr>
          <w:rFonts w:ascii="仿宋" w:hAnsi="仿宋" w:eastAsia="仿宋"/>
          <w:sz w:val="32"/>
          <w:szCs w:val="32"/>
        </w:rPr>
        <w:tab/>
      </w:r>
      <w:r>
        <w:rPr>
          <w:rFonts w:hint="eastAsia" w:ascii="仿宋" w:hAnsi="仿宋" w:eastAsia="仿宋"/>
          <w:sz w:val="32"/>
          <w:szCs w:val="32"/>
        </w:rPr>
        <w:t>赞皇县信访局   办公室主任    股长</w:t>
      </w:r>
    </w:p>
    <w:p w14:paraId="0D73F9C0">
      <w:pPr>
        <w:pStyle w:val="2"/>
        <w:tabs>
          <w:tab w:val="left" w:pos="2090"/>
        </w:tabs>
        <w:ind w:left="0" w:leftChars="0" w:firstLine="0" w:firstLineChars="0"/>
        <w:rPr>
          <w:rFonts w:ascii="仿宋" w:hAnsi="仿宋" w:eastAsia="仿宋"/>
          <w:sz w:val="32"/>
          <w:szCs w:val="32"/>
        </w:rPr>
      </w:pPr>
      <w:r>
        <w:rPr>
          <w:rFonts w:hint="eastAsia" w:ascii="仿宋" w:hAnsi="仿宋" w:eastAsia="仿宋"/>
          <w:sz w:val="32"/>
          <w:szCs w:val="32"/>
        </w:rPr>
        <w:t xml:space="preserve">    宋元卉</w:t>
      </w:r>
      <w:r>
        <w:rPr>
          <w:rFonts w:ascii="仿宋" w:hAnsi="仿宋" w:eastAsia="仿宋"/>
          <w:sz w:val="32"/>
          <w:szCs w:val="32"/>
        </w:rPr>
        <w:tab/>
      </w:r>
      <w:r>
        <w:rPr>
          <w:rFonts w:hint="eastAsia" w:ascii="仿宋" w:hAnsi="仿宋" w:eastAsia="仿宋"/>
          <w:sz w:val="32"/>
          <w:szCs w:val="32"/>
        </w:rPr>
        <w:t>赞皇县信访局   办公室职员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5E48C0B-449D-4339-8EEC-45D3AD2688B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宋体"/>
    <w:panose1 w:val="00000000000000000000"/>
    <w:charset w:val="86"/>
    <w:family w:val="modern"/>
    <w:pitch w:val="default"/>
    <w:sig w:usb0="00000000" w:usb1="00000000" w:usb2="00000000" w:usb3="00000000" w:csb0="00040001" w:csb1="00000000"/>
  </w:font>
  <w:font w:name="Arial">
    <w:panose1 w:val="020B0604020202020204"/>
    <w:charset w:val="00"/>
    <w:family w:val="swiss"/>
    <w:pitch w:val="default"/>
    <w:sig w:usb0="E0002EFF" w:usb1="C000785B" w:usb2="00000009" w:usb3="00000000" w:csb0="400001FF" w:csb1="FFFF0000"/>
    <w:embedRegular r:id="rId2" w:fontKey="{5E189ED0-D06E-424B-8495-BC7B499E6F7A}"/>
  </w:font>
  <w:font w:name="仿宋_GB2312">
    <w:altName w:val="仿宋"/>
    <w:panose1 w:val="00000000000000000000"/>
    <w:charset w:val="86"/>
    <w:family w:val="modern"/>
    <w:pitch w:val="default"/>
    <w:sig w:usb0="00000000" w:usb1="00000000" w:usb2="00000000" w:usb3="00000000" w:csb0="00040000" w:csb1="00000000"/>
    <w:embedRegular r:id="rId3" w:fontKey="{117956CF-9A36-46A2-AF57-D0FD8E320F2D}"/>
  </w:font>
  <w:font w:name="仿宋">
    <w:panose1 w:val="02010609060101010101"/>
    <w:charset w:val="86"/>
    <w:family w:val="modern"/>
    <w:pitch w:val="default"/>
    <w:sig w:usb0="800002BF" w:usb1="38CF7CFA" w:usb2="00000016" w:usb3="00000000" w:csb0="00040001" w:csb1="00000000"/>
    <w:embedRegular r:id="rId4" w:fontKey="{3E58E466-026A-47BD-B20F-DAB6E85BD908}"/>
  </w:font>
  <w:font w:name="方正小标宋_GBK">
    <w:panose1 w:val="02000000000000000000"/>
    <w:charset w:val="86"/>
    <w:family w:val="auto"/>
    <w:pitch w:val="default"/>
    <w:sig w:usb0="A00002BF" w:usb1="38CF7CFA" w:usb2="00082016" w:usb3="00000000" w:csb0="00040001" w:csb1="00000000"/>
    <w:embedRegular r:id="rId5" w:fontKey="{C4AAABBA-3828-44C4-87C5-FC17AD30EFB2}"/>
  </w:font>
  <w:font w:name="楷体">
    <w:panose1 w:val="02010609060101010101"/>
    <w:charset w:val="86"/>
    <w:family w:val="modern"/>
    <w:pitch w:val="default"/>
    <w:sig w:usb0="800002BF" w:usb1="38CF7CFA" w:usb2="00000016" w:usb3="00000000" w:csb0="00040001" w:csb1="00000000"/>
    <w:embedRegular r:id="rId6" w:fontKey="{FA90A03F-A2D2-40DE-875D-80078415E9B1}"/>
  </w:font>
  <w:font w:name="楷体_GB2312">
    <w:altName w:val="楷体"/>
    <w:panose1 w:val="00000000000000000000"/>
    <w:charset w:val="86"/>
    <w:family w:val="auto"/>
    <w:pitch w:val="default"/>
    <w:sig w:usb0="00000000" w:usb1="00000000" w:usb2="00000000" w:usb3="00000000" w:csb0="00040000" w:csb1="00000000"/>
    <w:embedRegular r:id="rId7" w:fontKey="{10F11639-95AC-420F-8013-CC7D0C4AD11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EEEE0">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FFC27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DFFC27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14B3765"/>
    <w:multiLevelType w:val="singleLevel"/>
    <w:tmpl w:val="114B3765"/>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9C866D9"/>
    <w:multiLevelType w:val="singleLevel"/>
    <w:tmpl w:val="69C866D9"/>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5MDZkMDAyNGE3MWUyNTQ2MGMxZTI3YWQ4NGM1NWUifQ=="/>
  </w:docVars>
  <w:rsids>
    <w:rsidRoot w:val="0EBD2122"/>
    <w:rsid w:val="000B0260"/>
    <w:rsid w:val="000C27DC"/>
    <w:rsid w:val="000C686C"/>
    <w:rsid w:val="00227EA9"/>
    <w:rsid w:val="002E1F2A"/>
    <w:rsid w:val="00353FF1"/>
    <w:rsid w:val="003F5849"/>
    <w:rsid w:val="00405263"/>
    <w:rsid w:val="00596492"/>
    <w:rsid w:val="00662C11"/>
    <w:rsid w:val="00734438"/>
    <w:rsid w:val="007E6C1F"/>
    <w:rsid w:val="008849F1"/>
    <w:rsid w:val="00926365"/>
    <w:rsid w:val="00956445"/>
    <w:rsid w:val="00956A93"/>
    <w:rsid w:val="00984E00"/>
    <w:rsid w:val="009D33EA"/>
    <w:rsid w:val="009D69CC"/>
    <w:rsid w:val="009E575C"/>
    <w:rsid w:val="00A24692"/>
    <w:rsid w:val="00A3399A"/>
    <w:rsid w:val="00A51523"/>
    <w:rsid w:val="00AF167E"/>
    <w:rsid w:val="00AF566A"/>
    <w:rsid w:val="00B145D8"/>
    <w:rsid w:val="00B478EA"/>
    <w:rsid w:val="00B6553A"/>
    <w:rsid w:val="00BC6576"/>
    <w:rsid w:val="00C93C09"/>
    <w:rsid w:val="00C941B6"/>
    <w:rsid w:val="00CE06BA"/>
    <w:rsid w:val="00D34D07"/>
    <w:rsid w:val="00E77AE8"/>
    <w:rsid w:val="00F14E4B"/>
    <w:rsid w:val="00F4293D"/>
    <w:rsid w:val="00F441CC"/>
    <w:rsid w:val="00FE31B4"/>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F146650"/>
    <w:rsid w:val="33EB6CFF"/>
    <w:rsid w:val="35A12947"/>
    <w:rsid w:val="37387040"/>
    <w:rsid w:val="3B625C0A"/>
    <w:rsid w:val="3CEE1963"/>
    <w:rsid w:val="4124333A"/>
    <w:rsid w:val="4C9C27FE"/>
    <w:rsid w:val="4FF9AD8B"/>
    <w:rsid w:val="50E41AA0"/>
    <w:rsid w:val="512260B4"/>
    <w:rsid w:val="52BD6ACB"/>
    <w:rsid w:val="55537534"/>
    <w:rsid w:val="561A74F1"/>
    <w:rsid w:val="597244E8"/>
    <w:rsid w:val="5D7346BE"/>
    <w:rsid w:val="5EB71C30"/>
    <w:rsid w:val="61D218D0"/>
    <w:rsid w:val="66AF0CE5"/>
    <w:rsid w:val="68777B36"/>
    <w:rsid w:val="6AC537CF"/>
    <w:rsid w:val="6C4967AF"/>
    <w:rsid w:val="6C5D38C8"/>
    <w:rsid w:val="6E5B14A6"/>
    <w:rsid w:val="711B255E"/>
    <w:rsid w:val="73FF0D6C"/>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unhideWhenUsed/>
    <w:qFormat/>
    <w:uiPriority w:val="0"/>
    <w:pPr>
      <w:jc w:val="left"/>
    </w:pPr>
    <w:rPr>
      <w:rFonts w:cs="Times New Roman"/>
      <w:kern w:val="0"/>
      <w:sz w:val="24"/>
    </w:rPr>
  </w:style>
  <w:style w:type="paragraph" w:customStyle="1" w:styleId="9">
    <w:name w:val="插入文本样式-插入单位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0">
    <w:name w:val="单元格样式1"/>
    <w:basedOn w:val="1"/>
    <w:qFormat/>
    <w:uiPriority w:val="0"/>
    <w:pPr>
      <w:jc w:val="center"/>
    </w:pPr>
    <w:rPr>
      <w:rFonts w:ascii="方正书宋_GBK" w:hAnsi="方正书宋_GBK" w:eastAsia="方正书宋_GBK" w:cs="方正书宋_GBK"/>
      <w:b/>
    </w:rPr>
  </w:style>
  <w:style w:type="paragraph" w:customStyle="1" w:styleId="11">
    <w:name w:val="单元格样式2"/>
    <w:basedOn w:val="1"/>
    <w:qFormat/>
    <w:uiPriority w:val="0"/>
    <w:pPr>
      <w:jc w:val="left"/>
    </w:pPr>
    <w:rPr>
      <w:rFonts w:ascii="方正书宋_GBK" w:hAnsi="方正书宋_GBK" w:eastAsia="方正书宋_GBK" w:cs="方正书宋_GBK"/>
    </w:rPr>
  </w:style>
  <w:style w:type="paragraph" w:customStyle="1" w:styleId="12">
    <w:name w:val="单元格样式3"/>
    <w:basedOn w:val="1"/>
    <w:qFormat/>
    <w:uiPriority w:val="0"/>
    <w:pPr>
      <w:jc w:val="center"/>
    </w:pPr>
    <w:rPr>
      <w:rFonts w:ascii="方正书宋_GBK" w:hAnsi="方正书宋_GBK" w:eastAsia="方正书宋_GBK" w:cs="方正书宋_GBK"/>
    </w:rPr>
  </w:style>
  <w:style w:type="paragraph" w:customStyle="1" w:styleId="13">
    <w:name w:val="toa heading1"/>
    <w:basedOn w:val="1"/>
    <w:next w:val="1"/>
    <w:qFormat/>
    <w:uiPriority w:val="0"/>
    <w:pPr>
      <w:spacing w:before="120"/>
    </w:pPr>
    <w:rPr>
      <w:rFonts w:ascii="Arial" w:hAnsi="Arial" w:cs="Times New Roman"/>
      <w:sz w:val="24"/>
    </w:rPr>
  </w:style>
  <w:style w:type="paragraph" w:customStyle="1" w:styleId="14">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2858</Words>
  <Characters>2935</Characters>
  <Lines>21</Lines>
  <Paragraphs>6</Paragraphs>
  <TotalTime>1569</TotalTime>
  <ScaleCrop>false</ScaleCrop>
  <LinksUpToDate>false</LinksUpToDate>
  <CharactersWithSpaces>2999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2025-08-19T06:32:43Z</dcterms:modified>
  <dc:title>附件3：</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8047C3B679114C988BB70B713BC712FA_13</vt:lpwstr>
  </property>
  <property fmtid="{D5CDD505-2E9C-101B-9397-08002B2CF9AE}" pid="4" name="KSOTemplateDocerSaveRecord">
    <vt:lpwstr>eyJoZGlkIjoiYTRkZjYwODQyN2QxOTU4Mzc5MDkyZjcyNTA5NjE4M2QiLCJ1c2VySWQiOiIxNTUwMjQwMDk2In0=</vt:lpwstr>
  </property>
</Properties>
</file>