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B08883C">
      <w:pPr>
        <w:spacing w:line="560" w:lineRule="exact"/>
        <w:jc w:val="center"/>
        <w:rPr>
          <w:rFonts w:ascii="宋体" w:hAnsi="宋体" w:cs="宋体"/>
          <w:b/>
          <w:bCs/>
          <w:sz w:val="44"/>
          <w:szCs w:val="44"/>
        </w:rPr>
      </w:pPr>
    </w:p>
    <w:p w14:paraId="15AA86FD">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政协办</w:t>
      </w:r>
      <w:r>
        <w:rPr>
          <w:rFonts w:hint="eastAsia" w:ascii="宋体" w:hAnsi="宋体" w:cs="宋体"/>
          <w:b/>
          <w:bCs/>
          <w:sz w:val="44"/>
          <w:szCs w:val="44"/>
        </w:rPr>
        <w:t>部门</w:t>
      </w:r>
    </w:p>
    <w:p w14:paraId="325C502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spacing w:line="560" w:lineRule="exact"/>
        <w:jc w:val="center"/>
        <w:rPr>
          <w:rFonts w:ascii="华文楷体" w:eastAsia="华文楷体"/>
          <w:sz w:val="32"/>
          <w:szCs w:val="32"/>
        </w:rPr>
      </w:pPr>
    </w:p>
    <w:p w14:paraId="7E62844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eastAsia="zh-CN"/>
        </w:rPr>
        <w:t>政协办</w:t>
      </w:r>
      <w:r>
        <w:rPr>
          <w:rFonts w:hint="eastAsia" w:ascii="仿宋_GB2312" w:hAnsi="仿宋_GB2312" w:eastAsia="仿宋_GB2312" w:cs="仿宋_GB2312"/>
          <w:sz w:val="32"/>
          <w:szCs w:val="32"/>
        </w:rPr>
        <w:t>部门202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D3F8B7C">
      <w:pPr>
        <w:adjustRightInd w:val="0"/>
        <w:snapToGrid w:val="0"/>
        <w:spacing w:line="560" w:lineRule="exact"/>
        <w:ind w:firstLine="640" w:firstLineChars="200"/>
        <w:rPr>
          <w:rFonts w:hint="eastAsia" w:ascii="楷体" w:hAnsi="楷体" w:eastAsia="楷体" w:cs="楷体_GB2312"/>
          <w:bCs/>
          <w:sz w:val="32"/>
          <w:szCs w:val="32"/>
          <w:highlight w:val="none"/>
          <w:lang w:eastAsia="zh-CN"/>
        </w:rPr>
      </w:pPr>
      <w:r>
        <w:rPr>
          <w:rFonts w:hint="eastAsia" w:ascii="楷体" w:hAnsi="楷体" w:eastAsia="楷体" w:cs="楷体_GB2312"/>
          <w:bCs/>
          <w:sz w:val="32"/>
          <w:szCs w:val="32"/>
          <w:highlight w:val="none"/>
          <w:lang w:val="en-US" w:eastAsia="zh-CN"/>
        </w:rPr>
        <w:t>1.</w:t>
      </w:r>
      <w:r>
        <w:rPr>
          <w:rFonts w:hint="eastAsia" w:ascii="楷体" w:hAnsi="楷体" w:eastAsia="楷体" w:cs="楷体_GB2312"/>
          <w:bCs/>
          <w:sz w:val="32"/>
          <w:szCs w:val="32"/>
          <w:highlight w:val="none"/>
          <w:lang w:eastAsia="zh-CN"/>
        </w:rPr>
        <w:t>部门职能</w:t>
      </w:r>
    </w:p>
    <w:p w14:paraId="2755D06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（1）负责县政协全体会议、常务委员会议、主席会议和专门委员会会议的组织工作，负责上述会议所形成的决议、决定、建议案的组织实施。</w:t>
      </w:r>
    </w:p>
    <w:p w14:paraId="330D2141">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（2）发挥各专门委员会的作用，组织视察调研活动，切实履行好政治协商、民主监督、参政议政的基本职责。</w:t>
      </w:r>
    </w:p>
    <w:p w14:paraId="660E483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（3）负责对县政协委员进行视察、参观、调查、座谈、学习、研讨等日常活动份服务和具体组织工作，受市政协的委托，组织驻县政协委员活动。</w:t>
      </w:r>
    </w:p>
    <w:p w14:paraId="0463F65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（4）负责委员提案的征集、交办、督办的工作。</w:t>
      </w:r>
    </w:p>
    <w:p w14:paraId="3F74AC3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（5）研究统一战线和人民政协的理论、政策、宣传人民政协的方针政策、工作业绩和经验以及政协委员的先进事迹，收集和反映政协委员和各界人士的意见与建议，综合反映社情民意。</w:t>
      </w:r>
    </w:p>
    <w:p w14:paraId="40E1C44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（6）联系政协各参加单位和无党派人士，联系县直有关部门，互通信息，协商工作，加强合作。</w:t>
      </w:r>
    </w:p>
    <w:p w14:paraId="42DAD70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（7）负责县政协机关后勤服务管理工作和行政事务工作。</w:t>
      </w:r>
    </w:p>
    <w:p w14:paraId="3ACF010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（8）负责权限范围内的人事任免。</w:t>
      </w:r>
    </w:p>
    <w:p w14:paraId="4D2C715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val="en-US" w:eastAsia="zh-CN"/>
        </w:rPr>
        <w:t>2.</w:t>
      </w:r>
      <w:r>
        <w:rPr>
          <w:rFonts w:hint="eastAsia" w:ascii="楷体" w:hAnsi="楷体" w:eastAsia="楷体" w:cs="楷体_GB2312"/>
          <w:bCs/>
          <w:sz w:val="32"/>
          <w:szCs w:val="32"/>
          <w:lang w:eastAsia="zh-CN"/>
        </w:rPr>
        <w:t>组织机构情况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4"/>
        <w:gridCol w:w="1134"/>
        <w:gridCol w:w="1089"/>
        <w:gridCol w:w="2880"/>
      </w:tblGrid>
      <w:tr w14:paraId="44FF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restart"/>
            <w:noWrap w:val="0"/>
            <w:vAlign w:val="center"/>
          </w:tcPr>
          <w:p w14:paraId="0F0D7323">
            <w:pPr>
              <w:spacing w:line="300" w:lineRule="exact"/>
              <w:jc w:val="center"/>
              <w:rPr>
                <w:rFonts w:ascii="仿宋" w:hAnsi="仿宋" w:eastAsia="仿宋" w:cs="Times New Roman"/>
                <w:b w:val="0"/>
                <w:bCs/>
                <w:szCs w:val="24"/>
              </w:rPr>
            </w:pPr>
            <w:r>
              <w:rPr>
                <w:rFonts w:hint="eastAsia" w:ascii="仿宋" w:hAnsi="仿宋" w:eastAsia="仿宋" w:cs="Times New Roman"/>
                <w:b w:val="0"/>
                <w:bCs/>
                <w:szCs w:val="24"/>
                <w:lang w:eastAsia="zh-CN"/>
              </w:rPr>
              <w:t>部门</w:t>
            </w:r>
            <w:r>
              <w:rPr>
                <w:rFonts w:ascii="仿宋" w:hAnsi="仿宋" w:eastAsia="仿宋" w:cs="Times New Roman"/>
                <w:b w:val="0"/>
                <w:bCs/>
                <w:szCs w:val="24"/>
              </w:rPr>
              <w:t>名称</w:t>
            </w:r>
          </w:p>
        </w:tc>
        <w:tc>
          <w:tcPr>
            <w:tcW w:w="1134" w:type="dxa"/>
            <w:vMerge w:val="restart"/>
            <w:noWrap w:val="0"/>
            <w:vAlign w:val="center"/>
          </w:tcPr>
          <w:p w14:paraId="093F485C">
            <w:pPr>
              <w:spacing w:line="300" w:lineRule="exact"/>
              <w:jc w:val="center"/>
              <w:rPr>
                <w:rFonts w:ascii="仿宋" w:hAnsi="仿宋" w:eastAsia="仿宋" w:cs="Times New Roman"/>
                <w:b w:val="0"/>
                <w:bCs/>
                <w:szCs w:val="24"/>
              </w:rPr>
            </w:pPr>
            <w:r>
              <w:rPr>
                <w:rFonts w:hint="eastAsia" w:ascii="仿宋" w:hAnsi="仿宋" w:eastAsia="仿宋" w:cs="Times New Roman"/>
                <w:b w:val="0"/>
                <w:bCs/>
                <w:szCs w:val="24"/>
                <w:lang w:eastAsia="zh-CN"/>
              </w:rPr>
              <w:t>部门</w:t>
            </w:r>
            <w:r>
              <w:rPr>
                <w:rFonts w:ascii="仿宋" w:hAnsi="仿宋" w:eastAsia="仿宋" w:cs="Times New Roman"/>
                <w:b w:val="0"/>
                <w:bCs/>
                <w:szCs w:val="24"/>
              </w:rPr>
              <w:t>性质</w:t>
            </w:r>
          </w:p>
        </w:tc>
        <w:tc>
          <w:tcPr>
            <w:tcW w:w="1089" w:type="dxa"/>
            <w:vMerge w:val="restart"/>
            <w:noWrap w:val="0"/>
            <w:vAlign w:val="center"/>
          </w:tcPr>
          <w:p w14:paraId="2C794D34">
            <w:pPr>
              <w:spacing w:line="300" w:lineRule="exact"/>
              <w:jc w:val="center"/>
              <w:rPr>
                <w:rFonts w:ascii="仿宋" w:hAnsi="仿宋" w:eastAsia="仿宋" w:cs="Times New Roman"/>
                <w:b w:val="0"/>
                <w:bCs/>
                <w:szCs w:val="24"/>
              </w:rPr>
            </w:pPr>
            <w:r>
              <w:rPr>
                <w:rFonts w:hint="eastAsia" w:ascii="仿宋" w:hAnsi="仿宋" w:eastAsia="仿宋" w:cs="Times New Roman"/>
                <w:b w:val="0"/>
                <w:bCs/>
                <w:szCs w:val="24"/>
                <w:lang w:eastAsia="zh-CN"/>
              </w:rPr>
              <w:t>部门</w:t>
            </w:r>
            <w:r>
              <w:rPr>
                <w:rFonts w:ascii="仿宋" w:hAnsi="仿宋" w:eastAsia="仿宋" w:cs="Times New Roman"/>
                <w:b w:val="0"/>
                <w:bCs/>
                <w:szCs w:val="24"/>
              </w:rPr>
              <w:t>规格</w:t>
            </w:r>
          </w:p>
        </w:tc>
        <w:tc>
          <w:tcPr>
            <w:tcW w:w="2880" w:type="dxa"/>
            <w:vMerge w:val="restart"/>
            <w:noWrap w:val="0"/>
            <w:vAlign w:val="center"/>
          </w:tcPr>
          <w:p w14:paraId="5BA68CB6">
            <w:pPr>
              <w:spacing w:line="300" w:lineRule="exact"/>
              <w:jc w:val="center"/>
              <w:rPr>
                <w:rFonts w:ascii="仿宋" w:hAnsi="仿宋" w:eastAsia="仿宋" w:cs="Times New Roman"/>
                <w:b w:val="0"/>
                <w:bCs/>
                <w:szCs w:val="24"/>
              </w:rPr>
            </w:pPr>
            <w:r>
              <w:rPr>
                <w:rFonts w:ascii="仿宋" w:hAnsi="仿宋" w:eastAsia="仿宋" w:cs="Times New Roman"/>
                <w:b w:val="0"/>
                <w:bCs/>
                <w:szCs w:val="24"/>
              </w:rPr>
              <w:t>经费保障形式</w:t>
            </w:r>
          </w:p>
        </w:tc>
      </w:tr>
      <w:tr w14:paraId="2A75D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continue"/>
            <w:noWrap w:val="0"/>
            <w:vAlign w:val="center"/>
          </w:tcPr>
          <w:p w14:paraId="4A27F8E7">
            <w:pPr>
              <w:spacing w:line="300" w:lineRule="exact"/>
              <w:jc w:val="left"/>
              <w:outlineLvl w:val="0"/>
              <w:rPr>
                <w:rFonts w:ascii="仿宋" w:hAnsi="仿宋" w:eastAsia="仿宋" w:cs="Times New Roman"/>
                <w:szCs w:val="24"/>
              </w:rPr>
            </w:pPr>
          </w:p>
        </w:tc>
        <w:tc>
          <w:tcPr>
            <w:tcW w:w="1134" w:type="dxa"/>
            <w:vMerge w:val="continue"/>
            <w:noWrap w:val="0"/>
            <w:vAlign w:val="center"/>
          </w:tcPr>
          <w:p w14:paraId="25797C70">
            <w:pPr>
              <w:spacing w:line="300" w:lineRule="exact"/>
              <w:jc w:val="left"/>
              <w:outlineLvl w:val="0"/>
              <w:rPr>
                <w:rFonts w:ascii="仿宋" w:hAnsi="仿宋" w:eastAsia="仿宋" w:cs="Times New Roman"/>
                <w:szCs w:val="24"/>
              </w:rPr>
            </w:pPr>
          </w:p>
        </w:tc>
        <w:tc>
          <w:tcPr>
            <w:tcW w:w="1089" w:type="dxa"/>
            <w:vMerge w:val="continue"/>
            <w:noWrap w:val="0"/>
            <w:vAlign w:val="center"/>
          </w:tcPr>
          <w:p w14:paraId="68507B71">
            <w:pPr>
              <w:spacing w:line="300" w:lineRule="exact"/>
              <w:jc w:val="left"/>
              <w:outlineLvl w:val="0"/>
              <w:rPr>
                <w:rFonts w:ascii="仿宋" w:hAnsi="仿宋" w:eastAsia="仿宋" w:cs="Times New Roman"/>
                <w:szCs w:val="24"/>
              </w:rPr>
            </w:pPr>
          </w:p>
        </w:tc>
        <w:tc>
          <w:tcPr>
            <w:tcW w:w="2880" w:type="dxa"/>
            <w:vMerge w:val="continue"/>
            <w:noWrap w:val="0"/>
            <w:vAlign w:val="center"/>
          </w:tcPr>
          <w:p w14:paraId="14493AEF">
            <w:pPr>
              <w:spacing w:line="300" w:lineRule="exact"/>
              <w:jc w:val="left"/>
              <w:outlineLvl w:val="0"/>
              <w:rPr>
                <w:rFonts w:ascii="仿宋" w:hAnsi="仿宋" w:eastAsia="仿宋" w:cs="Times New Roman"/>
                <w:szCs w:val="24"/>
              </w:rPr>
            </w:pPr>
          </w:p>
        </w:tc>
      </w:tr>
      <w:tr w14:paraId="63D5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3354" w:type="dxa"/>
            <w:noWrap w:val="0"/>
            <w:vAlign w:val="center"/>
          </w:tcPr>
          <w:p w14:paraId="3DB7FC79">
            <w:pPr>
              <w:spacing w:line="300" w:lineRule="exact"/>
              <w:jc w:val="left"/>
              <w:rPr>
                <w:rFonts w:hint="eastAsia" w:ascii="仿宋" w:hAnsi="仿宋" w:eastAsia="仿宋" w:cs="Times New Roman"/>
                <w:szCs w:val="24"/>
              </w:rPr>
            </w:pPr>
            <w:r>
              <w:rPr>
                <w:rFonts w:hint="eastAsia" w:ascii="仿宋" w:hAnsi="仿宋" w:eastAsia="仿宋" w:cs="Times New Roman"/>
                <w:b w:val="0"/>
                <w:bCs/>
                <w:szCs w:val="24"/>
                <w:lang w:eastAsia="zh-CN"/>
              </w:rPr>
              <w:t>中国人民政治协商会议河北省赞皇县委员会办公室</w:t>
            </w:r>
          </w:p>
        </w:tc>
        <w:tc>
          <w:tcPr>
            <w:tcW w:w="1134" w:type="dxa"/>
            <w:noWrap w:val="0"/>
            <w:vAlign w:val="center"/>
          </w:tcPr>
          <w:p w14:paraId="0DC495B9">
            <w:pPr>
              <w:spacing w:line="300" w:lineRule="exact"/>
              <w:jc w:val="center"/>
              <w:rPr>
                <w:rFonts w:hint="eastAsia" w:ascii="仿宋" w:hAnsi="仿宋" w:eastAsia="仿宋" w:cs="Times New Roman"/>
                <w:szCs w:val="24"/>
                <w:lang w:eastAsia="zh-CN"/>
              </w:rPr>
            </w:pPr>
            <w:r>
              <w:rPr>
                <w:rFonts w:hint="eastAsia" w:ascii="仿宋" w:hAnsi="仿宋" w:eastAsia="仿宋"/>
                <w:lang w:eastAsia="zh-CN"/>
              </w:rPr>
              <w:t>行政</w:t>
            </w:r>
          </w:p>
        </w:tc>
        <w:tc>
          <w:tcPr>
            <w:tcW w:w="1089" w:type="dxa"/>
            <w:noWrap w:val="0"/>
            <w:vAlign w:val="center"/>
          </w:tcPr>
          <w:p w14:paraId="1380201A">
            <w:pPr>
              <w:spacing w:line="300" w:lineRule="exact"/>
              <w:jc w:val="center"/>
              <w:rPr>
                <w:rFonts w:ascii="仿宋" w:hAnsi="仿宋" w:eastAsia="仿宋" w:cs="Times New Roman"/>
                <w:szCs w:val="24"/>
              </w:rPr>
            </w:pPr>
            <w:r>
              <w:rPr>
                <w:rFonts w:hint="eastAsia" w:ascii="仿宋" w:hAnsi="仿宋" w:eastAsia="仿宋"/>
              </w:rPr>
              <w:t>正科级</w:t>
            </w:r>
          </w:p>
        </w:tc>
        <w:tc>
          <w:tcPr>
            <w:tcW w:w="2880" w:type="dxa"/>
            <w:noWrap w:val="0"/>
            <w:vAlign w:val="center"/>
          </w:tcPr>
          <w:p w14:paraId="3EABDF24">
            <w:pPr>
              <w:spacing w:line="300" w:lineRule="exact"/>
              <w:jc w:val="center"/>
              <w:rPr>
                <w:rFonts w:hint="eastAsia" w:ascii="仿宋" w:hAnsi="仿宋" w:eastAsia="仿宋" w:cs="Times New Roman"/>
                <w:szCs w:val="24"/>
                <w:lang w:eastAsia="zh-CN"/>
              </w:rPr>
            </w:pPr>
            <w:r>
              <w:rPr>
                <w:rFonts w:hint="eastAsia" w:ascii="仿宋" w:hAnsi="仿宋" w:eastAsia="仿宋"/>
                <w:lang w:eastAsia="zh-CN"/>
              </w:rPr>
              <w:t>财政拨款</w:t>
            </w:r>
          </w:p>
        </w:tc>
      </w:tr>
    </w:tbl>
    <w:p w14:paraId="6EE95732">
      <w:pPr>
        <w:adjustRightInd w:val="0"/>
        <w:snapToGrid w:val="0"/>
        <w:spacing w:line="560" w:lineRule="exact"/>
        <w:ind w:firstLine="640" w:firstLineChars="200"/>
        <w:rPr>
          <w:rFonts w:hint="eastAsia" w:ascii="楷体" w:hAnsi="楷体" w:eastAsia="楷体" w:cs="楷体_GB2312"/>
          <w:bCs/>
          <w:sz w:val="32"/>
          <w:szCs w:val="32"/>
          <w:lang w:eastAsia="zh-CN"/>
        </w:rPr>
      </w:pPr>
      <w:r>
        <w:rPr>
          <w:rFonts w:hint="eastAsia" w:ascii="楷体" w:hAnsi="楷体" w:eastAsia="楷体" w:cs="楷体_GB2312"/>
          <w:bCs/>
          <w:sz w:val="32"/>
          <w:szCs w:val="32"/>
          <w:lang w:val="en-US" w:eastAsia="zh-CN"/>
        </w:rPr>
        <w:t>3.</w:t>
      </w:r>
      <w:r>
        <w:rPr>
          <w:rFonts w:hint="eastAsia" w:ascii="楷体" w:hAnsi="楷体" w:eastAsia="楷体" w:cs="楷体_GB2312"/>
          <w:bCs/>
          <w:sz w:val="32"/>
          <w:szCs w:val="32"/>
          <w:lang w:eastAsia="zh-CN"/>
        </w:rPr>
        <w:t>人员、资产基本情况</w:t>
      </w:r>
    </w:p>
    <w:p w14:paraId="7C67AA6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县政协办公室为全额财政拨款单位，内设1室4委1中心:办公室、提案委员会、教科文卫委员会。原经济委员会、联谊委员会并入办公室。农业和农村委员会、社会和法制委员会、县政协委员服务中心。县政协机关行政编制 10 名，其中:主席、副主席按有关要求设置。办公室设正副主任各1名，各专门委员会设主任1名。事业编制10名 ，领导职数1名。</w:t>
      </w:r>
    </w:p>
    <w:p w14:paraId="03F27CAA">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highlight w:val="none"/>
        </w:rPr>
        <w:t>截至12月31日，本部门</w:t>
      </w:r>
      <w:r>
        <w:rPr>
          <w:rFonts w:hint="eastAsia" w:ascii="仿宋_GB2312" w:hAnsi="仿宋_GB2312" w:eastAsia="仿宋_GB2312" w:cs="仿宋_GB2312"/>
          <w:color w:val="000000" w:themeColor="text1"/>
          <w:sz w:val="32"/>
          <w:szCs w:val="32"/>
          <w:highlight w:val="none"/>
          <w:lang w:eastAsia="zh-CN"/>
        </w:rPr>
        <w:t>净资产</w:t>
      </w:r>
      <w:r>
        <w:rPr>
          <w:rFonts w:hint="eastAsia" w:ascii="仿宋_GB2312" w:hAnsi="仿宋_GB2312" w:eastAsia="仿宋_GB2312" w:cs="仿宋_GB2312"/>
          <w:color w:val="000000" w:themeColor="text1"/>
          <w:sz w:val="32"/>
          <w:szCs w:val="32"/>
          <w:highlight w:val="none"/>
          <w:lang w:val="en-US" w:eastAsia="zh-CN"/>
        </w:rPr>
        <w:t>62.760126万元</w:t>
      </w:r>
      <w:r>
        <w:rPr>
          <w:rFonts w:hint="eastAsia" w:ascii="仿宋_GB2312" w:hAnsi="仿宋_GB2312" w:eastAsia="仿宋_GB2312" w:cs="仿宋_GB2312"/>
          <w:color w:val="000000" w:themeColor="text1"/>
          <w:sz w:val="32"/>
          <w:szCs w:val="32"/>
          <w:highlight w:val="none"/>
        </w:rPr>
        <w:t>，</w:t>
      </w:r>
      <w:r>
        <w:rPr>
          <w:rFonts w:hint="eastAsia" w:ascii="仿宋_GB2312" w:hAnsi="仿宋_GB2312" w:eastAsia="仿宋_GB2312" w:cs="仿宋_GB2312"/>
          <w:color w:val="000000" w:themeColor="text1"/>
          <w:sz w:val="32"/>
          <w:szCs w:val="32"/>
          <w:highlight w:val="none"/>
          <w:lang w:eastAsia="zh-CN"/>
        </w:rPr>
        <w:t>其中房屋及构筑物</w:t>
      </w:r>
      <w:r>
        <w:rPr>
          <w:rFonts w:hint="eastAsia" w:ascii="仿宋_GB2312" w:hAnsi="仿宋_GB2312" w:eastAsia="仿宋_GB2312" w:cs="仿宋_GB2312"/>
          <w:color w:val="000000" w:themeColor="text1"/>
          <w:sz w:val="32"/>
          <w:szCs w:val="32"/>
          <w:highlight w:val="none"/>
          <w:lang w:val="en-US" w:eastAsia="zh-CN"/>
        </w:rPr>
        <w:t>5.653357万元，</w:t>
      </w:r>
      <w:r>
        <w:rPr>
          <w:rFonts w:hint="eastAsia" w:ascii="仿宋_GB2312" w:hAnsi="仿宋_GB2312" w:eastAsia="仿宋_GB2312" w:cs="仿宋_GB2312"/>
          <w:color w:val="000000" w:themeColor="text1"/>
          <w:sz w:val="32"/>
          <w:szCs w:val="32"/>
          <w:highlight w:val="none"/>
          <w:lang w:eastAsia="zh-CN"/>
        </w:rPr>
        <w:t>通用设备</w:t>
      </w:r>
      <w:r>
        <w:rPr>
          <w:rFonts w:hint="eastAsia" w:ascii="仿宋_GB2312" w:hAnsi="仿宋_GB2312" w:eastAsia="仿宋_GB2312" w:cs="仿宋_GB2312"/>
          <w:color w:val="000000" w:themeColor="text1"/>
          <w:sz w:val="32"/>
          <w:szCs w:val="32"/>
          <w:highlight w:val="none"/>
          <w:lang w:val="en-US" w:eastAsia="zh-CN"/>
        </w:rPr>
        <w:t>40.637338万元，专用设备0万元，家具16.469431万元。</w:t>
      </w:r>
    </w:p>
    <w:p w14:paraId="352A7128">
      <w:pPr>
        <w:numPr>
          <w:ilvl w:val="0"/>
          <w:numId w:val="1"/>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7695ADAE">
      <w:pPr>
        <w:ind w:firstLine="640" w:firstLineChars="200"/>
        <w:rPr>
          <w:rFonts w:hint="eastAsia" w:ascii="楷体" w:hAnsi="楷体" w:eastAsia="楷体" w:cs="仿宋"/>
          <w:b w:val="0"/>
          <w:bCs/>
          <w:sz w:val="32"/>
          <w:szCs w:val="32"/>
          <w:highlight w:val="none"/>
          <w:lang w:eastAsia="zh-CN"/>
        </w:rPr>
      </w:pPr>
      <w:r>
        <w:rPr>
          <w:rFonts w:hint="eastAsia" w:ascii="楷体" w:hAnsi="楷体" w:eastAsia="楷体" w:cs="仿宋"/>
          <w:b w:val="0"/>
          <w:bCs/>
          <w:sz w:val="32"/>
          <w:szCs w:val="32"/>
          <w:highlight w:val="none"/>
          <w:lang w:val="en-US" w:eastAsia="zh-CN"/>
        </w:rPr>
        <w:t>1.</w:t>
      </w:r>
      <w:r>
        <w:rPr>
          <w:rFonts w:hint="eastAsia" w:ascii="楷体" w:hAnsi="楷体" w:eastAsia="楷体" w:cs="仿宋"/>
          <w:b w:val="0"/>
          <w:bCs/>
          <w:sz w:val="32"/>
          <w:szCs w:val="32"/>
          <w:highlight w:val="none"/>
        </w:rPr>
        <w:t>收入</w:t>
      </w:r>
      <w:r>
        <w:rPr>
          <w:rFonts w:hint="eastAsia" w:ascii="楷体" w:hAnsi="楷体" w:eastAsia="楷体" w:cs="仿宋"/>
          <w:b w:val="0"/>
          <w:bCs/>
          <w:sz w:val="32"/>
          <w:szCs w:val="32"/>
          <w:highlight w:val="none"/>
          <w:lang w:eastAsia="zh-CN"/>
        </w:rPr>
        <w:t>情况</w:t>
      </w:r>
    </w:p>
    <w:p w14:paraId="6C72354C">
      <w:pPr>
        <w:ind w:firstLine="640" w:firstLineChars="200"/>
        <w:rPr>
          <w:rFonts w:ascii="仿宋" w:hAnsi="仿宋" w:eastAsia="仿宋" w:cs="仿宋"/>
          <w:sz w:val="32"/>
          <w:szCs w:val="32"/>
        </w:rPr>
      </w:pPr>
      <w:r>
        <w:rPr>
          <w:rFonts w:hint="eastAsia" w:ascii="仿宋" w:hAnsi="仿宋" w:eastAsia="仿宋" w:cs="仿宋"/>
          <w:color w:val="000000" w:themeColor="text1"/>
          <w:sz w:val="32"/>
          <w:szCs w:val="32"/>
          <w:lang w:eastAsia="zh-CN"/>
        </w:rPr>
        <w:t>202</w:t>
      </w:r>
      <w:r>
        <w:rPr>
          <w:rFonts w:hint="eastAsia" w:ascii="仿宋" w:hAnsi="仿宋" w:eastAsia="仿宋" w:cs="仿宋"/>
          <w:color w:val="000000" w:themeColor="text1"/>
          <w:sz w:val="32"/>
          <w:szCs w:val="32"/>
          <w:lang w:val="en-US" w:eastAsia="zh-CN"/>
        </w:rPr>
        <w:t>4</w:t>
      </w:r>
      <w:r>
        <w:rPr>
          <w:rFonts w:hint="eastAsia" w:ascii="仿宋" w:hAnsi="仿宋" w:eastAsia="仿宋" w:cs="仿宋"/>
          <w:color w:val="000000" w:themeColor="text1"/>
          <w:sz w:val="32"/>
          <w:szCs w:val="32"/>
        </w:rPr>
        <w:t>年预</w:t>
      </w:r>
      <w:r>
        <w:rPr>
          <w:rFonts w:hint="eastAsia" w:ascii="仿宋" w:hAnsi="仿宋" w:eastAsia="仿宋" w:cs="仿宋"/>
          <w:color w:val="000000" w:themeColor="text1"/>
          <w:sz w:val="32"/>
          <w:szCs w:val="32"/>
          <w:lang w:eastAsia="zh-CN"/>
        </w:rPr>
        <w:t>决</w:t>
      </w:r>
      <w:r>
        <w:rPr>
          <w:rFonts w:hint="eastAsia" w:ascii="仿宋" w:hAnsi="仿宋" w:eastAsia="仿宋" w:cs="仿宋"/>
          <w:color w:val="000000" w:themeColor="text1"/>
          <w:sz w:val="32"/>
          <w:szCs w:val="32"/>
        </w:rPr>
        <w:t>算收入</w:t>
      </w:r>
      <w:r>
        <w:rPr>
          <w:rFonts w:hint="eastAsia" w:ascii="仿宋" w:hAnsi="仿宋" w:eastAsia="仿宋" w:cs="仿宋"/>
          <w:color w:val="000000" w:themeColor="text1"/>
          <w:sz w:val="32"/>
          <w:szCs w:val="32"/>
          <w:lang w:val="en-US" w:eastAsia="zh-CN"/>
        </w:rPr>
        <w:t>587.67</w:t>
      </w:r>
      <w:r>
        <w:rPr>
          <w:rFonts w:hint="eastAsia" w:ascii="仿宋" w:hAnsi="仿宋" w:eastAsia="仿宋" w:cs="仿宋"/>
          <w:sz w:val="32"/>
          <w:szCs w:val="32"/>
          <w:lang w:val="en-US" w:eastAsia="zh-CN"/>
        </w:rPr>
        <w:t>1218</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587.671218</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万元，国有资本经营预算收入0万元，财政专户核拨收入0万元，其他来源收入0万元。</w:t>
      </w:r>
    </w:p>
    <w:p w14:paraId="65379599">
      <w:pPr>
        <w:ind w:firstLine="640" w:firstLineChars="200"/>
        <w:rPr>
          <w:rFonts w:hint="eastAsia" w:ascii="楷体" w:hAnsi="楷体" w:eastAsia="楷体" w:cs="仿宋"/>
          <w:b w:val="0"/>
          <w:bCs/>
          <w:sz w:val="32"/>
          <w:szCs w:val="32"/>
          <w:lang w:eastAsia="zh-CN"/>
        </w:rPr>
      </w:pPr>
      <w:r>
        <w:rPr>
          <w:rFonts w:hint="eastAsia" w:ascii="楷体" w:hAnsi="楷体" w:eastAsia="楷体" w:cs="仿宋"/>
          <w:b w:val="0"/>
          <w:bCs/>
          <w:sz w:val="32"/>
          <w:szCs w:val="32"/>
          <w:lang w:val="en-US" w:eastAsia="zh-CN"/>
        </w:rPr>
        <w:t>2.</w:t>
      </w:r>
      <w:r>
        <w:rPr>
          <w:rFonts w:hint="eastAsia" w:ascii="楷体" w:hAnsi="楷体" w:eastAsia="楷体" w:cs="仿宋"/>
          <w:b w:val="0"/>
          <w:bCs/>
          <w:sz w:val="32"/>
          <w:szCs w:val="32"/>
        </w:rPr>
        <w:t>支出</w:t>
      </w:r>
      <w:r>
        <w:rPr>
          <w:rFonts w:hint="eastAsia" w:ascii="楷体" w:hAnsi="楷体" w:eastAsia="楷体" w:cs="仿宋"/>
          <w:b w:val="0"/>
          <w:bCs/>
          <w:sz w:val="32"/>
          <w:szCs w:val="32"/>
          <w:lang w:eastAsia="zh-CN"/>
        </w:rPr>
        <w:t>情况</w:t>
      </w:r>
    </w:p>
    <w:p w14:paraId="1B7BE4D0">
      <w:pPr>
        <w:ind w:firstLine="640" w:firstLineChars="200"/>
        <w:rPr>
          <w:rFonts w:hint="eastAsia" w:ascii="楷体_GB2312" w:hAnsi="楷体_GB2312" w:eastAsia="楷体_GB2312" w:cs="楷体_GB2312"/>
          <w:bCs/>
          <w:sz w:val="32"/>
          <w:szCs w:val="32"/>
        </w:rPr>
      </w:pPr>
      <w:r>
        <w:rPr>
          <w:rFonts w:hint="eastAsia" w:ascii="仿宋" w:hAnsi="仿宋" w:eastAsia="仿宋" w:cs="仿宋"/>
          <w:color w:val="000000" w:themeColor="text1"/>
          <w:sz w:val="32"/>
          <w:szCs w:val="32"/>
          <w:lang w:eastAsia="zh-CN"/>
        </w:rPr>
        <w:t>202</w:t>
      </w:r>
      <w:r>
        <w:rPr>
          <w:rFonts w:hint="eastAsia" w:ascii="仿宋" w:hAnsi="仿宋" w:eastAsia="仿宋" w:cs="仿宋"/>
          <w:color w:val="000000" w:themeColor="text1"/>
          <w:sz w:val="32"/>
          <w:szCs w:val="32"/>
          <w:lang w:val="en-US" w:eastAsia="zh-CN"/>
        </w:rPr>
        <w:t>4</w:t>
      </w:r>
      <w:r>
        <w:rPr>
          <w:rFonts w:hint="eastAsia" w:ascii="仿宋" w:hAnsi="仿宋" w:eastAsia="仿宋" w:cs="仿宋"/>
          <w:color w:val="000000" w:themeColor="text1"/>
          <w:sz w:val="32"/>
          <w:szCs w:val="32"/>
        </w:rPr>
        <w:t>年支出预</w:t>
      </w:r>
      <w:r>
        <w:rPr>
          <w:rFonts w:hint="eastAsia" w:ascii="仿宋" w:hAnsi="仿宋" w:eastAsia="仿宋" w:cs="仿宋"/>
          <w:color w:val="000000" w:themeColor="text1"/>
          <w:sz w:val="32"/>
          <w:szCs w:val="32"/>
          <w:lang w:eastAsia="zh-CN"/>
        </w:rPr>
        <w:t>决</w:t>
      </w:r>
      <w:r>
        <w:rPr>
          <w:rFonts w:hint="eastAsia" w:ascii="仿宋" w:hAnsi="仿宋" w:eastAsia="仿宋" w:cs="仿宋"/>
          <w:color w:val="000000" w:themeColor="text1"/>
          <w:sz w:val="32"/>
          <w:szCs w:val="32"/>
        </w:rPr>
        <w:t>算</w:t>
      </w:r>
      <w:r>
        <w:rPr>
          <w:rFonts w:hint="eastAsia" w:ascii="仿宋" w:hAnsi="仿宋" w:eastAsia="仿宋" w:cs="仿宋"/>
          <w:color w:val="000000" w:themeColor="text1"/>
          <w:sz w:val="32"/>
          <w:szCs w:val="32"/>
          <w:lang w:val="en-US" w:eastAsia="zh-CN"/>
        </w:rPr>
        <w:t>58</w:t>
      </w:r>
      <w:r>
        <w:rPr>
          <w:rFonts w:hint="eastAsia" w:ascii="仿宋" w:hAnsi="仿宋" w:eastAsia="仿宋" w:cs="仿宋"/>
          <w:sz w:val="32"/>
          <w:szCs w:val="32"/>
          <w:lang w:val="en-US" w:eastAsia="zh-CN"/>
        </w:rPr>
        <w:t>7.671218</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449.797001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372.697001</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77.1</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137.874217</w:t>
      </w:r>
      <w:r>
        <w:rPr>
          <w:rFonts w:hint="eastAsia" w:ascii="仿宋" w:hAnsi="仿宋" w:eastAsia="仿宋" w:cs="仿宋"/>
          <w:sz w:val="32"/>
          <w:szCs w:val="32"/>
        </w:rPr>
        <w:t>万元，主要为：</w:t>
      </w:r>
      <w:r>
        <w:rPr>
          <w:rFonts w:hint="eastAsia" w:ascii="仿宋" w:hAnsi="仿宋" w:eastAsia="仿宋" w:cs="仿宋"/>
          <w:sz w:val="32"/>
          <w:szCs w:val="32"/>
          <w:lang w:val="en-US" w:eastAsia="zh-CN"/>
        </w:rPr>
        <w:t>文史工作和史志工作经费（县安排）</w:t>
      </w:r>
      <w:r>
        <w:rPr>
          <w:rFonts w:hint="eastAsia" w:ascii="仿宋" w:hAnsi="仿宋" w:eastAsia="仿宋" w:cs="仿宋"/>
          <w:sz w:val="32"/>
          <w:szCs w:val="32"/>
        </w:rPr>
        <w:t>、</w:t>
      </w:r>
      <w:r>
        <w:rPr>
          <w:rFonts w:hint="eastAsia" w:ascii="仿宋" w:hAnsi="仿宋" w:eastAsia="仿宋" w:cs="仿宋"/>
          <w:sz w:val="32"/>
          <w:szCs w:val="32"/>
          <w:lang w:val="en-US" w:eastAsia="zh-CN"/>
        </w:rPr>
        <w:t>宣传教育及培训工作经费（县安排）</w:t>
      </w:r>
      <w:r>
        <w:rPr>
          <w:rFonts w:hint="eastAsia" w:ascii="仿宋" w:hAnsi="仿宋" w:eastAsia="仿宋" w:cs="仿宋"/>
          <w:sz w:val="32"/>
          <w:szCs w:val="32"/>
          <w:lang w:eastAsia="zh-CN"/>
        </w:rPr>
        <w:t>，会议费（县安排）等</w:t>
      </w:r>
      <w:r>
        <w:rPr>
          <w:rFonts w:hint="eastAsia" w:ascii="仿宋" w:hAnsi="仿宋" w:eastAsia="仿宋" w:cs="仿宋"/>
          <w:sz w:val="32"/>
          <w:szCs w:val="32"/>
        </w:rPr>
        <w:t>。</w:t>
      </w:r>
    </w:p>
    <w:p w14:paraId="4154947E">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188FF450">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1.发挥委员作用，深入调查研究，为县委、县政府科学决策提供参考。</w:t>
      </w:r>
    </w:p>
    <w:p w14:paraId="2788F565">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2.保障主席会议、常委会会议、政协全会等各项会议顺利召开，确保政协工作顺利开展。</w:t>
      </w:r>
    </w:p>
    <w:p w14:paraId="4AD4924D">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3.确保县政协换届选举工作顺利完成及委员参政议政、协商、监督职能的有序开展。</w:t>
      </w:r>
    </w:p>
    <w:p w14:paraId="56467FD0">
      <w:pPr>
        <w:adjustRightInd w:val="0"/>
        <w:snapToGrid w:val="0"/>
        <w:spacing w:line="560" w:lineRule="exact"/>
        <w:ind w:firstLine="640" w:firstLineChars="200"/>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4.积极宣传政协工作，提高政协组织和广大政协委员的社会影响力，加强对外联系交流，促进政协工作有效开展。</w:t>
      </w:r>
    </w:p>
    <w:p w14:paraId="6DD844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64F0CC">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26A0C611">
      <w:pPr>
        <w:spacing w:line="560" w:lineRule="exact"/>
        <w:ind w:firstLine="640"/>
        <w:rPr>
          <w:rFonts w:hint="eastAsia" w:ascii="仿宋" w:hAnsi="仿宋" w:eastAsia="仿宋"/>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我单位成立了绩效自评工作小组，全面负责绩效自评的组织领导和统筹协调。财务科室负责自评工作的日常组织实施，确保自评工作有序推进。</w:t>
      </w:r>
    </w:p>
    <w:p w14:paraId="78FE840C">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37139D47">
      <w:pPr>
        <w:spacing w:line="560" w:lineRule="exact"/>
        <w:ind w:firstLine="640"/>
        <w:rPr>
          <w:rFonts w:hint="eastAsia" w:ascii="仿宋" w:hAnsi="仿宋" w:eastAsia="仿宋"/>
          <w:sz w:val="32"/>
          <w:szCs w:val="32"/>
          <w:lang w:eastAsia="zh-CN"/>
        </w:rPr>
      </w:pPr>
      <w:r>
        <w:rPr>
          <w:rFonts w:hint="eastAsia" w:ascii="仿宋" w:hAnsi="仿宋" w:eastAsia="仿宋"/>
          <w:sz w:val="32"/>
          <w:szCs w:val="32"/>
          <w:lang w:eastAsia="zh-CN"/>
        </w:rPr>
        <w:t>1.准备阶段:组织召开绩效自评工作动员部署会，明确自评工作的目标、任务、要求和时间节点。同时，收集整理与项目相关的政策文件、预算批复、项目实施方案、资金使用凭证等资料，为自评工作提供基础支撑。</w:t>
      </w:r>
    </w:p>
    <w:p w14:paraId="18F0FC88">
      <w:pPr>
        <w:spacing w:line="560" w:lineRule="exact"/>
        <w:ind w:firstLine="640"/>
        <w:rPr>
          <w:rFonts w:hint="eastAsia" w:ascii="仿宋" w:hAnsi="仿宋" w:eastAsia="仿宋"/>
          <w:sz w:val="32"/>
          <w:szCs w:val="32"/>
          <w:lang w:eastAsia="zh-CN"/>
        </w:rPr>
      </w:pPr>
      <w:r>
        <w:rPr>
          <w:rFonts w:hint="eastAsia" w:ascii="仿宋" w:hAnsi="仿宋" w:eastAsia="仿宋"/>
          <w:sz w:val="32"/>
          <w:szCs w:val="32"/>
          <w:lang w:eastAsia="zh-CN"/>
        </w:rPr>
        <w:t>2.自评阶段:各委室按照自评指标体系，结合项目实际实施情况，对项目的决策、过程、产出和效益等方面进行全面客观的自我评价，内容包括项目基本情况、绩效目标完成情况、存在问题及改进措施等。</w:t>
      </w:r>
    </w:p>
    <w:p w14:paraId="1D4ED087">
      <w:pPr>
        <w:spacing w:line="560" w:lineRule="exact"/>
        <w:ind w:firstLine="640"/>
        <w:rPr>
          <w:rFonts w:hint="eastAsia" w:ascii="仿宋" w:hAnsi="仿宋" w:eastAsia="仿宋"/>
          <w:sz w:val="32"/>
          <w:szCs w:val="32"/>
          <w:lang w:eastAsia="zh-CN"/>
        </w:rPr>
      </w:pPr>
      <w:r>
        <w:rPr>
          <w:rFonts w:hint="eastAsia" w:ascii="仿宋" w:hAnsi="仿宋" w:eastAsia="仿宋"/>
          <w:sz w:val="32"/>
          <w:szCs w:val="32"/>
          <w:lang w:eastAsia="zh-CN"/>
        </w:rPr>
        <w:t>3.审核阶段:绩效自评工作领导小组办公室对各业务科室提交的自评报告进行审核，重点审核自评的真实性、准确性以及自评得分的合理性。</w:t>
      </w:r>
    </w:p>
    <w:p w14:paraId="76146DFE">
      <w:pPr>
        <w:spacing w:line="560" w:lineRule="exact"/>
        <w:ind w:firstLine="640"/>
        <w:rPr>
          <w:rFonts w:hint="eastAsia" w:ascii="楷体_GB2312" w:hAnsi="楷体_GB2312" w:eastAsia="楷体_GB2312" w:cs="楷体_GB2312"/>
          <w:bCs/>
          <w:sz w:val="32"/>
          <w:szCs w:val="32"/>
        </w:rPr>
      </w:pPr>
      <w:r>
        <w:rPr>
          <w:rFonts w:hint="eastAsia" w:ascii="仿宋" w:hAnsi="仿宋" w:eastAsia="仿宋"/>
          <w:sz w:val="32"/>
          <w:szCs w:val="32"/>
          <w:lang w:eastAsia="zh-CN"/>
        </w:rPr>
        <w:t>4.汇总阶段:在各业务科室自评审核通过的基础上，财务科室对所有项目的自评结果进行汇总分析，形成本单位的绩效自评报告，并上报上级主管部门和财政部门。</w:t>
      </w:r>
    </w:p>
    <w:p w14:paraId="44DEF65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F57B3B9">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4A00780F">
      <w:pPr>
        <w:spacing w:line="500" w:lineRule="exact"/>
        <w:ind w:firstLine="640" w:firstLineChars="200"/>
        <w:jc w:val="left"/>
        <w:rPr>
          <w:rFonts w:hint="eastAsia" w:ascii="仿宋" w:hAnsi="仿宋" w:eastAsia="仿宋" w:cs="仿宋"/>
          <w:color w:val="0000FF"/>
          <w:sz w:val="32"/>
          <w:szCs w:val="32"/>
        </w:rPr>
      </w:pPr>
      <w:r>
        <w:rPr>
          <w:rFonts w:hint="eastAsia" w:ascii="仿宋" w:hAnsi="仿宋" w:eastAsia="仿宋" w:cs="仿宋"/>
          <w:sz w:val="32"/>
          <w:szCs w:val="32"/>
          <w:lang w:eastAsia="zh-CN"/>
        </w:rPr>
        <w:t>第一针对</w:t>
      </w:r>
      <w:r>
        <w:rPr>
          <w:rFonts w:hint="eastAsia" w:ascii="仿宋" w:hAnsi="仿宋" w:eastAsia="仿宋" w:cs="Times New Roman"/>
          <w:sz w:val="32"/>
          <w:szCs w:val="32"/>
          <w:lang w:eastAsia="zh-CN"/>
        </w:rPr>
        <w:t>文史工作和史志工作</w:t>
      </w:r>
      <w:r>
        <w:rPr>
          <w:rFonts w:hint="eastAsia" w:ascii="仿宋" w:hAnsi="仿宋" w:eastAsia="仿宋" w:cs="Times New Roman"/>
          <w:sz w:val="32"/>
          <w:szCs w:val="32"/>
          <w:lang w:val="en-US" w:eastAsia="zh-CN"/>
        </w:rPr>
        <w:t>，以抢救性文史资料挖掘为先期重点，不断推进文史史志工作全面开展,努力提高全县文史史志工作科学化、系统化、规范化水平；第二针对政协委员视察和考察活动,围绕县委、县政府中心工作要点建言献策,把视察和考察的收获运用到参政议政工作中，为赞皇发展贡献智慧和力量</w:t>
      </w:r>
      <w:r>
        <w:rPr>
          <w:rFonts w:hint="eastAsia" w:ascii="仿宋" w:hAnsi="仿宋" w:eastAsia="仿宋" w:cs="Times New Roman"/>
          <w:sz w:val="32"/>
          <w:szCs w:val="32"/>
          <w:lang w:eastAsia="zh-CN"/>
        </w:rPr>
        <w:t>；第三针对</w:t>
      </w:r>
      <w:r>
        <w:rPr>
          <w:rFonts w:hint="eastAsia" w:ascii="仿宋" w:hAnsi="仿宋" w:eastAsia="仿宋" w:cs="Times New Roman"/>
          <w:sz w:val="32"/>
          <w:szCs w:val="32"/>
          <w:lang w:val="en-US" w:eastAsia="zh-CN"/>
        </w:rPr>
        <w:t>宣传教育及培训工作,进一步加大对委员的培训教育工作，扩展委员履职工作视野，提高政协理论水平；第四针对会议工作，保障会议顺利进行。还有其他政协负责的工作，均实现顺利开展。</w:t>
      </w:r>
    </w:p>
    <w:p w14:paraId="2CED2440">
      <w:pPr>
        <w:spacing w:line="560" w:lineRule="exact"/>
        <w:rPr>
          <w:rFonts w:hint="eastAsia" w:ascii="楷体" w:hAnsi="楷体" w:eastAsia="楷体_GB2312"/>
          <w:bCs/>
          <w:color w:val="000000" w:themeColor="text1"/>
          <w:sz w:val="32"/>
          <w:szCs w:val="32"/>
          <w:lang w:val="en-US" w:eastAsia="zh-CN"/>
        </w:rPr>
      </w:pPr>
      <w:r>
        <w:rPr>
          <w:rFonts w:hint="eastAsia" w:ascii="仿宋" w:hAnsi="仿宋" w:eastAsia="仿宋" w:cs="楷体_GB2312"/>
          <w:b/>
          <w:bCs/>
          <w:sz w:val="32"/>
          <w:szCs w:val="32"/>
        </w:rPr>
        <w:t xml:space="preserve">    </w:t>
      </w:r>
      <w:r>
        <w:rPr>
          <w:rFonts w:hint="eastAsia" w:ascii="楷体_GB2312" w:hAnsi="楷体_GB2312" w:eastAsia="楷体_GB2312" w:cs="楷体_GB2312"/>
          <w:bCs/>
          <w:color w:val="000000" w:themeColor="text1"/>
          <w:sz w:val="32"/>
          <w:szCs w:val="32"/>
        </w:rPr>
        <w:t>（二）分项绩效目标实现情况及指标分析</w:t>
      </w:r>
    </w:p>
    <w:p w14:paraId="3EB6BBCB">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1.政治会议工作</w:t>
      </w:r>
    </w:p>
    <w:p w14:paraId="33AEF295">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绩效目标：通过召开政治协商类会议，规范会议程序，提高会议质量，加强委员素质培训，提高委员政治协商水平。</w:t>
      </w:r>
    </w:p>
    <w:p w14:paraId="66A684BF">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绩效指标：年度召开的协商议政类会议1次；年度政协委员提出的提案数≧140条；会议实际到会人数与应到会人数的比例≧95%</w:t>
      </w:r>
    </w:p>
    <w:p w14:paraId="118E8CD6">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2.民主监督工作</w:t>
      </w:r>
    </w:p>
    <w:p w14:paraId="54D35564">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有效履行民主监督职责，进行政治监督绩效目标是完善民主监督机制，畅通民主监督渠道，加强工作协调配合，提高民主监督的质量和成效。提出建议协助政府工作。建立和完善民主监督制度，集思广益。绩效指标：委员实际参与活动人数占应参与活动人数的比例≧80%；公众对监督成果转化落实的满意率≧92%</w:t>
      </w:r>
    </w:p>
    <w:p w14:paraId="31718D3F">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3.参政议政活动</w:t>
      </w:r>
    </w:p>
    <w:p w14:paraId="3E79B73B">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绩效目标：委员参与与提案及社情民意采集，对政治、经济、文化和社会生活中的重要问题以及人民群众普遍关心的问题开展讨论。</w:t>
      </w:r>
    </w:p>
    <w:p w14:paraId="3B70E2EF">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绩效指标：委员年度内已完成的提案交办数量占提案总量的比例≧98%；社情民意信息反映数量占采集数量的比例≧80%</w:t>
      </w:r>
    </w:p>
    <w:p w14:paraId="08D37DD9">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4.调查研究活动</w:t>
      </w:r>
    </w:p>
    <w:p w14:paraId="3ECBF9E1">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绩效目标：开展调查研究，进行协商讨论，以研究报告、建议案或其他形式向党委政府提出意见和建议。绩效指标：全年组织调研次数≧8次；调研结果和政策建议采纳数量≧6件；</w:t>
      </w:r>
    </w:p>
    <w:p w14:paraId="4FABC7C2">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5.政协其他事务</w:t>
      </w:r>
    </w:p>
    <w:p w14:paraId="764E7C60">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绩效目标：编制政协内刊和文史资料</w:t>
      </w:r>
    </w:p>
    <w:p w14:paraId="6794CEC5">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绩效指标：年度内政协内刊和文史丛书实际完成量占计划量的比例=100%</w:t>
      </w:r>
    </w:p>
    <w:p w14:paraId="1EFFD1BF">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6.宣传教育工作</w:t>
      </w:r>
    </w:p>
    <w:p w14:paraId="3DC4B4FD">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绩效目标：委员培训宣传教育班</w:t>
      </w:r>
    </w:p>
    <w:p w14:paraId="73F5041E">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绩效指标：年度开办委员培训班≧3次；委员考核通过人数占参加培训人数的百分比=100%</w:t>
      </w:r>
    </w:p>
    <w:p w14:paraId="00E38529">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7.提案工作</w:t>
      </w:r>
    </w:p>
    <w:p w14:paraId="387F7E0B">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绩效目标：政协提交提案和提案交办工作</w:t>
      </w:r>
    </w:p>
    <w:p w14:paraId="628F2744">
      <w:pPr>
        <w:spacing w:line="560" w:lineRule="exact"/>
        <w:ind w:firstLine="800" w:firstLineChars="25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绩效指标：年度政协委员提出的提案数量≧140条，年度内已完成的提案交办数量占提案总量的比例案情况=100%</w:t>
      </w:r>
    </w:p>
    <w:p w14:paraId="21B4321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E0269C7">
      <w:pPr>
        <w:spacing w:line="560" w:lineRule="exact"/>
        <w:ind w:firstLine="640" w:firstLineChars="200"/>
        <w:rPr>
          <w:rFonts w:hint="eastAsia" w:ascii="仿宋_GB2312" w:hAnsi="仿宋_GB2312" w:eastAsia="仿宋_GB2312" w:cs="仿宋_GB2312"/>
          <w:color w:val="000000" w:themeColor="text1"/>
          <w:sz w:val="32"/>
          <w:szCs w:val="32"/>
          <w:lang w:eastAsia="zh-CN"/>
        </w:rPr>
      </w:pPr>
      <w:r>
        <w:rPr>
          <w:rFonts w:hint="eastAsia" w:ascii="仿宋_GB2312" w:hAnsi="仿宋_GB2312" w:eastAsia="仿宋_GB2312" w:cs="仿宋_GB2312"/>
          <w:sz w:val="32"/>
          <w:szCs w:val="32"/>
        </w:rPr>
        <w:t>根据部门职责定位和各项工作履职情况进行综合评价，得出</w:t>
      </w:r>
      <w:r>
        <w:rPr>
          <w:rFonts w:hint="eastAsia" w:ascii="仿宋_GB2312" w:hAnsi="仿宋_GB2312" w:eastAsia="仿宋_GB2312" w:cs="仿宋_GB2312"/>
          <w:color w:val="000000" w:themeColor="text1"/>
          <w:sz w:val="32"/>
          <w:szCs w:val="32"/>
        </w:rPr>
        <w:t>本部门总得分为9</w:t>
      </w:r>
      <w:r>
        <w:rPr>
          <w:rFonts w:hint="eastAsia" w:ascii="仿宋_GB2312" w:hAnsi="仿宋_GB2312" w:eastAsia="仿宋_GB2312" w:cs="仿宋_GB2312"/>
          <w:color w:val="000000" w:themeColor="text1"/>
          <w:sz w:val="32"/>
          <w:szCs w:val="32"/>
          <w:lang w:val="en-US" w:eastAsia="zh-CN"/>
        </w:rPr>
        <w:t>9</w:t>
      </w:r>
      <w:r>
        <w:rPr>
          <w:rFonts w:hint="eastAsia" w:ascii="仿宋_GB2312" w:hAnsi="仿宋_GB2312" w:eastAsia="仿宋_GB2312" w:cs="仿宋_GB2312"/>
          <w:color w:val="000000" w:themeColor="text1"/>
          <w:sz w:val="32"/>
          <w:szCs w:val="32"/>
        </w:rPr>
        <w:t>分，优秀</w:t>
      </w:r>
      <w:r>
        <w:rPr>
          <w:rFonts w:hint="eastAsia" w:ascii="仿宋_GB2312" w:hAnsi="仿宋_GB2312" w:eastAsia="仿宋_GB2312" w:cs="仿宋_GB2312"/>
          <w:color w:val="000000" w:themeColor="text1"/>
          <w:sz w:val="32"/>
          <w:szCs w:val="32"/>
          <w:lang w:eastAsia="zh-CN"/>
        </w:rPr>
        <w:t>。</w:t>
      </w:r>
    </w:p>
    <w:p w14:paraId="002EDE3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69CA613">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4812DC3F">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总体上我单位能够根据年初工作规划和重点工作，加强预算收支管理，建立健全内部管理制度，梳理内部管理流程，使部门整体支出管理情况得到提升，较好完成年度工作任务，但部门在绩效目标细化、资产管理等方面仍有待完善。</w:t>
      </w:r>
    </w:p>
    <w:p w14:paraId="4C000658">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44523054">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1.科学合理编制预算。进一步提高预算管理意识，严格按照预算编制的相关制度和要求开展预算编制，提高预算编制的精细化、合理化程度。</w:t>
      </w:r>
    </w:p>
    <w:p w14:paraId="5AEFCE40">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2.加强资金管理，保证项目资金使用管理的规范性、安全性和有效性。</w:t>
      </w:r>
    </w:p>
    <w:p w14:paraId="12DE8BA6">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3.科学设立绩效目标。仔细研究项目情况，结合单位实际，制定更加合理、更加易于考核量化的目标，更好的开展项目绩效工作。</w:t>
      </w:r>
    </w:p>
    <w:p w14:paraId="2D77F15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39C4D5E">
      <w:pPr>
        <w:pStyle w:val="5"/>
        <w:ind w:left="0" w:leftChars="0"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组长：张政杰</w:t>
      </w:r>
      <w:r>
        <w:rPr>
          <w:rFonts w:hint="eastAsia" w:ascii="仿宋" w:hAnsi="仿宋" w:eastAsia="仿宋"/>
          <w:sz w:val="32"/>
          <w:szCs w:val="32"/>
          <w:lang w:val="en-US" w:eastAsia="zh-CN"/>
        </w:rPr>
        <w:t xml:space="preserve">   政协办    办公室副主任</w:t>
      </w:r>
    </w:p>
    <w:p w14:paraId="71A2447D">
      <w:pPr>
        <w:pStyle w:val="5"/>
        <w:ind w:left="0" w:leftChars="0"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组员：王彦宾</w:t>
      </w:r>
      <w:r>
        <w:rPr>
          <w:rFonts w:hint="eastAsia" w:ascii="仿宋" w:hAnsi="仿宋" w:eastAsia="仿宋"/>
          <w:sz w:val="32"/>
          <w:szCs w:val="32"/>
          <w:lang w:val="en-US" w:eastAsia="zh-CN"/>
        </w:rPr>
        <w:t xml:space="preserve">   政协办    三级主任科员</w:t>
      </w:r>
    </w:p>
    <w:p w14:paraId="3FE7A119">
      <w:pPr>
        <w:numPr>
          <w:ilvl w:val="0"/>
          <w:numId w:val="0"/>
        </w:numPr>
        <w:adjustRightInd w:val="0"/>
        <w:snapToGrid w:val="0"/>
        <w:spacing w:line="560" w:lineRule="exact"/>
        <w:rPr>
          <w:rFonts w:hint="eastAsia" w:ascii="黑体" w:hAnsi="黑体" w:eastAsia="黑体"/>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赵梓喧</w:t>
      </w:r>
      <w:r>
        <w:rPr>
          <w:rFonts w:hint="eastAsia" w:ascii="仿宋" w:hAnsi="仿宋" w:eastAsia="仿宋"/>
          <w:sz w:val="32"/>
          <w:szCs w:val="32"/>
          <w:lang w:val="en-US" w:eastAsia="zh-CN"/>
        </w:rPr>
        <w:t xml:space="preserve">   政协办    职员</w:t>
      </w:r>
      <w:bookmarkStart w:id="0" w:name="_GoBack"/>
      <w:bookmarkEnd w:id="0"/>
    </w:p>
    <w:p w14:paraId="338EAEEE">
      <w:pPr>
        <w:spacing w:line="560" w:lineRule="exact"/>
        <w:rPr>
          <w:rFonts w:ascii="仿宋" w:hAnsi="仿宋" w:eastAsia="仿宋"/>
        </w:rPr>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66D304"/>
    <w:multiLevelType w:val="singleLevel"/>
    <w:tmpl w:val="4166D304"/>
    <w:lvl w:ilvl="0" w:tentative="0">
      <w:start w:val="2"/>
      <w:numFmt w:val="chineseCounting"/>
      <w:suff w:val="nothing"/>
      <w:lvlText w:val="（%1）"/>
      <w:lvlJc w:val="left"/>
      <w:rPr>
        <w:rFonts w:hint="eastAsia"/>
      </w:rPr>
    </w:lvl>
  </w:abstractNum>
  <w:abstractNum w:abstractNumId="1">
    <w:nsid w:val="4C74C5E5"/>
    <w:multiLevelType w:val="singleLevel"/>
    <w:tmpl w:val="4C74C5E5"/>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0FB62FE"/>
    <w:rsid w:val="01B104CA"/>
    <w:rsid w:val="02106AB0"/>
    <w:rsid w:val="02B43A28"/>
    <w:rsid w:val="046F331E"/>
    <w:rsid w:val="06052F88"/>
    <w:rsid w:val="07956271"/>
    <w:rsid w:val="09721397"/>
    <w:rsid w:val="0BB63BED"/>
    <w:rsid w:val="0EB97A43"/>
    <w:rsid w:val="0EBD2122"/>
    <w:rsid w:val="0F214EAE"/>
    <w:rsid w:val="11B71E6A"/>
    <w:rsid w:val="1AAF0063"/>
    <w:rsid w:val="1BE140DE"/>
    <w:rsid w:val="22A3331D"/>
    <w:rsid w:val="24713B94"/>
    <w:rsid w:val="248C197D"/>
    <w:rsid w:val="252959AF"/>
    <w:rsid w:val="277A6671"/>
    <w:rsid w:val="292D35B7"/>
    <w:rsid w:val="33EB6CFF"/>
    <w:rsid w:val="35A12947"/>
    <w:rsid w:val="37387040"/>
    <w:rsid w:val="3AAF2DC4"/>
    <w:rsid w:val="3B625C0A"/>
    <w:rsid w:val="3CEE1963"/>
    <w:rsid w:val="416B74F8"/>
    <w:rsid w:val="436B78D3"/>
    <w:rsid w:val="44637187"/>
    <w:rsid w:val="4A1D6781"/>
    <w:rsid w:val="4C9C27FE"/>
    <w:rsid w:val="50E325FB"/>
    <w:rsid w:val="512260B4"/>
    <w:rsid w:val="51D5430E"/>
    <w:rsid w:val="52BD6ACB"/>
    <w:rsid w:val="55537534"/>
    <w:rsid w:val="561A74F1"/>
    <w:rsid w:val="597244E8"/>
    <w:rsid w:val="5EB71C30"/>
    <w:rsid w:val="658E7A69"/>
    <w:rsid w:val="66AF0CE5"/>
    <w:rsid w:val="6AC537CF"/>
    <w:rsid w:val="6B8E6DE6"/>
    <w:rsid w:val="6E5B14A6"/>
    <w:rsid w:val="6F1B3A57"/>
    <w:rsid w:val="711B255E"/>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unhideWhenUsed/>
    <w:qFormat/>
    <w:uiPriority w:val="0"/>
    <w:pPr>
      <w:spacing w:after="120" w:afterLines="0" w:afterAutospacing="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unhideWhenUsed/>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2899</Words>
  <Characters>3056</Characters>
  <Lines>4</Lines>
  <Paragraphs>1</Paragraphs>
  <TotalTime>0</TotalTime>
  <ScaleCrop>false</ScaleCrop>
  <LinksUpToDate>false</LinksUpToDate>
  <CharactersWithSpaces>3106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满城风絮</cp:lastModifiedBy>
  <cp:lastPrinted>2025-04-16T01:49:00Z</cp:lastPrinted>
  <dcterms:modified xsi:type="dcterms:W3CDTF">2025-05-09T08:33:16Z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eyJoZGlkIjoiMzkzMTFjYmZhY2MwMTQwMTVmZWVmYTE1NWY4NDZmNWMiLCJ1c2VySWQiOiIxMTIzNzcyNzU0In0=</vt:lpwstr>
  </property>
</Properties>
</file>