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BD6CA1">
      <w:pPr>
        <w:keepNext w:val="0"/>
        <w:keepLines w:val="0"/>
        <w:pageBreakBefore w:val="0"/>
        <w:widowControl w:val="0"/>
        <w:kinsoku/>
        <w:wordWrap/>
        <w:overflowPunct/>
        <w:topLinePunct w:val="0"/>
        <w:autoSpaceDE/>
        <w:autoSpaceDN/>
        <w:bidi w:val="0"/>
        <w:adjustRightInd w:val="0"/>
        <w:snapToGrid w:val="0"/>
        <w:spacing w:line="570" w:lineRule="exact"/>
        <w:textAlignment w:val="auto"/>
        <w:rPr>
          <w:rFonts w:ascii="仿宋_GB2312" w:eastAsia="仿宋_GB2312"/>
          <w:sz w:val="32"/>
          <w:szCs w:val="32"/>
        </w:rPr>
      </w:pPr>
      <w:r>
        <w:rPr>
          <w:rFonts w:hint="eastAsia" w:ascii="仿宋_GB2312" w:eastAsia="仿宋_GB2312"/>
          <w:sz w:val="32"/>
          <w:szCs w:val="32"/>
        </w:rPr>
        <w:t>附件4</w:t>
      </w:r>
    </w:p>
    <w:p w14:paraId="3FCAB30D">
      <w:pPr>
        <w:keepNext w:val="0"/>
        <w:keepLines w:val="0"/>
        <w:pageBreakBefore w:val="0"/>
        <w:widowControl w:val="0"/>
        <w:kinsoku/>
        <w:wordWrap/>
        <w:overflowPunct/>
        <w:topLinePunct w:val="0"/>
        <w:autoSpaceDE/>
        <w:autoSpaceDN/>
        <w:bidi w:val="0"/>
        <w:spacing w:line="570" w:lineRule="exact"/>
        <w:jc w:val="center"/>
        <w:textAlignment w:val="auto"/>
        <w:rPr>
          <w:rFonts w:ascii="宋体" w:hAnsi="宋体" w:cs="宋体"/>
          <w:b/>
          <w:bCs/>
          <w:sz w:val="44"/>
          <w:szCs w:val="44"/>
        </w:rPr>
      </w:pPr>
    </w:p>
    <w:p w14:paraId="0CF60374">
      <w:pPr>
        <w:keepNext w:val="0"/>
        <w:keepLines w:val="0"/>
        <w:pageBreakBefore w:val="0"/>
        <w:widowControl w:val="0"/>
        <w:kinsoku/>
        <w:wordWrap/>
        <w:overflowPunct/>
        <w:topLinePunct w:val="0"/>
        <w:autoSpaceDE/>
        <w:autoSpaceDN/>
        <w:bidi w:val="0"/>
        <w:spacing w:line="570" w:lineRule="exact"/>
        <w:jc w:val="center"/>
        <w:textAlignment w:val="auto"/>
        <w:rPr>
          <w:rFonts w:ascii="华文楷体" w:eastAsia="华文楷体"/>
          <w:sz w:val="32"/>
          <w:szCs w:val="32"/>
        </w:rPr>
      </w:pPr>
      <w:r>
        <w:rPr>
          <w:rFonts w:hint="eastAsia" w:ascii="宋体" w:hAnsi="宋体" w:cs="宋体"/>
          <w:b/>
          <w:bCs/>
          <w:sz w:val="44"/>
          <w:szCs w:val="44"/>
          <w:lang w:val="en-US" w:eastAsia="zh-CN"/>
        </w:rPr>
        <w:t>县委办</w:t>
      </w: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年度部门整体支出绩效自评报告</w:t>
      </w:r>
    </w:p>
    <w:p w14:paraId="52208C36">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县委</w:t>
      </w:r>
      <w:r>
        <w:rPr>
          <w:rFonts w:hint="eastAsia" w:ascii="仿宋" w:hAnsi="仿宋" w:eastAsia="仿宋"/>
          <w:sz w:val="32"/>
          <w:szCs w:val="32"/>
          <w:lang w:eastAsia="zh-CN"/>
        </w:rPr>
        <w:t>办</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CC038DF">
      <w:pPr>
        <w:keepNext w:val="0"/>
        <w:keepLines w:val="0"/>
        <w:pageBreakBefore w:val="0"/>
        <w:widowControl w:val="0"/>
        <w:kinsoku/>
        <w:wordWrap/>
        <w:overflowPunct/>
        <w:topLinePunct w:val="0"/>
        <w:autoSpaceDE/>
        <w:autoSpaceDN/>
        <w:bidi w:val="0"/>
        <w:adjustRightInd w:val="0"/>
        <w:snapToGrid w:val="0"/>
        <w:spacing w:line="57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493534D">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（一）部门概况</w:t>
      </w:r>
    </w:p>
    <w:p w14:paraId="6669E406">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highlight w:val="none"/>
          <w:lang w:eastAsia="zh-CN"/>
        </w:rPr>
      </w:pPr>
      <w:r>
        <w:rPr>
          <w:rFonts w:hint="eastAsia" w:ascii="楷体" w:hAnsi="楷体" w:eastAsia="楷体" w:cs="楷体_GB2312"/>
          <w:bCs/>
          <w:sz w:val="32"/>
          <w:szCs w:val="32"/>
          <w:highlight w:val="none"/>
          <w:lang w:val="en-US" w:eastAsia="zh-CN"/>
        </w:rPr>
        <w:t>1.</w:t>
      </w:r>
      <w:r>
        <w:rPr>
          <w:rFonts w:hint="eastAsia" w:ascii="楷体" w:hAnsi="楷体" w:eastAsia="楷体" w:cs="楷体_GB2312"/>
          <w:bCs/>
          <w:sz w:val="32"/>
          <w:szCs w:val="32"/>
          <w:highlight w:val="none"/>
          <w:lang w:eastAsia="zh-CN"/>
        </w:rPr>
        <w:t>部门职能</w:t>
      </w:r>
    </w:p>
    <w:p w14:paraId="1E71B931">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根据《中国共产党赞皇县委员会办公室职能配置、内设机构和人员编制规定》，中国共产党赞皇县委员会办公室的主要职责是：</w:t>
      </w:r>
    </w:p>
    <w:p w14:paraId="0D949428">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部门职责 </w:t>
      </w:r>
    </w:p>
    <w:p w14:paraId="20662105">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（一）负责推动党中央和省、市、县委决策部署的落实，按照县委要求协调有关方面开展工作，承担县委运行保障具体事务。</w:t>
      </w:r>
    </w:p>
    <w:p w14:paraId="27B38684">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（二)负责县委和县委办公室文件、领导讲话的起草、修改等工作。</w:t>
      </w:r>
    </w:p>
    <w:p w14:paraId="4CA37010">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(三）围绕党中央和省、市、县委总体工作部署开展调查研</w:t>
      </w:r>
    </w:p>
    <w:p w14:paraId="1D673708">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究，收集和处理信息、反映动态；负责社情民意的搜集、整理和编报工作。</w:t>
      </w:r>
    </w:p>
    <w:p w14:paraId="30188EF7">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（四）围绕县委中心工作，组织力量对经济建设、政治建设、</w:t>
      </w:r>
    </w:p>
    <w:p w14:paraId="663CC445">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文化建设、社会建设，生态文明建设和党的建设等方面的重大问题进行调查研究，提出意见和建议，供县委决策参考；根据县委批示，独立或协同有关部门完成有关重大问题的调研，提出相应对策，供县委决策参考；组织、协调、指导全县的调查研究工作；承担县委县政府决策咨询委员会的日常工作。</w:t>
      </w:r>
    </w:p>
    <w:p w14:paraId="546985B3">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（五）负责县委全会、县委常委会会议和县委其他重要会议</w:t>
      </w:r>
    </w:p>
    <w:p w14:paraId="2AEA42D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的会务工作；负责县委领导参加重大活动和日常工作活动的组织安排；负责县委值班工作；负责编写县委大事记。</w:t>
      </w:r>
    </w:p>
    <w:p w14:paraId="36ECC661">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（六）承担县委履行全面从严治党主体责任相关工作的谋</w:t>
      </w:r>
    </w:p>
    <w:p w14:paraId="1C79ADFB">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划、部署、督导、推动和落实；负责统筹协调和督促全县党务公开工作。</w:t>
      </w:r>
    </w:p>
    <w:p w14:paraId="21173672">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（七)负责县委日常文书处理；负责县委文件和县委办公室</w:t>
      </w:r>
    </w:p>
    <w:p w14:paraId="7DD58977">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代县委行文的审核工作；负责县委制定规范性文件、领导地方立法的服务工作；负责为县委领导提供法律方面的服务工作。</w:t>
      </w:r>
    </w:p>
    <w:p w14:paraId="2C4874A8">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（八)负责省委、省政府和市委、市政府以及全县党政军领</w:t>
      </w:r>
    </w:p>
    <w:p w14:paraId="6277C910">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导机关及要害部门核心机密的传递工作。</w:t>
      </w:r>
    </w:p>
    <w:p w14:paraId="7DEBD75C">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(九)负责组织开展全县全面深化改革重大问题的调查研</w:t>
      </w:r>
    </w:p>
    <w:p w14:paraId="5295FB12">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究，督促、推动各乡(镇)、县直各部门落实县委全面深化改革</w:t>
      </w:r>
    </w:p>
    <w:p w14:paraId="785575BE">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委员会决定事项、工作部署；负责协调提出全县中长期改革规划建议和年度工作要点，对拟出台的涉及重大改革事项的政策性文件进行审核；承办各乡(镇）、县直部门向县委全面深化改革委员会的请示和备案事项，向县委全面深化改革委员会提出建议；承担县委全面深化改革委员会的日常工作，负责提交县委全面深化改革委员会会议研究的议题及相关会议的组织服务工作；负责对乡(镇）、县直各部门全面深化改革工作机构的统筹、协调，督促、检查、推动，并进行年度改革工作考核。</w:t>
      </w:r>
    </w:p>
    <w:p w14:paraId="66013D77">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（十)负责党中央国务院、省委、省政府和市委、市政府以</w:t>
      </w:r>
    </w:p>
    <w:p w14:paraId="46E96D9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及县委、县政府重大决策、重要工作部署、重要会议、主要领导有关批示的督办落实及反馈工作；负责统筹协调全县督查检查考核工作、督查业务培训工作以及重点工作落实情况的跟踪督办考评工作。</w:t>
      </w:r>
    </w:p>
    <w:p w14:paraId="377A1F6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（十一)贯彻落实党中央和省、市、县委关于国家安全工作</w:t>
      </w:r>
    </w:p>
    <w:p w14:paraId="498A60E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的各项决策部署，负责研究提出县委国家安全委员会重点工作安排，收集汇总、整理分析并上报涉及国家安全的情报信息，指导协调有关方面开展国家安全的情报信息，指导协调有关方面开展国家安全风险排查，组织全县国家安全工作督查检查、考评考核工作。</w:t>
      </w:r>
    </w:p>
    <w:p w14:paraId="5C520A80">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（十二)负责全县保密、密码工作发展规划并组织实施，对</w:t>
      </w:r>
    </w:p>
    <w:p w14:paraId="63519A73">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全县保密机要部门实施业务领导；负责全县党政机关及经济、科学等领域保密管理，通信和计算机网络的保密管理，全县核心密码、普通密码的装备、使用和管理工作；负责失泄密事件的查处工作；负责全县党政机关的密码电报、内部明电和密传件的传输管理工作；负责全县电子政务内网，党委系统信息化等建设和管理工作，负责全县密码通信网络的管理工作，负责全县党政专开通信二级网的管理、维护工作；负责全县保密机要干部的教育培训和机要密码干部的考察任用工作；承担县委保密委员会和县密码工作领导小组的日常工作。</w:t>
      </w:r>
    </w:p>
    <w:p w14:paraId="276CE718">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（十三）坚特和加强洗对机关事务工作的集中统一领导。负</w:t>
      </w:r>
    </w:p>
    <w:p w14:paraId="7FAF6E1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质县委、县或府系统机关事务的管理、保障、服务工作，研究拟定县委、县政府系统机关事务管理制度并组织实施，推动具委。县政府机关后勤服务的改革与发展，对县委、县政府系统机关后勤工作进行业务指导。</w:t>
      </w:r>
    </w:p>
    <w:p w14:paraId="5FB6D5FF">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(十四）负责县委、县政府机关办公用房的统一管理。会同</w:t>
      </w:r>
    </w:p>
    <w:p w14:paraId="3B8DC9A3">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有关部门对县级党政机关房地产统一管理，拟订相关管理制度并组织实施；负责县委、县政府机关用房基建项目立项、投资计划的编制、审核报批工作；负责对县委、县政府机关住房、办公用房物业管理的业务指导和监管；审批直接管理的机关房屋修缮项目，监管修缮工程；负责县直党政群体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力公用房管理工作。</w:t>
      </w:r>
    </w:p>
    <w:p w14:paraId="6E168553">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（十五)负责县委、县人大常委会、县政府和县政协机关国</w:t>
      </w:r>
    </w:p>
    <w:p w14:paraId="1543C4DA">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内政务接待工作；保障县领导外出考察参观工作；负责全县党政机关政务接待业务指导工作；负责县委、县政府机关各种会议的服务保障工作；负责县委、县政府机关安全保卫工作，制定机关的安全防范措施。做好机关的警戒和消防管理工作；负责县委、县政府机关通信管理和保障工作。</w:t>
      </w:r>
    </w:p>
    <w:p w14:paraId="1930DC0B">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（十六）负责全县档案事业宏观管理和执法复议、监督指导</w:t>
      </w:r>
    </w:p>
    <w:p w14:paraId="4C30DFA4">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等工作。</w:t>
      </w:r>
    </w:p>
    <w:p w14:paraId="7C444E80">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（十七)负责组织指导、督促检查全县地方志工作。</w:t>
      </w:r>
    </w:p>
    <w:p w14:paraId="2B87AA5B">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（十八）负责县委办公室管理的离退休干部职工的服务工</w:t>
      </w:r>
    </w:p>
    <w:p w14:paraId="692B403E">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作；负责全县文秘干部职工的教育培训工作。</w:t>
      </w:r>
    </w:p>
    <w:p w14:paraId="43042B64">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（十九）完成县委、县政府、县委全面深化改革委员会、县</w:t>
      </w:r>
    </w:p>
    <w:p w14:paraId="06478723">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委保密委员会、县密码工作领导小组交办的其他任务。      </w:t>
      </w:r>
    </w:p>
    <w:p w14:paraId="72A85954">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highlight w:val="none"/>
          <w:lang w:val="en-US" w:eastAsia="zh-CN"/>
        </w:rPr>
      </w:pPr>
      <w:r>
        <w:rPr>
          <w:rFonts w:hint="eastAsia" w:ascii="楷体" w:hAnsi="楷体" w:eastAsia="楷体" w:cs="楷体_GB2312"/>
          <w:bCs/>
          <w:sz w:val="32"/>
          <w:szCs w:val="32"/>
          <w:highlight w:val="none"/>
          <w:lang w:val="en-US" w:eastAsia="zh-CN"/>
        </w:rPr>
        <w:t>2、固定资产情况</w:t>
      </w:r>
    </w:p>
    <w:p w14:paraId="3BB48F22">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赞皇县委办公室（含所属单位）年末固定资产金额为</w:t>
      </w:r>
      <w:r>
        <w:rPr>
          <w:rFonts w:hint="eastAsia" w:ascii="仿宋" w:hAnsi="仿宋" w:eastAsia="仿宋"/>
          <w:sz w:val="32"/>
          <w:szCs w:val="32"/>
          <w:highlight w:val="yellow"/>
          <w:lang w:val="en-US" w:eastAsia="zh-CN"/>
        </w:rPr>
        <w:t>8420223.78元</w:t>
      </w:r>
      <w:r>
        <w:rPr>
          <w:rFonts w:hint="eastAsia" w:ascii="仿宋" w:hAnsi="仿宋" w:eastAsia="仿宋"/>
          <w:sz w:val="32"/>
          <w:szCs w:val="32"/>
          <w:lang w:val="en-US" w:eastAsia="zh-CN"/>
        </w:rPr>
        <w:t>。</w:t>
      </w:r>
    </w:p>
    <w:p w14:paraId="1F11C597">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部门收支预决算情况</w:t>
      </w:r>
    </w:p>
    <w:p w14:paraId="16184662">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楷体" w:hAnsi="楷体" w:eastAsia="楷体" w:cs="仿宋"/>
          <w:b w:val="0"/>
          <w:bCs/>
          <w:sz w:val="32"/>
          <w:szCs w:val="32"/>
          <w:highlight w:val="none"/>
          <w:lang w:eastAsia="zh-CN"/>
        </w:rPr>
      </w:pPr>
      <w:r>
        <w:rPr>
          <w:rFonts w:hint="eastAsia" w:ascii="楷体" w:hAnsi="楷体" w:eastAsia="楷体" w:cs="仿宋"/>
          <w:b w:val="0"/>
          <w:bCs/>
          <w:sz w:val="32"/>
          <w:szCs w:val="32"/>
          <w:highlight w:val="none"/>
          <w:lang w:val="en-US" w:eastAsia="zh-CN"/>
        </w:rPr>
        <w:t>1.</w:t>
      </w:r>
      <w:r>
        <w:rPr>
          <w:rFonts w:hint="eastAsia" w:ascii="楷体" w:hAnsi="楷体" w:eastAsia="楷体" w:cs="仿宋"/>
          <w:b w:val="0"/>
          <w:bCs/>
          <w:sz w:val="32"/>
          <w:szCs w:val="32"/>
          <w:highlight w:val="none"/>
        </w:rPr>
        <w:t>收入</w:t>
      </w:r>
      <w:r>
        <w:rPr>
          <w:rFonts w:hint="eastAsia" w:ascii="楷体" w:hAnsi="楷体" w:eastAsia="楷体" w:cs="仿宋"/>
          <w:b w:val="0"/>
          <w:bCs/>
          <w:sz w:val="32"/>
          <w:szCs w:val="32"/>
          <w:highlight w:val="none"/>
          <w:lang w:eastAsia="zh-CN"/>
        </w:rPr>
        <w:t>情况</w:t>
      </w:r>
    </w:p>
    <w:p w14:paraId="61DB96F8">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w:t>
      </w:r>
      <w:r>
        <w:rPr>
          <w:rFonts w:hint="eastAsia" w:ascii="仿宋" w:hAnsi="仿宋" w:eastAsia="仿宋" w:cs="仿宋"/>
          <w:sz w:val="32"/>
          <w:szCs w:val="32"/>
          <w:lang w:eastAsia="zh-CN"/>
        </w:rPr>
        <w:t>决</w:t>
      </w:r>
      <w:r>
        <w:rPr>
          <w:rFonts w:hint="eastAsia" w:ascii="仿宋" w:hAnsi="仿宋" w:eastAsia="仿宋" w:cs="仿宋"/>
          <w:sz w:val="32"/>
          <w:szCs w:val="32"/>
        </w:rPr>
        <w:t>算收入</w:t>
      </w:r>
      <w:r>
        <w:rPr>
          <w:rFonts w:hint="eastAsia" w:ascii="仿宋" w:hAnsi="仿宋" w:eastAsia="仿宋" w:cs="仿宋"/>
          <w:sz w:val="32"/>
          <w:szCs w:val="32"/>
          <w:highlight w:val="yellow"/>
          <w:lang w:val="en-US" w:eastAsia="zh-CN"/>
        </w:rPr>
        <w:t>11691832.56</w:t>
      </w:r>
      <w:r>
        <w:rPr>
          <w:rFonts w:hint="eastAsia" w:ascii="仿宋" w:hAnsi="仿宋" w:eastAsia="仿宋" w:cs="仿宋"/>
          <w:sz w:val="32"/>
          <w:szCs w:val="32"/>
        </w:rPr>
        <w:t>元，其中：一般公共预算收入</w:t>
      </w:r>
      <w:r>
        <w:rPr>
          <w:rFonts w:hint="eastAsia" w:ascii="仿宋" w:hAnsi="仿宋" w:eastAsia="仿宋" w:cs="仿宋"/>
          <w:sz w:val="32"/>
          <w:szCs w:val="32"/>
          <w:highlight w:val="yellow"/>
          <w:lang w:val="en-US" w:eastAsia="zh-CN"/>
        </w:rPr>
        <w:t>11691832.56</w:t>
      </w:r>
      <w:r>
        <w:rPr>
          <w:rFonts w:hint="eastAsia" w:ascii="仿宋" w:hAnsi="仿宋" w:eastAsia="仿宋" w:cs="仿宋"/>
          <w:sz w:val="32"/>
          <w:szCs w:val="32"/>
        </w:rPr>
        <w:t>元，基金预算收入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万元，国有资本经营预算收入0万元，财政专户核拨收入0万元，其他来源收入0万元。</w:t>
      </w:r>
    </w:p>
    <w:p w14:paraId="35470B0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楷体" w:hAnsi="楷体" w:eastAsia="楷体" w:cs="仿宋"/>
          <w:b w:val="0"/>
          <w:bCs/>
          <w:sz w:val="32"/>
          <w:szCs w:val="32"/>
          <w:lang w:eastAsia="zh-CN"/>
        </w:rPr>
      </w:pPr>
      <w:r>
        <w:rPr>
          <w:rFonts w:hint="eastAsia" w:ascii="楷体" w:hAnsi="楷体" w:eastAsia="楷体" w:cs="仿宋"/>
          <w:b w:val="0"/>
          <w:bCs/>
          <w:sz w:val="32"/>
          <w:szCs w:val="32"/>
          <w:lang w:val="en-US" w:eastAsia="zh-CN"/>
        </w:rPr>
        <w:t>2.</w:t>
      </w:r>
      <w:r>
        <w:rPr>
          <w:rFonts w:hint="eastAsia" w:ascii="楷体" w:hAnsi="楷体" w:eastAsia="楷体" w:cs="仿宋"/>
          <w:b w:val="0"/>
          <w:bCs/>
          <w:sz w:val="32"/>
          <w:szCs w:val="32"/>
        </w:rPr>
        <w:t>支出</w:t>
      </w:r>
      <w:r>
        <w:rPr>
          <w:rFonts w:hint="eastAsia" w:ascii="楷体" w:hAnsi="楷体" w:eastAsia="楷体" w:cs="仿宋"/>
          <w:b w:val="0"/>
          <w:bCs/>
          <w:sz w:val="32"/>
          <w:szCs w:val="32"/>
          <w:lang w:eastAsia="zh-CN"/>
        </w:rPr>
        <w:t>情况</w:t>
      </w:r>
    </w:p>
    <w:p w14:paraId="2DB2CDE7">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楷体" w:hAnsi="楷体" w:eastAsia="楷体" w:cs="楷体_GB2312"/>
          <w:bCs/>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年支出预</w:t>
      </w:r>
      <w:r>
        <w:rPr>
          <w:rFonts w:hint="eastAsia" w:ascii="仿宋" w:hAnsi="仿宋" w:eastAsia="仿宋" w:cs="仿宋"/>
          <w:sz w:val="32"/>
          <w:szCs w:val="32"/>
          <w:lang w:eastAsia="zh-CN"/>
        </w:rPr>
        <w:t>决</w:t>
      </w:r>
      <w:r>
        <w:rPr>
          <w:rFonts w:hint="eastAsia" w:ascii="仿宋" w:hAnsi="仿宋" w:eastAsia="仿宋" w:cs="仿宋"/>
          <w:sz w:val="32"/>
          <w:szCs w:val="32"/>
        </w:rPr>
        <w:t>算</w:t>
      </w:r>
      <w:r>
        <w:rPr>
          <w:rFonts w:hint="eastAsia" w:ascii="仿宋" w:hAnsi="仿宋" w:eastAsia="仿宋" w:cs="仿宋"/>
          <w:sz w:val="32"/>
          <w:szCs w:val="32"/>
          <w:highlight w:val="yellow"/>
          <w:lang w:val="en-US" w:eastAsia="zh-CN"/>
        </w:rPr>
        <w:t>11691832.56</w:t>
      </w:r>
      <w:r>
        <w:rPr>
          <w:rFonts w:hint="eastAsia" w:ascii="仿宋" w:hAnsi="仿宋" w:eastAsia="仿宋" w:cs="仿宋"/>
          <w:sz w:val="32"/>
          <w:szCs w:val="32"/>
        </w:rPr>
        <w:t>元，其中基本支出</w:t>
      </w:r>
      <w:r>
        <w:rPr>
          <w:rFonts w:hint="eastAsia" w:ascii="仿宋" w:hAnsi="仿宋" w:eastAsia="仿宋" w:cs="仿宋"/>
          <w:sz w:val="32"/>
          <w:szCs w:val="32"/>
          <w:highlight w:val="yellow"/>
          <w:lang w:val="en-US" w:eastAsia="zh-CN"/>
        </w:rPr>
        <w:t>10416051.56</w:t>
      </w:r>
      <w:r>
        <w:rPr>
          <w:rFonts w:hint="eastAsia" w:ascii="仿宋" w:hAnsi="仿宋" w:eastAsia="仿宋" w:cs="仿宋"/>
          <w:sz w:val="32"/>
          <w:szCs w:val="32"/>
        </w:rPr>
        <w:t>元，包括人员经费</w:t>
      </w:r>
      <w:r>
        <w:rPr>
          <w:rFonts w:hint="eastAsia" w:ascii="仿宋" w:hAnsi="仿宋" w:eastAsia="仿宋" w:cs="仿宋"/>
          <w:sz w:val="32"/>
          <w:szCs w:val="32"/>
          <w:highlight w:val="yellow"/>
          <w:lang w:val="en-US" w:eastAsia="zh-CN"/>
        </w:rPr>
        <w:t>6667652.04</w:t>
      </w:r>
      <w:r>
        <w:rPr>
          <w:rFonts w:hint="eastAsia" w:ascii="仿宋" w:hAnsi="仿宋" w:eastAsia="仿宋" w:cs="仿宋"/>
          <w:sz w:val="32"/>
          <w:szCs w:val="32"/>
        </w:rPr>
        <w:t>元和日常公用经费</w:t>
      </w:r>
      <w:r>
        <w:rPr>
          <w:rFonts w:hint="eastAsia" w:ascii="仿宋" w:hAnsi="仿宋" w:eastAsia="仿宋" w:cs="仿宋"/>
          <w:sz w:val="32"/>
          <w:szCs w:val="32"/>
          <w:highlight w:val="yellow"/>
          <w:lang w:val="en-US" w:eastAsia="zh-CN"/>
        </w:rPr>
        <w:t>3748399.52</w:t>
      </w:r>
      <w:r>
        <w:rPr>
          <w:rFonts w:hint="eastAsia" w:ascii="仿宋" w:hAnsi="仿宋" w:eastAsia="仿宋" w:cs="仿宋"/>
          <w:sz w:val="32"/>
          <w:szCs w:val="32"/>
        </w:rPr>
        <w:t>元；项目支出</w:t>
      </w:r>
      <w:r>
        <w:rPr>
          <w:rFonts w:hint="eastAsia" w:ascii="仿宋" w:hAnsi="仿宋" w:eastAsia="仿宋" w:cs="仿宋"/>
          <w:sz w:val="32"/>
          <w:szCs w:val="32"/>
          <w:highlight w:val="yellow"/>
          <w:lang w:val="en-US" w:eastAsia="zh-CN"/>
        </w:rPr>
        <w:t>1275781</w:t>
      </w:r>
      <w:r>
        <w:rPr>
          <w:rFonts w:hint="eastAsia" w:ascii="仿宋" w:hAnsi="仿宋" w:eastAsia="仿宋" w:cs="仿宋"/>
          <w:sz w:val="32"/>
          <w:szCs w:val="32"/>
        </w:rPr>
        <w:t>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主要为2024年职工之家更换会议桌椅、2024年“4.15”全民国家安全教育日宣传活动经费、“五四”青年节活动费用等</w:t>
      </w:r>
      <w:r>
        <w:rPr>
          <w:rFonts w:hint="eastAsia" w:ascii="仿宋" w:hAnsi="仿宋" w:eastAsia="仿宋" w:cs="仿宋"/>
          <w:sz w:val="32"/>
          <w:szCs w:val="32"/>
        </w:rPr>
        <w:t>。</w:t>
      </w:r>
    </w:p>
    <w:p w14:paraId="4AD95E35">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14:paraId="54E86D76">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制定绩效评价指标体系。研究建立了单位整体支出、工作活动、预算项目、财政政策绩效评价指标框架体系，为单位整体支出、工作活动 、预算项目和财政政策评价提供了科学规范的指标体系，有效保障了绩效评价工作的顺利开展。</w:t>
      </w:r>
    </w:p>
    <w:p w14:paraId="05FE3A22">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1954C818">
      <w:pPr>
        <w:keepNext w:val="0"/>
        <w:keepLines w:val="0"/>
        <w:pageBreakBefore w:val="0"/>
        <w:widowControl w:val="0"/>
        <w:kinsoku/>
        <w:wordWrap/>
        <w:overflowPunct/>
        <w:topLinePunct w:val="0"/>
        <w:autoSpaceDE/>
        <w:autoSpaceDN/>
        <w:bidi w:val="0"/>
        <w:spacing w:line="570" w:lineRule="exact"/>
        <w:textAlignment w:val="auto"/>
        <w:rPr>
          <w:rFonts w:hint="eastAsia" w:ascii="楷体" w:hAnsi="楷体" w:eastAsia="楷体" w:cs="楷体_GB2312"/>
          <w:bCs/>
          <w:sz w:val="32"/>
          <w:szCs w:val="32"/>
          <w:highlight w:val="none"/>
          <w:lang w:eastAsia="zh-CN"/>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highlight w:val="none"/>
          <w:lang w:eastAsia="zh-CN"/>
        </w:rPr>
        <w:t xml:space="preserve"> （一）自评的组织工作</w:t>
      </w:r>
    </w:p>
    <w:p w14:paraId="3C1B45E6">
      <w:pPr>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楷体_GB2312"/>
          <w:b/>
          <w:bCs/>
          <w:sz w:val="32"/>
          <w:szCs w:val="32"/>
        </w:rPr>
      </w:pPr>
      <w:r>
        <w:rPr>
          <w:rFonts w:hint="eastAsia" w:ascii="仿宋" w:hAnsi="仿宋" w:eastAsia="仿宋" w:cs="楷体_GB2312"/>
          <w:b/>
          <w:bCs/>
          <w:sz w:val="32"/>
          <w:szCs w:val="32"/>
        </w:rPr>
        <w:t xml:space="preserve">    </w:t>
      </w:r>
      <w:r>
        <w:rPr>
          <w:rFonts w:hint="eastAsia" w:ascii="仿宋" w:hAnsi="仿宋" w:eastAsia="仿宋" w:cs="仿宋"/>
          <w:sz w:val="32"/>
          <w:szCs w:val="32"/>
        </w:rPr>
        <w:t xml:space="preserve"> 成立以</w:t>
      </w:r>
      <w:r>
        <w:rPr>
          <w:rFonts w:hint="eastAsia" w:ascii="仿宋" w:hAnsi="仿宋" w:eastAsia="仿宋" w:cs="仿宋"/>
          <w:sz w:val="32"/>
          <w:szCs w:val="32"/>
          <w:lang w:val="en-US" w:eastAsia="zh-CN"/>
        </w:rPr>
        <w:t>县委</w:t>
      </w:r>
      <w:r>
        <w:rPr>
          <w:rFonts w:hint="eastAsia" w:ascii="仿宋" w:hAnsi="仿宋" w:eastAsia="仿宋" w:cs="仿宋"/>
          <w:sz w:val="32"/>
          <w:szCs w:val="32"/>
        </w:rPr>
        <w:t>办公室</w:t>
      </w:r>
      <w:r>
        <w:rPr>
          <w:rFonts w:hint="eastAsia" w:ascii="仿宋" w:hAnsi="仿宋" w:eastAsia="仿宋" w:cs="仿宋"/>
          <w:sz w:val="32"/>
          <w:szCs w:val="32"/>
          <w:lang w:val="en-US" w:eastAsia="zh-CN"/>
        </w:rPr>
        <w:t>常务副</w:t>
      </w:r>
      <w:r>
        <w:rPr>
          <w:rFonts w:hint="eastAsia" w:ascii="仿宋" w:hAnsi="仿宋" w:eastAsia="仿宋" w:cs="仿宋"/>
          <w:sz w:val="32"/>
          <w:szCs w:val="32"/>
        </w:rPr>
        <w:t>主任为组长的领导小组，通过自我评价，评估内部控制的全面性、重要性、制衡性、适应性和有效性，进一步改进和完善内部控制。</w:t>
      </w:r>
    </w:p>
    <w:p w14:paraId="7E9A4C9E">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highlight w:val="none"/>
          <w:lang w:eastAsia="zh-CN"/>
        </w:rPr>
      </w:pPr>
      <w:r>
        <w:rPr>
          <w:rFonts w:hint="eastAsia" w:ascii="楷体" w:hAnsi="楷体" w:eastAsia="楷体" w:cs="楷体_GB2312"/>
          <w:bCs/>
          <w:sz w:val="32"/>
          <w:szCs w:val="32"/>
          <w:highlight w:val="none"/>
          <w:lang w:eastAsia="zh-CN"/>
        </w:rPr>
        <w:t>（</w:t>
      </w:r>
      <w:r>
        <w:rPr>
          <w:rFonts w:hint="eastAsia" w:ascii="楷体" w:hAnsi="楷体" w:eastAsia="楷体" w:cs="楷体_GB2312"/>
          <w:bCs/>
          <w:sz w:val="32"/>
          <w:szCs w:val="32"/>
          <w:highlight w:val="none"/>
          <w:lang w:val="en-US" w:eastAsia="zh-CN"/>
        </w:rPr>
        <w:t>二</w:t>
      </w:r>
      <w:r>
        <w:rPr>
          <w:rFonts w:hint="eastAsia" w:ascii="楷体" w:hAnsi="楷体" w:eastAsia="楷体" w:cs="楷体_GB2312"/>
          <w:bCs/>
          <w:sz w:val="32"/>
          <w:szCs w:val="32"/>
          <w:highlight w:val="none"/>
          <w:lang w:eastAsia="zh-CN"/>
        </w:rPr>
        <w:t>）自评的方法和过程</w:t>
      </w:r>
    </w:p>
    <w:p w14:paraId="7126321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黑体" w:hAnsi="黑体" w:eastAsia="黑体"/>
          <w:sz w:val="32"/>
          <w:szCs w:val="32"/>
        </w:rPr>
      </w:pPr>
      <w:r>
        <w:rPr>
          <w:rFonts w:hint="eastAsia" w:ascii="仿宋" w:hAnsi="仿宋" w:eastAsia="仿宋" w:cs="仿宋"/>
          <w:sz w:val="32"/>
          <w:szCs w:val="32"/>
        </w:rPr>
        <w:t>自评工作领导小组要单位提交年初的预算文本和年终的工作报告，并根据项目支出的有关绩效情况填写《绩效目标自评表》，初步形成自评报告，自评工作领导小组在单位自评报告的基础上，结合项目实施情况开展评价，最后分析原因，提出建议，形成最终的自评价报告。</w:t>
      </w:r>
      <w:r>
        <w:rPr>
          <w:rFonts w:hint="eastAsia" w:ascii="黑体" w:hAnsi="黑体" w:eastAsia="黑体"/>
          <w:sz w:val="32"/>
          <w:szCs w:val="32"/>
        </w:rPr>
        <w:t xml:space="preserve"> </w:t>
      </w:r>
    </w:p>
    <w:p w14:paraId="18931E29">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7CD2827F">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楷体" w:hAnsi="楷体" w:eastAsia="楷体" w:cs="楷体_GB2312"/>
          <w:bCs/>
          <w:sz w:val="32"/>
          <w:szCs w:val="32"/>
          <w:highlight w:val="none"/>
          <w:lang w:eastAsia="zh-CN"/>
        </w:rPr>
      </w:pPr>
      <w:r>
        <w:rPr>
          <w:rFonts w:hint="eastAsia" w:ascii="楷体" w:hAnsi="楷体" w:eastAsia="楷体" w:cs="楷体_GB2312"/>
          <w:bCs/>
          <w:sz w:val="32"/>
          <w:szCs w:val="32"/>
          <w:highlight w:val="none"/>
          <w:lang w:eastAsia="zh-CN"/>
        </w:rPr>
        <w:t>（</w:t>
      </w:r>
      <w:r>
        <w:rPr>
          <w:rFonts w:hint="eastAsia" w:ascii="楷体" w:hAnsi="楷体" w:eastAsia="楷体" w:cs="楷体_GB2312"/>
          <w:bCs/>
          <w:sz w:val="32"/>
          <w:szCs w:val="32"/>
          <w:highlight w:val="none"/>
          <w:lang w:val="en-US" w:eastAsia="zh-CN"/>
        </w:rPr>
        <w:t>一</w:t>
      </w:r>
      <w:r>
        <w:rPr>
          <w:rFonts w:hint="eastAsia" w:ascii="楷体" w:hAnsi="楷体" w:eastAsia="楷体" w:cs="楷体_GB2312"/>
          <w:bCs/>
          <w:sz w:val="32"/>
          <w:szCs w:val="32"/>
          <w:highlight w:val="none"/>
          <w:lang w:eastAsia="zh-CN"/>
        </w:rPr>
        <w:t>）总体绩效目标实现情况</w:t>
      </w:r>
    </w:p>
    <w:p w14:paraId="11A4663D">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保障县委办公室大型会议、重大活动的正常、顺利举办；保障县委公文正常运转。</w:t>
      </w:r>
    </w:p>
    <w:p w14:paraId="70D9C6AE">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ascii="仿宋" w:hAnsi="仿宋" w:eastAsia="仿宋" w:cs="仿宋"/>
          <w:sz w:val="32"/>
          <w:szCs w:val="32"/>
          <w:lang w:eastAsia="zh-CN"/>
        </w:rPr>
        <w:t>反映民意</w:t>
      </w:r>
      <w:bookmarkStart w:id="0" w:name="_GoBack"/>
      <w:bookmarkEnd w:id="0"/>
      <w:r>
        <w:rPr>
          <w:rFonts w:hint="eastAsia" w:ascii="仿宋" w:hAnsi="仿宋" w:eastAsia="仿宋" w:cs="仿宋"/>
          <w:sz w:val="32"/>
          <w:szCs w:val="32"/>
        </w:rPr>
        <w:t>，及时上报，促进决策民主化和科学化。</w:t>
      </w:r>
    </w:p>
    <w:p w14:paraId="5176752E">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数据资源丰富、数据正版、权威可靠，用户满意度高。线路畅通，系统运行稳定。</w:t>
      </w:r>
    </w:p>
    <w:p w14:paraId="24D39A9E">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全县党政系统密码通信和密码管理，党中央、国务院和县党政军领导机关及要害部门的核心机密的传递工作。承担县密码工作小组的日常工作。</w:t>
      </w:r>
    </w:p>
    <w:p w14:paraId="28C2FAA2">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w:t>
      </w:r>
      <w:r>
        <w:rPr>
          <w:rFonts w:hint="eastAsia" w:ascii="仿宋" w:hAnsi="仿宋" w:eastAsia="仿宋" w:cs="仿宋"/>
          <w:sz w:val="32"/>
          <w:szCs w:val="32"/>
        </w:rPr>
        <w:t>全县保密管理工作，制定并组织实施保密工作的地方性法规、督促检查、协调工作；对重大失泄密事件的组织查处，保密干部培训，保密技术防范；组织研制、开发、推广保密技术应用工作。</w:t>
      </w:r>
    </w:p>
    <w:p w14:paraId="316B2501">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w:t>
      </w:r>
      <w:r>
        <w:rPr>
          <w:rFonts w:hint="eastAsia" w:ascii="仿宋" w:hAnsi="仿宋" w:eastAsia="仿宋" w:cs="仿宋"/>
          <w:sz w:val="32"/>
          <w:szCs w:val="32"/>
        </w:rPr>
        <w:t>县委系统房产、基建、维修、物资分配和其他行政事务工作；县委领导同志和部分原县级领导同志，以及离退休同志的生活服务和阅文、参加有关活动的事务服务工作。</w:t>
      </w:r>
    </w:p>
    <w:p w14:paraId="099B1FFC">
      <w:pPr>
        <w:pStyle w:val="10"/>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w:t>
      </w:r>
      <w:r>
        <w:rPr>
          <w:rFonts w:hint="eastAsia" w:ascii="仿宋" w:hAnsi="仿宋" w:eastAsia="仿宋" w:cs="仿宋"/>
          <w:sz w:val="32"/>
          <w:szCs w:val="32"/>
        </w:rPr>
        <w:t>接收部分县直机关、乡镇档案入馆。征集散存民间及其他机构保存的有关我县经济文化等反应我县历史的档案资料进馆。征集我县的名人档案进馆。</w:t>
      </w:r>
    </w:p>
    <w:p w14:paraId="4FD7963D">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sz w:val="32"/>
          <w:szCs w:val="32"/>
        </w:rPr>
      </w:pPr>
      <w:r>
        <w:rPr>
          <w:rFonts w:hint="eastAsia" w:ascii="楷体" w:hAnsi="楷体" w:eastAsia="楷体" w:cs="楷体_GB2312"/>
          <w:bCs/>
          <w:sz w:val="32"/>
          <w:szCs w:val="32"/>
        </w:rPr>
        <w:t>（二）分项绩效目标实现情况及指标分析</w:t>
      </w:r>
    </w:p>
    <w:p w14:paraId="0A802F5C">
      <w:pPr>
        <w:pStyle w:val="11"/>
        <w:keepNext w:val="0"/>
        <w:keepLines w:val="0"/>
        <w:pageBreakBefore w:val="0"/>
        <w:widowControl w:val="0"/>
        <w:kinsoku/>
        <w:wordWrap/>
        <w:overflowPunct/>
        <w:topLinePunct w:val="0"/>
        <w:autoSpaceDE/>
        <w:autoSpaceDN/>
        <w:bidi w:val="0"/>
        <w:spacing w:line="570" w:lineRule="exact"/>
        <w:textAlignment w:val="auto"/>
        <w:rPr>
          <w:rFonts w:ascii="仿宋" w:hAnsi="仿宋" w:eastAsia="仿宋" w:cs="黑体"/>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分项绩效目标</w:t>
      </w:r>
    </w:p>
    <w:p w14:paraId="2C03C0DF">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）信息收集和督查调研工作</w:t>
      </w:r>
    </w:p>
    <w:p w14:paraId="4392C695">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绩效目标：通过界别渠道密切联系群众，反映社情民意，</w:t>
      </w:r>
    </w:p>
    <w:p w14:paraId="20C22D83">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开展调研课题，提出意见建议。</w:t>
      </w:r>
    </w:p>
    <w:p w14:paraId="79C8332A">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绩效指标：围绕热点难点问题的督察督办工作按时办结情况占该类工作总量的比例≧95%；反映社情民意的信息数量占采集数量的比例≧95%。</w:t>
      </w:r>
    </w:p>
    <w:p w14:paraId="5849FEE4">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）参谋协调运转</w:t>
      </w:r>
    </w:p>
    <w:p w14:paraId="711F3AA8">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绩效目标：保障县委办公室大型会议、重大活动的正常、顺利举办，减少开展大型会议的次数，保障县委公文正常运转。</w:t>
      </w:r>
    </w:p>
    <w:p w14:paraId="0376D42F">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绩效指标：减少的大型会议数量占年度大型会议数量的比例≧5%；来文、发文办理时限与规定时限的误差比例&lt;=3%；</w:t>
      </w:r>
    </w:p>
    <w:p w14:paraId="0ADBCB77">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）全县党委系统公务内网建设</w:t>
      </w:r>
    </w:p>
    <w:p w14:paraId="16D2A346">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绩效目标：保证数据正版、权威可靠，用户满意度高。线路畅通，系统运行稳定。</w:t>
      </w:r>
    </w:p>
    <w:p w14:paraId="6EA7D521">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绩效指标：每周网络正常运转时间占每周的比例≧98%，涉密信息上传率占网络信息总量的比例&lt;=2%；</w:t>
      </w:r>
    </w:p>
    <w:p w14:paraId="7B3A7816">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）县委事务管理</w:t>
      </w:r>
    </w:p>
    <w:p w14:paraId="253F3982">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绩效目标：保障机关工作任务高质高效。</w:t>
      </w:r>
    </w:p>
    <w:p w14:paraId="3732D273">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绩效指标：接待费控制数占年接待费比例&gt;=98%，已完成的文件、讲话稿起草或修改工作完成量占应完成量的比例&gt;=100%</w:t>
      </w:r>
    </w:p>
    <w:p w14:paraId="43FAF482">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5</w:t>
      </w:r>
      <w:r>
        <w:rPr>
          <w:rFonts w:hint="eastAsia" w:ascii="仿宋" w:hAnsi="仿宋" w:eastAsia="仿宋" w:cs="仿宋"/>
          <w:sz w:val="32"/>
          <w:szCs w:val="32"/>
        </w:rPr>
        <w:t>）服务引导青少年工作和维护青少年权益工作</w:t>
      </w:r>
    </w:p>
    <w:p w14:paraId="125C731D">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绩效目标：做好青年统战对象的团结教育、引导、服务工作，增强青少年学法、尊法、守法、用法意识，推动青少年事务社会工作有效开展。</w:t>
      </w:r>
    </w:p>
    <w:p w14:paraId="49B8D54A">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绩效指标：青少年犯罪数据采集率占青少年犯罪数据总量费比例&gt;=98% </w:t>
      </w:r>
    </w:p>
    <w:p w14:paraId="2318F0C6">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6</w:t>
      </w:r>
      <w:r>
        <w:rPr>
          <w:rFonts w:hint="eastAsia" w:ascii="仿宋" w:hAnsi="仿宋" w:eastAsia="仿宋" w:cs="仿宋"/>
          <w:sz w:val="32"/>
          <w:szCs w:val="32"/>
        </w:rPr>
        <w:t>）妇联综合业务管理</w:t>
      </w:r>
    </w:p>
    <w:p w14:paraId="53584F47">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绩效目标：妇联基层组织的组织、阵地、队伍建设、培训工作等得到加强，妇联干部工作能力和服务水平提高，吸引各重点人群参与，普及科普知识。</w:t>
      </w:r>
    </w:p>
    <w:p w14:paraId="3695D076">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绩效指标：妇女之家专职工作人员接受培训人员满意程度占培训总数的百分比&gt;=98%</w:t>
      </w:r>
    </w:p>
    <w:p w14:paraId="7376510E">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）工委事务管理</w:t>
      </w:r>
    </w:p>
    <w:p w14:paraId="69ED0EE0">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绩效目标：利用各种有效载体开展宣传教育活动公民道德素质、各项活动满意率要有明显提高。党组织、党员作用突出。违纪案件明显减少，作风进一步好转</w:t>
      </w:r>
    </w:p>
    <w:p w14:paraId="758920D3">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绩效指标：对全县工委工作资料收集占总材料总量的百分比&gt;=98%，对全县工委工作资料的核实数量占总材料总量的百分比=100%；党建工作日常工作完成量占年初制定分解的目标任务的百分比&gt;=97%。</w:t>
      </w:r>
    </w:p>
    <w:p w14:paraId="338F4AB0">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8</w:t>
      </w:r>
      <w:r>
        <w:rPr>
          <w:rFonts w:hint="eastAsia" w:ascii="仿宋" w:hAnsi="仿宋" w:eastAsia="仿宋" w:cs="仿宋"/>
          <w:sz w:val="32"/>
          <w:szCs w:val="32"/>
        </w:rPr>
        <w:t>）档案综合事务管理</w:t>
      </w:r>
    </w:p>
    <w:p w14:paraId="3A1D184D">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绩效目标：保障机关工作正常高效运转。使全县档案事业有序快速发展，为现代化建设服务。</w:t>
      </w:r>
    </w:p>
    <w:p w14:paraId="33A33E5D">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绩效指标：档案工作完成与计划完成的比例&gt;=98%。</w:t>
      </w:r>
    </w:p>
    <w:p w14:paraId="7F604CAA">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9</w:t>
      </w:r>
      <w:r>
        <w:rPr>
          <w:rFonts w:hint="eastAsia" w:ascii="仿宋" w:hAnsi="仿宋" w:eastAsia="仿宋" w:cs="仿宋"/>
          <w:sz w:val="32"/>
          <w:szCs w:val="32"/>
        </w:rPr>
        <w:t>）信息、督导、办文办会等日常工作</w:t>
      </w:r>
    </w:p>
    <w:p w14:paraId="5B1304A2">
      <w:pPr>
        <w:pStyle w:val="11"/>
        <w:keepNext w:val="0"/>
        <w:keepLines w:val="0"/>
        <w:pageBreakBefore w:val="0"/>
        <w:widowControl w:val="0"/>
        <w:kinsoku/>
        <w:wordWrap/>
        <w:overflowPunct/>
        <w:topLinePunct w:val="0"/>
        <w:autoSpaceDE/>
        <w:autoSpaceDN/>
        <w:bidi w:val="0"/>
        <w:spacing w:line="570" w:lineRule="exact"/>
        <w:textAlignment w:val="auto"/>
        <w:rPr>
          <w:rFonts w:hint="eastAsia" w:ascii="仿宋" w:hAnsi="仿宋" w:eastAsia="仿宋" w:cs="仿宋"/>
          <w:sz w:val="32"/>
          <w:szCs w:val="32"/>
        </w:rPr>
      </w:pPr>
      <w:r>
        <w:rPr>
          <w:rFonts w:hint="eastAsia" w:ascii="仿宋" w:hAnsi="仿宋" w:eastAsia="仿宋" w:cs="仿宋"/>
          <w:sz w:val="32"/>
          <w:szCs w:val="32"/>
        </w:rPr>
        <w:t>绩效目标：保障日常工作正常高效运转。</w:t>
      </w:r>
    </w:p>
    <w:p w14:paraId="5B03F9BA">
      <w:pPr>
        <w:pStyle w:val="11"/>
        <w:keepNext w:val="0"/>
        <w:keepLines w:val="0"/>
        <w:pageBreakBefore w:val="0"/>
        <w:widowControl w:val="0"/>
        <w:kinsoku/>
        <w:wordWrap/>
        <w:overflowPunct/>
        <w:topLinePunct w:val="0"/>
        <w:autoSpaceDE/>
        <w:autoSpaceDN/>
        <w:bidi w:val="0"/>
        <w:spacing w:line="570" w:lineRule="exact"/>
        <w:textAlignment w:val="auto"/>
      </w:pPr>
      <w:r>
        <w:rPr>
          <w:rFonts w:hint="eastAsia" w:ascii="仿宋" w:hAnsi="仿宋" w:eastAsia="仿宋" w:cs="仿宋"/>
          <w:sz w:val="32"/>
          <w:szCs w:val="32"/>
        </w:rPr>
        <w:t>绩效指标：日常工作完成量占计划总量比例&gt;=98%，已完成县级志书占总编纂量的百分比&gt;=98%。</w:t>
      </w:r>
    </w:p>
    <w:p w14:paraId="2432A3BA">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73A30A42">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县委</w:t>
      </w:r>
      <w:r>
        <w:rPr>
          <w:rFonts w:hint="eastAsia" w:ascii="仿宋" w:hAnsi="仿宋" w:eastAsia="仿宋"/>
          <w:sz w:val="32"/>
          <w:szCs w:val="32"/>
        </w:rPr>
        <w:t>办公室各项工作，根据执行情况和绩效情况，总得分为9</w:t>
      </w:r>
      <w:r>
        <w:rPr>
          <w:rFonts w:hint="eastAsia" w:ascii="仿宋" w:hAnsi="仿宋" w:eastAsia="仿宋"/>
          <w:sz w:val="32"/>
          <w:szCs w:val="32"/>
          <w:lang w:val="en-US" w:eastAsia="zh-CN"/>
        </w:rPr>
        <w:t>7</w:t>
      </w:r>
      <w:r>
        <w:rPr>
          <w:rFonts w:hint="eastAsia" w:ascii="仿宋" w:hAnsi="仿宋" w:eastAsia="仿宋"/>
          <w:sz w:val="32"/>
          <w:szCs w:val="32"/>
        </w:rPr>
        <w:t>分，项目综合绩效评价为优秀。</w:t>
      </w:r>
    </w:p>
    <w:p w14:paraId="27252300">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6E6BFD5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64A5CF4D">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楷体" w:hAnsi="楷体" w:eastAsia="楷体"/>
          <w:bCs/>
          <w:sz w:val="32"/>
          <w:szCs w:val="32"/>
        </w:rPr>
      </w:pPr>
      <w:r>
        <w:rPr>
          <w:rFonts w:hint="eastAsia" w:ascii="仿宋" w:hAnsi="仿宋" w:eastAsia="仿宋" w:cs="仿宋"/>
          <w:sz w:val="32"/>
          <w:szCs w:val="32"/>
        </w:rPr>
        <w:t xml:space="preserve">内容不齐全有缺项，绩效指标针对性和实用性不够，资金支出计划和评价标准缺乏依据，预算编制水平有待提高。 </w:t>
      </w:r>
    </w:p>
    <w:p w14:paraId="2FDA8302">
      <w:pPr>
        <w:keepNext w:val="0"/>
        <w:keepLines w:val="0"/>
        <w:pageBreakBefore w:val="0"/>
        <w:widowControl w:val="0"/>
        <w:numPr>
          <w:ilvl w:val="0"/>
          <w:numId w:val="1"/>
        </w:numPr>
        <w:kinsoku/>
        <w:wordWrap/>
        <w:overflowPunct/>
        <w:topLinePunct w:val="0"/>
        <w:autoSpaceDE/>
        <w:autoSpaceDN/>
        <w:bidi w:val="0"/>
        <w:spacing w:line="57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针对问题提出具体的改进措施或建议</w:t>
      </w:r>
    </w:p>
    <w:p w14:paraId="7C0C56B3">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及时制定项目实施计划，从项目实施步骤、工作环节、时间进度等方面进行分解细化。从数量、质量、效果等多维度设置绩效指标，多角度衡量资金绩效，使绩效指标具有清晰性、相关性、经济性、充分性、可监督性的效果。进一步提高预算编制的科学性、严谨性和可控性。</w:t>
      </w:r>
    </w:p>
    <w:p w14:paraId="0FBBA741">
      <w:pPr>
        <w:keepNext w:val="0"/>
        <w:keepLines w:val="0"/>
        <w:pageBreakBefore w:val="0"/>
        <w:widowControl w:val="0"/>
        <w:numPr>
          <w:ilvl w:val="0"/>
          <w:numId w:val="2"/>
        </w:numPr>
        <w:kinsoku/>
        <w:wordWrap/>
        <w:overflowPunct/>
        <w:topLinePunct w:val="0"/>
        <w:autoSpaceDE/>
        <w:autoSpaceDN/>
        <w:bidi w:val="0"/>
        <w:adjustRightInd w:val="0"/>
        <w:snapToGrid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评价工作组人员名单及签字</w:t>
      </w:r>
    </w:p>
    <w:p w14:paraId="5DC2E01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bCs/>
          <w:sz w:val="32"/>
          <w:szCs w:val="32"/>
          <w:highlight w:val="yellow"/>
        </w:rPr>
      </w:pPr>
      <w:r>
        <w:rPr>
          <w:rFonts w:hint="eastAsia" w:ascii="仿宋" w:hAnsi="仿宋" w:eastAsia="仿宋"/>
          <w:bCs/>
          <w:sz w:val="32"/>
          <w:szCs w:val="32"/>
          <w:highlight w:val="yellow"/>
        </w:rPr>
        <w:t>姓  名　　　   工作单位　　　　　　　职  务　</w:t>
      </w:r>
    </w:p>
    <w:p w14:paraId="7E8D16EF">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bCs/>
          <w:sz w:val="32"/>
          <w:szCs w:val="32"/>
          <w:highlight w:val="yellow"/>
        </w:rPr>
      </w:pPr>
      <w:r>
        <w:rPr>
          <w:rFonts w:hint="eastAsia" w:ascii="仿宋" w:hAnsi="仿宋" w:eastAsia="仿宋"/>
          <w:bCs/>
          <w:sz w:val="32"/>
          <w:szCs w:val="32"/>
          <w:highlight w:val="yellow"/>
          <w:lang w:val="en-US" w:eastAsia="zh-CN"/>
        </w:rPr>
        <w:t>吕立强</w:t>
      </w:r>
      <w:r>
        <w:rPr>
          <w:rFonts w:hint="eastAsia" w:ascii="仿宋" w:hAnsi="仿宋" w:eastAsia="仿宋"/>
          <w:bCs/>
          <w:sz w:val="32"/>
          <w:szCs w:val="32"/>
          <w:highlight w:val="yellow"/>
        </w:rPr>
        <w:t xml:space="preserve">         </w:t>
      </w:r>
      <w:r>
        <w:rPr>
          <w:rFonts w:hint="eastAsia" w:ascii="仿宋" w:hAnsi="仿宋" w:eastAsia="仿宋"/>
          <w:bCs/>
          <w:sz w:val="32"/>
          <w:szCs w:val="32"/>
          <w:highlight w:val="yellow"/>
          <w:lang w:val="en-US" w:eastAsia="zh-CN"/>
        </w:rPr>
        <w:t>县委</w:t>
      </w:r>
      <w:r>
        <w:rPr>
          <w:rFonts w:hint="eastAsia" w:ascii="仿宋" w:hAnsi="仿宋" w:eastAsia="仿宋"/>
          <w:bCs/>
          <w:sz w:val="32"/>
          <w:szCs w:val="32"/>
          <w:highlight w:val="yellow"/>
        </w:rPr>
        <w:t xml:space="preserve">办公室          </w:t>
      </w:r>
      <w:r>
        <w:rPr>
          <w:rFonts w:hint="eastAsia" w:ascii="仿宋" w:hAnsi="仿宋" w:eastAsia="仿宋"/>
          <w:bCs/>
          <w:sz w:val="32"/>
          <w:szCs w:val="32"/>
          <w:highlight w:val="yellow"/>
          <w:lang w:val="en-US" w:eastAsia="zh-CN"/>
        </w:rPr>
        <w:t>常务副</w:t>
      </w:r>
      <w:r>
        <w:rPr>
          <w:rFonts w:hint="eastAsia" w:ascii="仿宋" w:hAnsi="仿宋" w:eastAsia="仿宋"/>
          <w:bCs/>
          <w:sz w:val="32"/>
          <w:szCs w:val="32"/>
          <w:highlight w:val="yellow"/>
        </w:rPr>
        <w:t>主任</w:t>
      </w:r>
    </w:p>
    <w:p w14:paraId="2373157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bCs/>
          <w:sz w:val="32"/>
          <w:szCs w:val="32"/>
          <w:highlight w:val="yellow"/>
        </w:rPr>
      </w:pPr>
      <w:r>
        <w:rPr>
          <w:rFonts w:hint="eastAsia" w:ascii="仿宋" w:hAnsi="仿宋" w:eastAsia="仿宋"/>
          <w:bCs/>
          <w:sz w:val="32"/>
          <w:szCs w:val="32"/>
          <w:highlight w:val="yellow"/>
          <w:lang w:val="en-US" w:eastAsia="zh-CN"/>
        </w:rPr>
        <w:t>袁  松</w:t>
      </w:r>
      <w:r>
        <w:rPr>
          <w:rFonts w:hint="eastAsia" w:ascii="仿宋" w:hAnsi="仿宋" w:eastAsia="仿宋"/>
          <w:bCs/>
          <w:sz w:val="32"/>
          <w:szCs w:val="32"/>
          <w:highlight w:val="yellow"/>
        </w:rPr>
        <w:t xml:space="preserve">         </w:t>
      </w:r>
      <w:r>
        <w:rPr>
          <w:rFonts w:hint="eastAsia" w:ascii="仿宋" w:hAnsi="仿宋" w:eastAsia="仿宋"/>
          <w:bCs/>
          <w:sz w:val="32"/>
          <w:szCs w:val="32"/>
          <w:highlight w:val="yellow"/>
          <w:lang w:val="en-US" w:eastAsia="zh-CN"/>
        </w:rPr>
        <w:t>县委</w:t>
      </w:r>
      <w:r>
        <w:rPr>
          <w:rFonts w:hint="eastAsia" w:ascii="仿宋" w:hAnsi="仿宋" w:eastAsia="仿宋"/>
          <w:bCs/>
          <w:sz w:val="32"/>
          <w:szCs w:val="32"/>
          <w:highlight w:val="yellow"/>
        </w:rPr>
        <w:t>办公室          副主任</w:t>
      </w:r>
    </w:p>
    <w:p w14:paraId="040CBD67">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bCs/>
          <w:sz w:val="32"/>
          <w:szCs w:val="32"/>
          <w:highlight w:val="yellow"/>
        </w:rPr>
      </w:pPr>
      <w:r>
        <w:rPr>
          <w:rFonts w:hint="eastAsia" w:ascii="仿宋" w:hAnsi="仿宋" w:eastAsia="仿宋"/>
          <w:bCs/>
          <w:sz w:val="32"/>
          <w:szCs w:val="32"/>
          <w:highlight w:val="yellow"/>
          <w:lang w:val="en-US" w:eastAsia="zh-CN"/>
        </w:rPr>
        <w:t>高静敏</w:t>
      </w:r>
      <w:r>
        <w:rPr>
          <w:rFonts w:hint="eastAsia" w:ascii="仿宋" w:hAnsi="仿宋" w:eastAsia="仿宋"/>
          <w:bCs/>
          <w:sz w:val="32"/>
          <w:szCs w:val="32"/>
          <w:highlight w:val="yellow"/>
        </w:rPr>
        <w:t xml:space="preserve">         </w:t>
      </w:r>
      <w:r>
        <w:rPr>
          <w:rFonts w:hint="eastAsia" w:ascii="仿宋" w:hAnsi="仿宋" w:eastAsia="仿宋"/>
          <w:bCs/>
          <w:sz w:val="32"/>
          <w:szCs w:val="32"/>
          <w:highlight w:val="yellow"/>
          <w:lang w:val="en-US" w:eastAsia="zh-CN"/>
        </w:rPr>
        <w:t>县委</w:t>
      </w:r>
      <w:r>
        <w:rPr>
          <w:rFonts w:hint="eastAsia" w:ascii="仿宋" w:hAnsi="仿宋" w:eastAsia="仿宋"/>
          <w:bCs/>
          <w:sz w:val="32"/>
          <w:szCs w:val="32"/>
          <w:highlight w:val="yellow"/>
        </w:rPr>
        <w:t>办公室          科员</w:t>
      </w:r>
    </w:p>
    <w:p w14:paraId="5E821F40">
      <w:pPr>
        <w:pStyle w:val="6"/>
        <w:keepNext w:val="0"/>
        <w:keepLines w:val="0"/>
        <w:pageBreakBefore w:val="0"/>
        <w:widowControl w:val="0"/>
        <w:kinsoku/>
        <w:wordWrap/>
        <w:overflowPunct/>
        <w:topLinePunct w:val="0"/>
        <w:autoSpaceDE/>
        <w:autoSpaceDN/>
        <w:bidi w:val="0"/>
        <w:spacing w:line="570" w:lineRule="exact"/>
        <w:ind w:left="0" w:leftChars="0" w:firstLine="640" w:firstLineChars="200"/>
        <w:textAlignment w:val="auto"/>
        <w:rPr>
          <w:rFonts w:hint="eastAsia" w:ascii="仿宋" w:hAnsi="仿宋" w:eastAsia="仿宋"/>
          <w:sz w:val="32"/>
          <w:szCs w:val="32"/>
          <w:lang w:val="en-US" w:eastAsia="zh-CN"/>
        </w:rPr>
      </w:pPr>
    </w:p>
    <w:p w14:paraId="188D4569">
      <w:pPr>
        <w:pStyle w:val="6"/>
        <w:keepNext w:val="0"/>
        <w:keepLines w:val="0"/>
        <w:pageBreakBefore w:val="0"/>
        <w:widowControl w:val="0"/>
        <w:kinsoku/>
        <w:wordWrap/>
        <w:overflowPunct/>
        <w:topLinePunct w:val="0"/>
        <w:autoSpaceDE/>
        <w:autoSpaceDN/>
        <w:bidi w:val="0"/>
        <w:spacing w:line="570" w:lineRule="exac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 xml:space="preserve">   </w:t>
      </w:r>
    </w:p>
    <w:p w14:paraId="19ECED0A">
      <w:pPr>
        <w:keepNext w:val="0"/>
        <w:keepLines w:val="0"/>
        <w:pageBreakBefore w:val="0"/>
        <w:widowControl w:val="0"/>
        <w:kinsoku/>
        <w:wordWrap/>
        <w:overflowPunct/>
        <w:topLinePunct w:val="0"/>
        <w:autoSpaceDE/>
        <w:autoSpaceDN/>
        <w:bidi w:val="0"/>
        <w:spacing w:line="570" w:lineRule="exact"/>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ACDBE">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9EBC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19EBC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D65EF9"/>
    <w:multiLevelType w:val="singleLevel"/>
    <w:tmpl w:val="05D65EF9"/>
    <w:lvl w:ilvl="0" w:tentative="0">
      <w:start w:val="6"/>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0MDU5YTVmMzFlZGE3NTAyMjIzY2NkOThlMDFjOGE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1162DB"/>
    <w:rsid w:val="0BB63BED"/>
    <w:rsid w:val="0BD567DA"/>
    <w:rsid w:val="0EB97A43"/>
    <w:rsid w:val="0EBD2122"/>
    <w:rsid w:val="0F214EAE"/>
    <w:rsid w:val="11B71E6A"/>
    <w:rsid w:val="1202500A"/>
    <w:rsid w:val="146C5442"/>
    <w:rsid w:val="172B47EA"/>
    <w:rsid w:val="17BB1EE3"/>
    <w:rsid w:val="1AAF0063"/>
    <w:rsid w:val="1BE140DE"/>
    <w:rsid w:val="22D50F64"/>
    <w:rsid w:val="248C197D"/>
    <w:rsid w:val="252959AF"/>
    <w:rsid w:val="253B409D"/>
    <w:rsid w:val="273D772C"/>
    <w:rsid w:val="277A6671"/>
    <w:rsid w:val="292D35B7"/>
    <w:rsid w:val="29713E8D"/>
    <w:rsid w:val="33EB6CFF"/>
    <w:rsid w:val="34AF3290"/>
    <w:rsid w:val="34F320A5"/>
    <w:rsid w:val="35A12947"/>
    <w:rsid w:val="36375AAE"/>
    <w:rsid w:val="37387040"/>
    <w:rsid w:val="37C07FD2"/>
    <w:rsid w:val="3B625C0A"/>
    <w:rsid w:val="3CEE1963"/>
    <w:rsid w:val="4C9C27FE"/>
    <w:rsid w:val="4FF9AD8B"/>
    <w:rsid w:val="512260B4"/>
    <w:rsid w:val="52BD6ACB"/>
    <w:rsid w:val="52F201A7"/>
    <w:rsid w:val="55537534"/>
    <w:rsid w:val="561A74F1"/>
    <w:rsid w:val="56EF07AE"/>
    <w:rsid w:val="57EA7352"/>
    <w:rsid w:val="597244E8"/>
    <w:rsid w:val="5C611A1C"/>
    <w:rsid w:val="5E9F4987"/>
    <w:rsid w:val="5EB71C30"/>
    <w:rsid w:val="601B3C76"/>
    <w:rsid w:val="66AF0CE5"/>
    <w:rsid w:val="69A77CAD"/>
    <w:rsid w:val="6AC537CF"/>
    <w:rsid w:val="6CA43D4D"/>
    <w:rsid w:val="6CCC584E"/>
    <w:rsid w:val="6E5B14A6"/>
    <w:rsid w:val="711B255E"/>
    <w:rsid w:val="79DB52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unhideWhenUsed/>
    <w:qFormat/>
    <w:uiPriority w:val="0"/>
    <w:pPr>
      <w:spacing w:after="120" w:afterLines="0" w:afterAutospacing="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unhideWhenUsed/>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6">
    <w:name w:val="Body Text First Indent 2"/>
    <w:basedOn w:val="2"/>
    <w:unhideWhenUsed/>
    <w:qFormat/>
    <w:uiPriority w:val="0"/>
    <w:pPr>
      <w:ind w:firstLine="420" w:firstLineChars="200"/>
    </w:p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qFormat/>
    <w:uiPriority w:val="0"/>
    <w:pPr>
      <w:widowControl w:val="0"/>
      <w:spacing w:line="500" w:lineRule="exact"/>
      <w:ind w:firstLine="560"/>
      <w:jc w:val="left"/>
    </w:pPr>
    <w:rPr>
      <w:rFonts w:ascii="Times New Roman" w:hAnsi="Times New Roman" w:eastAsia="方正仿宋_GBK" w:cs="Times New Roman"/>
      <w:kern w:val="2"/>
      <w:sz w:val="28"/>
      <w:szCs w:val="22"/>
      <w:lang w:val="en-US" w:eastAsia="zh-CN" w:bidi="ar-SA"/>
    </w:rPr>
  </w:style>
  <w:style w:type="paragraph" w:customStyle="1" w:styleId="11">
    <w:name w:val="插入文本样式-插入职责分类绩效目标文件"/>
    <w:qFormat/>
    <w:uiPriority w:val="0"/>
    <w:pPr>
      <w:widowControl w:val="0"/>
      <w:spacing w:line="500" w:lineRule="exact"/>
      <w:ind w:firstLine="560"/>
      <w:jc w:val="left"/>
    </w:pPr>
    <w:rPr>
      <w:rFonts w:ascii="Times New Roman" w:hAnsi="Times New Roman" w:eastAsia="方正仿宋_GBK" w:cs="Times New Roman"/>
      <w:kern w:val="2"/>
      <w:sz w:val="28"/>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4624</Words>
  <Characters>4780</Characters>
  <Lines>4</Lines>
  <Paragraphs>1</Paragraphs>
  <TotalTime>24</TotalTime>
  <ScaleCrop>false</ScaleCrop>
  <LinksUpToDate>false</LinksUpToDate>
  <CharactersWithSpaces>4883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2023-06-09T01:47:00Z</cp:lastPrinted>
  <dcterms:modified xsi:type="dcterms:W3CDTF">2025-07-21T09:59:32Z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DBD5D3D6A111410DB9BE11A3D1E3D1AA</vt:lpwstr>
  </property>
  <property fmtid="{D5CDD505-2E9C-101B-9397-08002B2CF9AE}" pid="4" name="KSOTemplateDocerSaveRecord">
    <vt:lpwstr>eyJoZGlkIjoiYTRkZjYwODQyN2QxOTU4Mzc5MDkyZjcyNTA5NjE4M2QiLCJ1c2VySWQiOiIxNTUwMjQwMDk2In0=</vt:lpwstr>
  </property>
</Properties>
</file>