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549171">
      <w:pPr>
        <w:spacing w:line="560" w:lineRule="exact"/>
        <w:jc w:val="center"/>
        <w:rPr>
          <w:rFonts w:ascii="宋体" w:hAnsi="宋体" w:cs="宋体"/>
          <w:b/>
          <w:bCs/>
          <w:sz w:val="44"/>
          <w:szCs w:val="44"/>
        </w:rPr>
      </w:pPr>
    </w:p>
    <w:p w14:paraId="6C97DCC9">
      <w:pPr>
        <w:spacing w:line="560" w:lineRule="exact"/>
        <w:jc w:val="center"/>
        <w:rPr>
          <w:rFonts w:hint="eastAsia" w:ascii="宋体" w:hAnsi="宋体" w:cs="宋体"/>
          <w:b/>
          <w:bCs/>
          <w:sz w:val="44"/>
          <w:szCs w:val="44"/>
        </w:rPr>
      </w:pPr>
      <w:r>
        <w:rPr>
          <w:rFonts w:hint="eastAsia" w:ascii="宋体" w:hAnsi="宋体" w:cs="宋体"/>
          <w:b/>
          <w:bCs/>
          <w:sz w:val="44"/>
          <w:szCs w:val="44"/>
        </w:rPr>
        <w:t>赞皇县人民代表大会常务委员会办公室</w:t>
      </w:r>
    </w:p>
    <w:p w14:paraId="203D0FEF">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727B210A">
      <w:pPr>
        <w:spacing w:line="560" w:lineRule="exact"/>
        <w:jc w:val="center"/>
        <w:rPr>
          <w:rFonts w:ascii="宋体" w:hAnsi="宋体" w:cs="宋体"/>
          <w:sz w:val="32"/>
          <w:szCs w:val="32"/>
        </w:rPr>
      </w:pPr>
    </w:p>
    <w:p w14:paraId="1C34DF21">
      <w:pPr>
        <w:spacing w:line="560" w:lineRule="exact"/>
        <w:jc w:val="center"/>
        <w:rPr>
          <w:rFonts w:ascii="华文楷体" w:eastAsia="华文楷体"/>
          <w:sz w:val="32"/>
          <w:szCs w:val="32"/>
        </w:rPr>
      </w:pPr>
    </w:p>
    <w:p w14:paraId="42DB9FD3">
      <w:pPr>
        <w:spacing w:line="560" w:lineRule="exact"/>
        <w:jc w:val="both"/>
        <w:rPr>
          <w:rFonts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贯彻落实</w:t>
      </w:r>
      <w:r>
        <w:rPr>
          <w:rFonts w:hint="eastAsia" w:ascii="仿宋" w:hAnsi="仿宋" w:eastAsia="仿宋"/>
          <w:sz w:val="32"/>
          <w:szCs w:val="32"/>
          <w:lang w:eastAsia="zh-CN"/>
        </w:rPr>
        <w:t>县</w:t>
      </w:r>
      <w:r>
        <w:rPr>
          <w:rFonts w:hint="eastAsia" w:ascii="仿宋" w:hAnsi="仿宋" w:eastAsia="仿宋"/>
          <w:sz w:val="32"/>
          <w:szCs w:val="32"/>
        </w:rPr>
        <w:t>委</w:t>
      </w:r>
      <w:r>
        <w:rPr>
          <w:rFonts w:hint="eastAsia" w:ascii="仿宋" w:hAnsi="仿宋" w:eastAsia="仿宋"/>
          <w:sz w:val="32"/>
          <w:szCs w:val="32"/>
          <w:lang w:eastAsia="zh-CN"/>
        </w:rPr>
        <w:t>县</w:t>
      </w:r>
      <w:r>
        <w:rPr>
          <w:rFonts w:hint="eastAsia" w:ascii="仿宋" w:hAnsi="仿宋" w:eastAsia="仿宋"/>
          <w:sz w:val="32"/>
          <w:szCs w:val="32"/>
        </w:rPr>
        <w:t>政府《关于全面</w:t>
      </w:r>
      <w:r>
        <w:rPr>
          <w:rFonts w:hint="eastAsia" w:ascii="仿宋" w:hAnsi="仿宋" w:eastAsia="仿宋"/>
          <w:sz w:val="32"/>
          <w:szCs w:val="32"/>
          <w:lang w:eastAsia="zh-CN"/>
        </w:rPr>
        <w:t>实施</w:t>
      </w:r>
      <w:r>
        <w:rPr>
          <w:rFonts w:hint="eastAsia" w:ascii="仿宋" w:hAnsi="仿宋" w:eastAsia="仿宋"/>
          <w:sz w:val="32"/>
          <w:szCs w:val="32"/>
        </w:rPr>
        <w:t>预算绩效管理</w:t>
      </w:r>
      <w:r>
        <w:rPr>
          <w:rFonts w:hint="eastAsia" w:ascii="仿宋" w:hAnsi="仿宋" w:eastAsia="仿宋"/>
          <w:sz w:val="32"/>
          <w:szCs w:val="32"/>
          <w:lang w:eastAsia="zh-CN"/>
        </w:rPr>
        <w:t>工作方案</w:t>
      </w:r>
      <w:r>
        <w:rPr>
          <w:rFonts w:hint="eastAsia" w:ascii="仿宋" w:hAnsi="仿宋" w:eastAsia="仿宋"/>
          <w:sz w:val="32"/>
          <w:szCs w:val="32"/>
        </w:rPr>
        <w:t>》（</w:t>
      </w:r>
      <w:r>
        <w:rPr>
          <w:rFonts w:hint="eastAsia" w:ascii="仿宋" w:hAnsi="仿宋" w:eastAsia="仿宋"/>
          <w:sz w:val="32"/>
          <w:szCs w:val="32"/>
          <w:lang w:eastAsia="zh-CN"/>
        </w:rPr>
        <w:t>赞财预</w:t>
      </w:r>
      <w:r>
        <w:rPr>
          <w:rFonts w:hint="eastAsia" w:ascii="仿宋" w:hAnsi="仿宋" w:eastAsia="仿宋"/>
          <w:sz w:val="32"/>
          <w:szCs w:val="32"/>
        </w:rPr>
        <w:t>﹝2019﹞</w:t>
      </w:r>
      <w:r>
        <w:rPr>
          <w:rFonts w:hint="eastAsia" w:ascii="仿宋" w:hAnsi="仿宋" w:eastAsia="仿宋"/>
          <w:sz w:val="32"/>
          <w:szCs w:val="32"/>
          <w:lang w:eastAsia="zh-CN"/>
        </w:rPr>
        <w:t>７</w:t>
      </w:r>
      <w:r>
        <w:rPr>
          <w:rFonts w:hint="eastAsia" w:ascii="仿宋" w:hAnsi="仿宋" w:eastAsia="仿宋"/>
          <w:sz w:val="32"/>
          <w:szCs w:val="32"/>
        </w:rPr>
        <w:t>号）文件精神，遵循“科学性、规范性、客观性和公正性”的原则，对赞皇县人民代表大会常务委员会办公室202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4CB44EF3">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1CCD6865">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14:paraId="24FB52A4">
      <w:pPr>
        <w:adjustRightInd w:val="0"/>
        <w:snapToGrid w:val="0"/>
        <w:spacing w:line="560" w:lineRule="exact"/>
        <w:ind w:firstLine="640" w:firstLineChars="200"/>
        <w:rPr>
          <w:rFonts w:hint="eastAsia" w:ascii="楷体" w:hAnsi="楷体" w:eastAsia="楷体" w:cs="楷体_GB2312"/>
          <w:bCs/>
          <w:sz w:val="32"/>
          <w:szCs w:val="32"/>
          <w:lang w:val="en-US" w:eastAsia="zh-CN"/>
        </w:rPr>
      </w:pPr>
      <w:r>
        <w:rPr>
          <w:rFonts w:hint="eastAsia" w:ascii="楷体" w:hAnsi="楷体" w:eastAsia="楷体" w:cs="楷体_GB2312"/>
          <w:bCs/>
          <w:sz w:val="32"/>
          <w:szCs w:val="32"/>
          <w:lang w:val="en-US" w:eastAsia="zh-CN"/>
        </w:rPr>
        <w:t>1、部门职能</w:t>
      </w:r>
    </w:p>
    <w:p w14:paraId="65279F5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rPr>
        <w:t>据《赞皇县人民代表大会常务委员会办公室职能配置、内设机构和人员编制规定》，赞皇县人民代表大会常务委员会办公室的主要职责是：负责县人民代表大会、常委会、党组会、主任会及其他会议的组织筹备和实施工作。负责县</w:t>
      </w:r>
      <w:r>
        <w:rPr>
          <w:rFonts w:hint="eastAsia" w:ascii="仿宋" w:hAnsi="仿宋" w:eastAsia="仿宋"/>
          <w:sz w:val="32"/>
          <w:szCs w:val="32"/>
          <w:lang w:eastAsia="zh-CN"/>
        </w:rPr>
        <w:t>人大常委会机关</w:t>
      </w:r>
      <w:r>
        <w:rPr>
          <w:rFonts w:hint="eastAsia" w:ascii="仿宋" w:hAnsi="仿宋" w:eastAsia="仿宋"/>
          <w:sz w:val="32"/>
          <w:szCs w:val="32"/>
        </w:rPr>
        <w:t>的文、电、传、会议记录</w:t>
      </w:r>
      <w:bookmarkStart w:id="0" w:name="_GoBack"/>
      <w:bookmarkEnd w:id="0"/>
      <w:r>
        <w:rPr>
          <w:rFonts w:hint="eastAsia" w:ascii="仿宋" w:hAnsi="仿宋" w:eastAsia="仿宋"/>
          <w:sz w:val="32"/>
          <w:szCs w:val="32"/>
        </w:rPr>
        <w:t>的撰写、审核和把关。负责县人大常委会对外宣传和组织宣传报道工作。负责县</w:t>
      </w:r>
      <w:r>
        <w:rPr>
          <w:rFonts w:hint="eastAsia" w:ascii="仿宋" w:hAnsi="仿宋" w:eastAsia="仿宋"/>
          <w:sz w:val="32"/>
          <w:szCs w:val="32"/>
          <w:lang w:eastAsia="zh-CN"/>
        </w:rPr>
        <w:t>人大常委会机关</w:t>
      </w:r>
      <w:r>
        <w:rPr>
          <w:rFonts w:hint="eastAsia" w:ascii="仿宋" w:hAnsi="仿宋" w:eastAsia="仿宋"/>
          <w:sz w:val="32"/>
          <w:szCs w:val="32"/>
        </w:rPr>
        <w:t>文书、资料报刊的内外收发、档案、机要、印信管理和保密工作。负责县人大及其常委会决定和议定事项、工作部署、重要文件及领导批示的传阅和督办。负责组织安排常委会领导同志日常活动和县人大常委会组织的视察调研、督导检查、培训、慰问等活动。负责重要议题的调研、报告初审、执法检查、代表视察等组织工作。负责县</w:t>
      </w:r>
      <w:r>
        <w:rPr>
          <w:rFonts w:hint="eastAsia" w:ascii="仿宋" w:hAnsi="仿宋" w:eastAsia="仿宋"/>
          <w:sz w:val="32"/>
          <w:szCs w:val="32"/>
          <w:lang w:eastAsia="zh-CN"/>
        </w:rPr>
        <w:t>人大常委会机关</w:t>
      </w:r>
      <w:r>
        <w:rPr>
          <w:rFonts w:hint="eastAsia" w:ascii="仿宋" w:hAnsi="仿宋" w:eastAsia="仿宋"/>
          <w:sz w:val="32"/>
          <w:szCs w:val="32"/>
        </w:rPr>
        <w:t>人事工作、离退休人员的服务工作。负责县人大与上级人大、外地人大联系交流及接待工作。负责县</w:t>
      </w:r>
      <w:r>
        <w:rPr>
          <w:rFonts w:hint="eastAsia" w:ascii="仿宋" w:hAnsi="仿宋" w:eastAsia="仿宋"/>
          <w:sz w:val="32"/>
          <w:szCs w:val="32"/>
          <w:lang w:eastAsia="zh-CN"/>
        </w:rPr>
        <w:t>人大常委会机关</w:t>
      </w:r>
      <w:r>
        <w:rPr>
          <w:rFonts w:hint="eastAsia" w:ascii="仿宋" w:hAnsi="仿宋" w:eastAsia="仿宋"/>
          <w:sz w:val="32"/>
          <w:szCs w:val="32"/>
        </w:rPr>
        <w:t>财务、安全保卫等行政事务。负责代表议案及批评、建议和意见的督办工作。负责组织代表开展视察、评议等各项活动。负责信访工作。负责县委和上级交办的其他事项等。</w:t>
      </w:r>
    </w:p>
    <w:p w14:paraId="2DDE53AF">
      <w:pPr>
        <w:numPr>
          <w:ilvl w:val="0"/>
          <w:numId w:val="1"/>
        </w:num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组织机构及人员</w:t>
      </w:r>
    </w:p>
    <w:p w14:paraId="2AD52CC9">
      <w:pPr>
        <w:widowControl w:val="0"/>
        <w:numPr>
          <w:ilvl w:val="0"/>
          <w:numId w:val="0"/>
        </w:numPr>
        <w:adjustRightInd w:val="0"/>
        <w:snapToGrid w:val="0"/>
        <w:spacing w:line="560" w:lineRule="exact"/>
        <w:jc w:val="both"/>
        <w:rPr>
          <w:rFonts w:hint="default" w:ascii="仿宋" w:hAnsi="仿宋" w:eastAsia="仿宋"/>
          <w:sz w:val="32"/>
          <w:szCs w:val="32"/>
          <w:lang w:val="en-US" w:eastAsia="zh-CN"/>
        </w:rPr>
      </w:pPr>
      <w:r>
        <w:drawing>
          <wp:anchor distT="0" distB="0" distL="114300" distR="114300" simplePos="0" relativeHeight="251659264" behindDoc="1" locked="0" layoutInCell="1" allowOverlap="1">
            <wp:simplePos x="0" y="0"/>
            <wp:positionH relativeFrom="column">
              <wp:posOffset>142875</wp:posOffset>
            </wp:positionH>
            <wp:positionV relativeFrom="paragraph">
              <wp:posOffset>78105</wp:posOffset>
            </wp:positionV>
            <wp:extent cx="4952365" cy="643890"/>
            <wp:effectExtent l="9525" t="9525" r="10160" b="13335"/>
            <wp:wrapNone/>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5"/>
                    <a:stretch>
                      <a:fillRect/>
                    </a:stretch>
                  </pic:blipFill>
                  <pic:spPr>
                    <a:xfrm>
                      <a:off x="0" y="0"/>
                      <a:ext cx="4952365" cy="643890"/>
                    </a:xfrm>
                    <a:prstGeom prst="rect">
                      <a:avLst/>
                    </a:prstGeom>
                    <a:noFill/>
                    <a:ln>
                      <a:solidFill>
                        <a:schemeClr val="tx1"/>
                      </a:solidFill>
                    </a:ln>
                  </pic:spPr>
                </pic:pic>
              </a:graphicData>
            </a:graphic>
          </wp:anchor>
        </w:drawing>
      </w:r>
    </w:p>
    <w:p w14:paraId="666EB600">
      <w:pPr>
        <w:widowControl w:val="0"/>
        <w:numPr>
          <w:ilvl w:val="0"/>
          <w:numId w:val="0"/>
        </w:numPr>
        <w:adjustRightInd w:val="0"/>
        <w:snapToGrid w:val="0"/>
        <w:spacing w:line="560" w:lineRule="exact"/>
        <w:jc w:val="both"/>
        <w:rPr>
          <w:rFonts w:hint="default" w:ascii="仿宋" w:hAnsi="仿宋" w:eastAsia="仿宋"/>
          <w:sz w:val="32"/>
          <w:szCs w:val="32"/>
          <w:lang w:val="en-US" w:eastAsia="zh-CN"/>
        </w:rPr>
      </w:pPr>
    </w:p>
    <w:p w14:paraId="18FA42DC">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rPr>
        <w:t>赞皇县人民代表大会常务委员会办公室</w:t>
      </w:r>
      <w:r>
        <w:rPr>
          <w:rFonts w:hint="default" w:ascii="仿宋" w:hAnsi="仿宋" w:eastAsia="仿宋"/>
          <w:sz w:val="32"/>
          <w:szCs w:val="32"/>
          <w:lang w:val="en-US" w:eastAsia="zh-CN"/>
        </w:rPr>
        <w:t>为全额财政拨款正科级单位，内设办公室、</w:t>
      </w:r>
      <w:r>
        <w:rPr>
          <w:rFonts w:hint="eastAsia" w:ascii="仿宋" w:hAnsi="仿宋" w:eastAsia="仿宋"/>
          <w:sz w:val="32"/>
          <w:szCs w:val="32"/>
          <w:lang w:val="en-US" w:eastAsia="zh-CN"/>
        </w:rPr>
        <w:t>科教文卫工委</w:t>
      </w:r>
      <w:r>
        <w:rPr>
          <w:rFonts w:hint="default" w:ascii="仿宋" w:hAnsi="仿宋" w:eastAsia="仿宋"/>
          <w:sz w:val="32"/>
          <w:szCs w:val="32"/>
          <w:lang w:val="en-US" w:eastAsia="zh-CN"/>
        </w:rPr>
        <w:t>、</w:t>
      </w:r>
      <w:r>
        <w:rPr>
          <w:rFonts w:hint="eastAsia" w:ascii="仿宋" w:hAnsi="仿宋" w:eastAsia="仿宋"/>
          <w:sz w:val="32"/>
          <w:szCs w:val="32"/>
          <w:lang w:val="en-US" w:eastAsia="zh-CN"/>
        </w:rPr>
        <w:t>选举任免代表联络工委</w:t>
      </w:r>
      <w:r>
        <w:rPr>
          <w:rFonts w:hint="default" w:ascii="仿宋" w:hAnsi="仿宋" w:eastAsia="仿宋"/>
          <w:sz w:val="32"/>
          <w:szCs w:val="32"/>
          <w:lang w:val="en-US" w:eastAsia="zh-CN"/>
        </w:rPr>
        <w:t>、</w:t>
      </w:r>
      <w:r>
        <w:rPr>
          <w:rFonts w:hint="eastAsia" w:ascii="仿宋" w:hAnsi="仿宋" w:eastAsia="仿宋"/>
          <w:sz w:val="32"/>
          <w:szCs w:val="32"/>
          <w:lang w:val="en-US" w:eastAsia="zh-CN"/>
        </w:rPr>
        <w:t>法制民乔外事工委、财经环保工委、代表服务中心</w:t>
      </w:r>
      <w:r>
        <w:rPr>
          <w:rFonts w:hint="default" w:ascii="仿宋" w:hAnsi="仿宋" w:eastAsia="仿宋"/>
          <w:sz w:val="32"/>
          <w:szCs w:val="32"/>
          <w:lang w:val="en-US" w:eastAsia="zh-CN"/>
        </w:rPr>
        <w:t>。我</w:t>
      </w:r>
      <w:r>
        <w:rPr>
          <w:rFonts w:hint="eastAsia" w:ascii="仿宋" w:hAnsi="仿宋" w:eastAsia="仿宋"/>
          <w:sz w:val="32"/>
          <w:szCs w:val="32"/>
          <w:lang w:val="en-US" w:eastAsia="zh-CN"/>
        </w:rPr>
        <w:t>单位</w:t>
      </w:r>
      <w:r>
        <w:rPr>
          <w:rFonts w:hint="default" w:ascii="仿宋" w:hAnsi="仿宋" w:eastAsia="仿宋"/>
          <w:sz w:val="32"/>
          <w:szCs w:val="32"/>
          <w:lang w:val="en-US" w:eastAsia="zh-CN"/>
        </w:rPr>
        <w:t>人员编制数为</w:t>
      </w:r>
      <w:r>
        <w:rPr>
          <w:rFonts w:hint="eastAsia" w:ascii="仿宋" w:hAnsi="仿宋" w:eastAsia="仿宋"/>
          <w:sz w:val="32"/>
          <w:szCs w:val="32"/>
          <w:lang w:val="en-US" w:eastAsia="zh-CN"/>
        </w:rPr>
        <w:t>21</w:t>
      </w:r>
      <w:r>
        <w:rPr>
          <w:rFonts w:hint="default" w:ascii="仿宋" w:hAnsi="仿宋" w:eastAsia="仿宋"/>
          <w:sz w:val="32"/>
          <w:szCs w:val="32"/>
          <w:lang w:val="en-US" w:eastAsia="zh-CN"/>
        </w:rPr>
        <w:t>人，20</w:t>
      </w:r>
      <w:r>
        <w:rPr>
          <w:rFonts w:hint="eastAsia" w:ascii="仿宋" w:hAnsi="仿宋" w:eastAsia="仿宋"/>
          <w:sz w:val="32"/>
          <w:szCs w:val="32"/>
          <w:lang w:val="en-US" w:eastAsia="zh-CN"/>
        </w:rPr>
        <w:t>24</w:t>
      </w:r>
      <w:r>
        <w:rPr>
          <w:rFonts w:hint="default" w:ascii="仿宋" w:hAnsi="仿宋" w:eastAsia="仿宋"/>
          <w:sz w:val="32"/>
          <w:szCs w:val="32"/>
          <w:lang w:val="en-US" w:eastAsia="zh-CN"/>
        </w:rPr>
        <w:t>年底在职实有人数为</w:t>
      </w:r>
      <w:r>
        <w:rPr>
          <w:rFonts w:hint="eastAsia" w:ascii="仿宋" w:hAnsi="仿宋" w:eastAsia="仿宋"/>
          <w:sz w:val="32"/>
          <w:szCs w:val="32"/>
          <w:lang w:val="en-US" w:eastAsia="zh-CN"/>
        </w:rPr>
        <w:t>29</w:t>
      </w:r>
      <w:r>
        <w:rPr>
          <w:rFonts w:hint="default" w:ascii="仿宋" w:hAnsi="仿宋" w:eastAsia="仿宋"/>
          <w:sz w:val="32"/>
          <w:szCs w:val="32"/>
          <w:lang w:val="en-US" w:eastAsia="zh-CN"/>
        </w:rPr>
        <w:t>人。</w:t>
      </w:r>
    </w:p>
    <w:p w14:paraId="04D74601">
      <w:pPr>
        <w:adjustRightInd w:val="0"/>
        <w:snapToGrid w:val="0"/>
        <w:spacing w:line="560" w:lineRule="exact"/>
        <w:ind w:firstLine="640" w:firstLineChars="200"/>
        <w:rPr>
          <w:rFonts w:hint="eastAsia" w:ascii="仿宋" w:hAnsi="仿宋" w:eastAsia="仿宋"/>
          <w:color w:val="auto"/>
          <w:sz w:val="32"/>
          <w:szCs w:val="32"/>
          <w:lang w:val="en-US" w:eastAsia="zh-CN"/>
        </w:rPr>
      </w:pPr>
      <w:r>
        <w:rPr>
          <w:rFonts w:hint="eastAsia" w:ascii="仿宋" w:hAnsi="仿宋" w:eastAsia="仿宋"/>
          <w:color w:val="auto"/>
          <w:sz w:val="32"/>
          <w:szCs w:val="32"/>
          <w:lang w:val="en-US" w:eastAsia="zh-CN"/>
        </w:rPr>
        <w:t>3、固定资产情况</w:t>
      </w:r>
    </w:p>
    <w:p w14:paraId="5DDA88A1">
      <w:pPr>
        <w:adjustRightInd w:val="0"/>
        <w:snapToGrid w:val="0"/>
        <w:spacing w:line="560" w:lineRule="exact"/>
        <w:ind w:firstLine="640" w:firstLineChars="200"/>
        <w:rPr>
          <w:rFonts w:hint="eastAsia" w:ascii="仿宋_GB2312" w:hAnsi="仿宋_GB2312" w:eastAsia="仿宋_GB2312" w:cs="仿宋_GB2312"/>
          <w:sz w:val="32"/>
          <w:szCs w:val="32"/>
          <w:highlight w:val="yellow"/>
          <w:lang w:eastAsia="zh-CN"/>
        </w:rPr>
      </w:pPr>
      <w:r>
        <w:rPr>
          <w:rFonts w:hint="eastAsia" w:ascii="仿宋_GB2312" w:hAnsi="仿宋_GB2312" w:eastAsia="仿宋_GB2312" w:cs="仿宋_GB2312"/>
          <w:sz w:val="32"/>
          <w:szCs w:val="32"/>
          <w:highlight w:val="none"/>
        </w:rPr>
        <w:t>截至12月31日，</w:t>
      </w:r>
      <w:r>
        <w:rPr>
          <w:rFonts w:hint="eastAsia" w:ascii="仿宋_GB2312" w:hAnsi="仿宋_GB2312" w:eastAsia="仿宋_GB2312" w:cs="仿宋_GB2312"/>
          <w:color w:val="auto"/>
          <w:sz w:val="32"/>
          <w:szCs w:val="32"/>
          <w:highlight w:val="none"/>
        </w:rPr>
        <w:t>本部门</w:t>
      </w:r>
      <w:r>
        <w:rPr>
          <w:rFonts w:hint="eastAsia" w:ascii="仿宋_GB2312" w:hAnsi="仿宋_GB2312" w:eastAsia="仿宋_GB2312" w:cs="仿宋_GB2312"/>
          <w:color w:val="auto"/>
          <w:sz w:val="32"/>
          <w:szCs w:val="32"/>
          <w:highlight w:val="none"/>
          <w:lang w:eastAsia="zh-CN"/>
        </w:rPr>
        <w:t>净资产</w:t>
      </w:r>
      <w:r>
        <w:rPr>
          <w:rFonts w:hint="eastAsia" w:ascii="仿宋_GB2312" w:hAnsi="仿宋_GB2312" w:eastAsia="仿宋_GB2312" w:cs="仿宋_GB2312"/>
          <w:color w:val="auto"/>
          <w:sz w:val="32"/>
          <w:szCs w:val="32"/>
          <w:highlight w:val="none"/>
          <w:lang w:val="en-US" w:eastAsia="zh-CN"/>
        </w:rPr>
        <w:t>86.01</w:t>
      </w:r>
      <w:r>
        <w:rPr>
          <w:rFonts w:hint="eastAsia" w:ascii="仿宋_GB2312" w:hAnsi="仿宋_GB2312" w:eastAsia="仿宋_GB2312" w:cs="仿宋_GB2312"/>
          <w:sz w:val="32"/>
          <w:szCs w:val="32"/>
          <w:highlight w:val="none"/>
          <w:lang w:val="en-US" w:eastAsia="zh-CN"/>
        </w:rPr>
        <w:t>万元</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其中房屋及构筑物</w:t>
      </w:r>
      <w:r>
        <w:rPr>
          <w:rFonts w:hint="eastAsia" w:ascii="仿宋_GB2312" w:hAnsi="仿宋_GB2312" w:eastAsia="仿宋_GB2312" w:cs="仿宋_GB2312"/>
          <w:sz w:val="32"/>
          <w:szCs w:val="32"/>
          <w:highlight w:val="none"/>
          <w:lang w:val="en-US" w:eastAsia="zh-CN"/>
        </w:rPr>
        <w:t>7.80万元，</w:t>
      </w:r>
      <w:r>
        <w:rPr>
          <w:rFonts w:hint="eastAsia" w:ascii="仿宋_GB2312" w:hAnsi="仿宋_GB2312" w:eastAsia="仿宋_GB2312" w:cs="仿宋_GB2312"/>
          <w:sz w:val="32"/>
          <w:szCs w:val="32"/>
          <w:highlight w:val="none"/>
          <w:lang w:eastAsia="zh-CN"/>
        </w:rPr>
        <w:t>通用设备</w:t>
      </w:r>
      <w:r>
        <w:rPr>
          <w:rFonts w:hint="eastAsia" w:ascii="仿宋_GB2312" w:hAnsi="仿宋_GB2312" w:eastAsia="仿宋_GB2312" w:cs="仿宋_GB2312"/>
          <w:sz w:val="32"/>
          <w:szCs w:val="32"/>
          <w:highlight w:val="none"/>
          <w:lang w:val="en-US" w:eastAsia="zh-CN"/>
        </w:rPr>
        <w:t>47.89万元，专用设备0万元，家具30.33万元。</w:t>
      </w:r>
    </w:p>
    <w:p w14:paraId="4CF3ED4A">
      <w:pPr>
        <w:numPr>
          <w:ilvl w:val="0"/>
          <w:numId w:val="2"/>
        </w:numPr>
        <w:adjustRightInd w:val="0"/>
        <w:snapToGrid w:val="0"/>
        <w:spacing w:line="560" w:lineRule="exact"/>
        <w:ind w:left="-10" w:leftChars="0" w:firstLine="640" w:firstLineChars="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7695ADAE">
      <w:pPr>
        <w:ind w:firstLine="640" w:firstLineChars="200"/>
        <w:rPr>
          <w:rFonts w:hint="eastAsia" w:ascii="楷体" w:hAnsi="楷体" w:eastAsia="楷体" w:cs="仿宋"/>
          <w:b w:val="0"/>
          <w:bCs/>
          <w:sz w:val="32"/>
          <w:szCs w:val="32"/>
          <w:highlight w:val="none"/>
          <w:lang w:eastAsia="zh-CN"/>
        </w:rPr>
      </w:pPr>
      <w:r>
        <w:rPr>
          <w:rFonts w:hint="eastAsia" w:ascii="楷体" w:hAnsi="楷体" w:eastAsia="楷体" w:cs="仿宋"/>
          <w:b w:val="0"/>
          <w:bCs/>
          <w:sz w:val="32"/>
          <w:szCs w:val="32"/>
          <w:highlight w:val="none"/>
          <w:lang w:val="en-US" w:eastAsia="zh-CN"/>
        </w:rPr>
        <w:t>1.</w:t>
      </w:r>
      <w:r>
        <w:rPr>
          <w:rFonts w:hint="eastAsia" w:ascii="楷体" w:hAnsi="楷体" w:eastAsia="楷体" w:cs="仿宋"/>
          <w:b w:val="0"/>
          <w:bCs/>
          <w:sz w:val="32"/>
          <w:szCs w:val="32"/>
          <w:highlight w:val="none"/>
        </w:rPr>
        <w:t>收入</w:t>
      </w:r>
      <w:r>
        <w:rPr>
          <w:rFonts w:hint="eastAsia" w:ascii="楷体" w:hAnsi="楷体" w:eastAsia="楷体" w:cs="仿宋"/>
          <w:b w:val="0"/>
          <w:bCs/>
          <w:sz w:val="32"/>
          <w:szCs w:val="32"/>
          <w:highlight w:val="none"/>
          <w:lang w:eastAsia="zh-CN"/>
        </w:rPr>
        <w:t>情况</w:t>
      </w:r>
    </w:p>
    <w:p w14:paraId="6C72354C">
      <w:pPr>
        <w:ind w:firstLine="640" w:firstLineChars="200"/>
        <w:rPr>
          <w:rFonts w:ascii="仿宋" w:hAnsi="仿宋" w:eastAsia="仿宋" w:cs="仿宋"/>
          <w:sz w:val="32"/>
          <w:szCs w:val="32"/>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年预</w:t>
      </w:r>
      <w:r>
        <w:rPr>
          <w:rFonts w:hint="eastAsia" w:ascii="仿宋" w:hAnsi="仿宋" w:eastAsia="仿宋" w:cs="仿宋"/>
          <w:sz w:val="32"/>
          <w:szCs w:val="32"/>
          <w:lang w:eastAsia="zh-CN"/>
        </w:rPr>
        <w:t>决</w:t>
      </w:r>
      <w:r>
        <w:rPr>
          <w:rFonts w:hint="eastAsia" w:ascii="仿宋" w:hAnsi="仿宋" w:eastAsia="仿宋" w:cs="仿宋"/>
          <w:sz w:val="32"/>
          <w:szCs w:val="32"/>
        </w:rPr>
        <w:t>算收入</w:t>
      </w:r>
      <w:r>
        <w:rPr>
          <w:rFonts w:hint="eastAsia" w:ascii="仿宋" w:hAnsi="仿宋" w:eastAsia="仿宋" w:cs="仿宋"/>
          <w:sz w:val="32"/>
          <w:szCs w:val="32"/>
          <w:lang w:val="en-US" w:eastAsia="zh-CN"/>
        </w:rPr>
        <w:t>697.64506</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697.64506</w:t>
      </w:r>
      <w:r>
        <w:rPr>
          <w:rFonts w:hint="eastAsia" w:ascii="仿宋" w:hAnsi="仿宋" w:eastAsia="仿宋" w:cs="仿宋"/>
          <w:sz w:val="32"/>
          <w:szCs w:val="32"/>
        </w:rPr>
        <w:t>万元，基金预算收入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万元，国有资本经营预算收入0万元，财政专户核拨收入0万元，其他来源收入0万元。</w:t>
      </w:r>
    </w:p>
    <w:p w14:paraId="65379599">
      <w:pPr>
        <w:ind w:firstLine="640" w:firstLineChars="200"/>
        <w:rPr>
          <w:rFonts w:hint="eastAsia" w:ascii="楷体" w:hAnsi="楷体" w:eastAsia="楷体" w:cs="仿宋"/>
          <w:b w:val="0"/>
          <w:bCs/>
          <w:sz w:val="32"/>
          <w:szCs w:val="32"/>
          <w:lang w:eastAsia="zh-CN"/>
        </w:rPr>
      </w:pPr>
      <w:r>
        <w:rPr>
          <w:rFonts w:hint="eastAsia" w:ascii="楷体" w:hAnsi="楷体" w:eastAsia="楷体" w:cs="仿宋"/>
          <w:b w:val="0"/>
          <w:bCs/>
          <w:sz w:val="32"/>
          <w:szCs w:val="32"/>
          <w:lang w:val="en-US" w:eastAsia="zh-CN"/>
        </w:rPr>
        <w:t>2.</w:t>
      </w:r>
      <w:r>
        <w:rPr>
          <w:rFonts w:hint="eastAsia" w:ascii="楷体" w:hAnsi="楷体" w:eastAsia="楷体" w:cs="仿宋"/>
          <w:b w:val="0"/>
          <w:bCs/>
          <w:sz w:val="32"/>
          <w:szCs w:val="32"/>
        </w:rPr>
        <w:t>支出</w:t>
      </w:r>
      <w:r>
        <w:rPr>
          <w:rFonts w:hint="eastAsia" w:ascii="楷体" w:hAnsi="楷体" w:eastAsia="楷体" w:cs="仿宋"/>
          <w:b w:val="0"/>
          <w:bCs/>
          <w:sz w:val="32"/>
          <w:szCs w:val="32"/>
          <w:lang w:eastAsia="zh-CN"/>
        </w:rPr>
        <w:t>情况</w:t>
      </w:r>
    </w:p>
    <w:p w14:paraId="679CFFE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年支出预</w:t>
      </w:r>
      <w:r>
        <w:rPr>
          <w:rFonts w:hint="eastAsia" w:ascii="仿宋" w:hAnsi="仿宋" w:eastAsia="仿宋" w:cs="仿宋"/>
          <w:sz w:val="32"/>
          <w:szCs w:val="32"/>
          <w:lang w:eastAsia="zh-CN"/>
        </w:rPr>
        <w:t>决</w:t>
      </w:r>
      <w:r>
        <w:rPr>
          <w:rFonts w:hint="eastAsia" w:ascii="仿宋" w:hAnsi="仿宋" w:eastAsia="仿宋" w:cs="仿宋"/>
          <w:sz w:val="32"/>
          <w:szCs w:val="32"/>
        </w:rPr>
        <w:t>算</w:t>
      </w:r>
      <w:r>
        <w:rPr>
          <w:rFonts w:hint="eastAsia" w:ascii="仿宋" w:hAnsi="仿宋" w:eastAsia="仿宋" w:cs="仿宋"/>
          <w:sz w:val="32"/>
          <w:szCs w:val="32"/>
          <w:lang w:val="en-US" w:eastAsia="zh-CN"/>
        </w:rPr>
        <w:t>697.64506</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440.18696</w:t>
      </w:r>
      <w:r>
        <w:rPr>
          <w:rFonts w:hint="eastAsia" w:ascii="仿宋" w:hAnsi="仿宋" w:eastAsia="仿宋" w:cs="仿宋"/>
          <w:sz w:val="32"/>
          <w:szCs w:val="32"/>
        </w:rPr>
        <w:t>万元和公用经费</w:t>
      </w:r>
      <w:r>
        <w:rPr>
          <w:rFonts w:hint="eastAsia" w:ascii="仿宋" w:hAnsi="仿宋" w:eastAsia="仿宋" w:cs="仿宋"/>
          <w:sz w:val="32"/>
          <w:szCs w:val="32"/>
          <w:lang w:val="en-US" w:eastAsia="zh-CN"/>
        </w:rPr>
        <w:t>102.93</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154.5281</w:t>
      </w:r>
      <w:r>
        <w:rPr>
          <w:rFonts w:hint="eastAsia" w:ascii="仿宋" w:hAnsi="仿宋" w:eastAsia="仿宋" w:cs="仿宋"/>
          <w:sz w:val="32"/>
          <w:szCs w:val="32"/>
        </w:rPr>
        <w:t>万元，</w:t>
      </w:r>
      <w:r>
        <w:rPr>
          <w:rFonts w:hint="eastAsia" w:ascii="仿宋" w:hAnsi="仿宋" w:eastAsia="仿宋"/>
          <w:sz w:val="32"/>
          <w:szCs w:val="32"/>
          <w:lang w:val="en-US" w:eastAsia="zh-CN"/>
        </w:rPr>
        <w:t xml:space="preserve">   </w:t>
      </w:r>
    </w:p>
    <w:p w14:paraId="1AA920D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（三）部门整体支出绩效目标、指标</w:t>
      </w:r>
    </w:p>
    <w:p w14:paraId="1F8D741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制定绩效评价指标体系。研究建立了单位整体支出、工作活动、预算项目、财政政策绩效评价指标框架体系，为单位整体支出、工作活动 、预算项目和财政政策评价提供了科学规范的指标体系，有效保障了绩效评价工作的顺利开展。</w:t>
      </w:r>
    </w:p>
    <w:p w14:paraId="049B3E7A">
      <w:pPr>
        <w:adjustRightInd w:val="0"/>
        <w:snapToGrid w:val="0"/>
        <w:spacing w:line="560" w:lineRule="exact"/>
        <w:ind w:firstLine="643" w:firstLineChars="200"/>
        <w:rPr>
          <w:rFonts w:hint="eastAsia" w:ascii="仿宋" w:hAnsi="仿宋" w:eastAsia="仿宋"/>
          <w:b/>
          <w:bCs/>
          <w:sz w:val="32"/>
          <w:szCs w:val="32"/>
        </w:rPr>
      </w:pPr>
      <w:r>
        <w:rPr>
          <w:rFonts w:hint="eastAsia" w:ascii="仿宋" w:hAnsi="仿宋" w:eastAsia="仿宋"/>
          <w:b/>
          <w:bCs/>
          <w:sz w:val="32"/>
          <w:szCs w:val="32"/>
        </w:rPr>
        <w:t>二、自评工作开展情况</w:t>
      </w:r>
    </w:p>
    <w:p w14:paraId="45ED88F6">
      <w:pPr>
        <w:adjustRightInd w:val="0"/>
        <w:snapToGrid w:val="0"/>
        <w:spacing w:line="560" w:lineRule="exact"/>
        <w:ind w:firstLine="640" w:firstLineChars="200"/>
        <w:jc w:val="left"/>
        <w:rPr>
          <w:rFonts w:hint="eastAsia" w:ascii="仿宋" w:hAnsi="仿宋" w:eastAsia="仿宋"/>
          <w:sz w:val="32"/>
          <w:szCs w:val="32"/>
        </w:rPr>
      </w:pPr>
      <w:r>
        <w:rPr>
          <w:rFonts w:hint="eastAsia" w:ascii="仿宋" w:hAnsi="仿宋" w:eastAsia="仿宋"/>
          <w:sz w:val="32"/>
          <w:szCs w:val="32"/>
        </w:rPr>
        <w:t>自评的组织工作</w:t>
      </w:r>
    </w:p>
    <w:p w14:paraId="3E7C628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成立以</w:t>
      </w:r>
      <w:r>
        <w:rPr>
          <w:rFonts w:hint="eastAsia" w:ascii="仿宋" w:hAnsi="仿宋" w:eastAsia="仿宋"/>
          <w:sz w:val="32"/>
          <w:szCs w:val="32"/>
          <w:lang w:val="en-US" w:eastAsia="zh-CN"/>
        </w:rPr>
        <w:t>办公室主任为</w:t>
      </w:r>
      <w:r>
        <w:rPr>
          <w:rFonts w:hint="eastAsia" w:ascii="仿宋" w:hAnsi="仿宋" w:eastAsia="仿宋"/>
          <w:sz w:val="32"/>
          <w:szCs w:val="32"/>
        </w:rPr>
        <w:t>组长，</w:t>
      </w:r>
      <w:r>
        <w:rPr>
          <w:rFonts w:hint="eastAsia" w:ascii="仿宋" w:hAnsi="仿宋" w:eastAsia="仿宋"/>
          <w:sz w:val="32"/>
          <w:szCs w:val="32"/>
          <w:lang w:val="en-US" w:eastAsia="zh-CN"/>
        </w:rPr>
        <w:t>副主任</w:t>
      </w:r>
      <w:r>
        <w:rPr>
          <w:rFonts w:hint="eastAsia" w:ascii="仿宋" w:hAnsi="仿宋" w:eastAsia="仿宋"/>
          <w:sz w:val="32"/>
          <w:szCs w:val="32"/>
        </w:rPr>
        <w:t>为副组长的领导小组，通过自我评价，评估内部控制的全面性、重要性、制衡性、适应性和有效性，进一步改进和完善内部控制。</w:t>
      </w:r>
    </w:p>
    <w:p w14:paraId="447F618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自评的方法和过程</w:t>
      </w:r>
    </w:p>
    <w:p w14:paraId="6D00F12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自评工作领导小组要单位提交年初的预算文本和年终的工作报告，并根据项目支出的有关绩效情况填写《绩效目标自评表》，初步形成自评报告，自评工作领导小组在单位自评报告的基础上，结合项目实施情况开展评价，最后分析原因，提出建议，形成最终的自评价报告。</w:t>
      </w:r>
    </w:p>
    <w:p w14:paraId="61EB489F">
      <w:pPr>
        <w:adjustRightInd w:val="0"/>
        <w:snapToGrid w:val="0"/>
        <w:spacing w:line="560" w:lineRule="exact"/>
        <w:ind w:firstLine="643" w:firstLineChars="200"/>
        <w:rPr>
          <w:rFonts w:hint="eastAsia" w:ascii="仿宋" w:hAnsi="仿宋" w:eastAsia="仿宋"/>
          <w:b/>
          <w:bCs/>
          <w:color w:val="auto"/>
          <w:sz w:val="32"/>
          <w:szCs w:val="32"/>
        </w:rPr>
      </w:pPr>
      <w:r>
        <w:rPr>
          <w:rFonts w:hint="eastAsia" w:ascii="仿宋" w:hAnsi="仿宋" w:eastAsia="仿宋"/>
          <w:b/>
          <w:bCs/>
          <w:color w:val="auto"/>
          <w:sz w:val="32"/>
          <w:szCs w:val="32"/>
        </w:rPr>
        <w:t>三、部门整体支出绩效目标实现情况及指标分析</w:t>
      </w:r>
    </w:p>
    <w:p w14:paraId="01FAE1BB">
      <w:pPr>
        <w:adjustRightInd w:val="0"/>
        <w:snapToGrid w:val="0"/>
        <w:spacing w:line="560" w:lineRule="exact"/>
        <w:ind w:firstLine="640" w:firstLineChars="200"/>
        <w:rPr>
          <w:rFonts w:hint="eastAsia" w:ascii="仿宋" w:hAnsi="仿宋" w:eastAsia="仿宋"/>
          <w:color w:val="auto"/>
          <w:sz w:val="32"/>
          <w:szCs w:val="32"/>
        </w:rPr>
      </w:pPr>
      <w:r>
        <w:rPr>
          <w:rFonts w:hint="eastAsia" w:ascii="仿宋" w:hAnsi="仿宋" w:eastAsia="仿宋"/>
          <w:color w:val="auto"/>
          <w:sz w:val="32"/>
          <w:szCs w:val="32"/>
          <w:lang w:eastAsia="zh-CN"/>
        </w:rPr>
        <w:t>（</w:t>
      </w:r>
      <w:r>
        <w:rPr>
          <w:rFonts w:hint="eastAsia" w:ascii="仿宋" w:hAnsi="仿宋" w:eastAsia="仿宋"/>
          <w:color w:val="auto"/>
          <w:sz w:val="32"/>
          <w:szCs w:val="32"/>
          <w:lang w:val="en-US" w:eastAsia="zh-CN"/>
        </w:rPr>
        <w:t>一</w:t>
      </w:r>
      <w:r>
        <w:rPr>
          <w:rFonts w:hint="eastAsia" w:ascii="仿宋" w:hAnsi="仿宋" w:eastAsia="仿宋"/>
          <w:color w:val="auto"/>
          <w:sz w:val="32"/>
          <w:szCs w:val="32"/>
          <w:lang w:eastAsia="zh-CN"/>
        </w:rPr>
        <w:t>）</w:t>
      </w:r>
      <w:r>
        <w:rPr>
          <w:rFonts w:hint="eastAsia" w:ascii="仿宋" w:hAnsi="仿宋" w:eastAsia="仿宋"/>
          <w:color w:val="auto"/>
          <w:sz w:val="32"/>
          <w:szCs w:val="32"/>
        </w:rPr>
        <w:t>总体绩效目标实现情况</w:t>
      </w:r>
    </w:p>
    <w:p w14:paraId="4CB7FE0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1、坚持党对人大工作的领导，切实扛起人大工作政治责任。2、践行新发展理念，依法充分履职，围绕</w:t>
      </w:r>
      <w:r>
        <w:rPr>
          <w:rFonts w:hint="eastAsia" w:ascii="仿宋" w:hAnsi="仿宋" w:eastAsia="仿宋"/>
          <w:sz w:val="32"/>
          <w:szCs w:val="32"/>
          <w:lang w:eastAsia="zh-CN"/>
        </w:rPr>
        <w:t>县委精神</w:t>
      </w:r>
      <w:r>
        <w:rPr>
          <w:rFonts w:hint="eastAsia" w:ascii="仿宋" w:hAnsi="仿宋" w:eastAsia="仿宋"/>
          <w:sz w:val="32"/>
          <w:szCs w:val="32"/>
        </w:rPr>
        <w:t>开展监督。依法决定重大事项。依法做好人事任免，扎实开展任后监督。3、尊重代表主体地位，做实做细代表服务工作。创新和完善代表建议办理工作。加强代表管理工作。加强对代表小组活动指导。4、守正创新，适应新时代人大常委会机关工作新要求。强化机关自身建设。积极参与</w:t>
      </w:r>
      <w:r>
        <w:rPr>
          <w:rFonts w:hint="eastAsia" w:ascii="仿宋" w:hAnsi="仿宋" w:eastAsia="仿宋"/>
          <w:sz w:val="32"/>
          <w:szCs w:val="32"/>
          <w:lang w:eastAsia="zh-CN"/>
        </w:rPr>
        <w:t>县</w:t>
      </w:r>
      <w:r>
        <w:rPr>
          <w:rFonts w:hint="eastAsia" w:ascii="仿宋" w:hAnsi="仿宋" w:eastAsia="仿宋"/>
          <w:sz w:val="32"/>
          <w:szCs w:val="32"/>
        </w:rPr>
        <w:t>委中心工作。5、配合上级人大开展工作，加强与区县市人大横向交流。加强对乡镇街道人大工作的指导和领导。</w:t>
      </w:r>
    </w:p>
    <w:p w14:paraId="5C504E7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我办在部门整体支出中，严格按照年初预算安排，坚持“无预算，不支出；有预算，严格按预算支出”的原则，以及“细化预算和提前编制预算”原则，严格遵守资金管理制度，强化监督，专款专用，确保各项资金及时到位，无截留、挪用等现象。健全和完善管理制度，加强基本支出管理。严格审批程序，严格执行国家规定的开支范围及开支标准，量入为出，坚持联审会签制度。严格报账程序，实行国库集中支付制度，严格完善相关资料手续、审核审批程序，保证了各项资金使用的合理合规，充分发挥了各项资金的使用效益。</w:t>
      </w:r>
    </w:p>
    <w:p w14:paraId="350C11CE">
      <w:pPr>
        <w:spacing w:line="560" w:lineRule="exact"/>
        <w:ind w:firstLine="640" w:firstLineChars="200"/>
        <w:rPr>
          <w:rFonts w:hint="eastAsia" w:ascii="仿宋" w:hAnsi="仿宋" w:eastAsia="仿宋"/>
          <w:color w:val="auto"/>
          <w:sz w:val="32"/>
          <w:szCs w:val="32"/>
        </w:rPr>
      </w:pPr>
      <w:r>
        <w:rPr>
          <w:rFonts w:hint="eastAsia" w:ascii="楷体" w:hAnsi="楷体" w:eastAsia="楷体" w:cs="楷体_GB2312"/>
          <w:bCs/>
          <w:color w:val="auto"/>
          <w:sz w:val="32"/>
          <w:szCs w:val="32"/>
        </w:rPr>
        <w:t>（二）分项绩效目标实现情况及指标分析</w:t>
      </w:r>
    </w:p>
    <w:p w14:paraId="483BAA1A">
      <w:pPr>
        <w:spacing w:line="560" w:lineRule="exact"/>
        <w:ind w:firstLine="800" w:firstLineChars="250"/>
        <w:rPr>
          <w:rFonts w:hint="eastAsia" w:ascii="仿宋" w:hAnsi="仿宋" w:eastAsia="仿宋"/>
          <w:color w:val="auto"/>
          <w:sz w:val="32"/>
          <w:szCs w:val="32"/>
        </w:rPr>
      </w:pPr>
      <w:r>
        <w:rPr>
          <w:rFonts w:hint="eastAsia" w:ascii="仿宋" w:hAnsi="仿宋" w:eastAsia="仿宋"/>
          <w:color w:val="auto"/>
          <w:sz w:val="32"/>
          <w:szCs w:val="32"/>
        </w:rPr>
        <w:t>1、绩效目标：</w:t>
      </w:r>
      <w:r>
        <w:rPr>
          <w:rFonts w:hint="eastAsia" w:ascii="仿宋" w:hAnsi="仿宋" w:eastAsia="仿宋"/>
          <w:color w:val="auto"/>
          <w:sz w:val="32"/>
          <w:szCs w:val="32"/>
          <w:lang w:val="en-US" w:eastAsia="zh-CN"/>
        </w:rPr>
        <w:t>根据年度</w:t>
      </w:r>
      <w:r>
        <w:rPr>
          <w:rFonts w:hint="eastAsia" w:ascii="仿宋" w:hAnsi="仿宋" w:eastAsia="仿宋"/>
          <w:color w:val="auto"/>
          <w:sz w:val="32"/>
          <w:szCs w:val="32"/>
        </w:rPr>
        <w:t>计划，</w:t>
      </w:r>
      <w:r>
        <w:rPr>
          <w:rFonts w:hint="eastAsia" w:ascii="仿宋" w:hAnsi="仿宋" w:eastAsia="仿宋"/>
          <w:color w:val="auto"/>
          <w:sz w:val="32"/>
          <w:szCs w:val="32"/>
          <w:lang w:val="en-US" w:eastAsia="zh-CN"/>
        </w:rPr>
        <w:t>召开人代会</w:t>
      </w:r>
      <w:r>
        <w:rPr>
          <w:rFonts w:hint="eastAsia" w:ascii="仿宋" w:hAnsi="仿宋" w:eastAsia="仿宋"/>
          <w:color w:val="auto"/>
          <w:sz w:val="32"/>
          <w:szCs w:val="32"/>
        </w:rPr>
        <w:t>、</w:t>
      </w:r>
      <w:r>
        <w:rPr>
          <w:rFonts w:hint="eastAsia" w:ascii="仿宋" w:hAnsi="仿宋" w:eastAsia="仿宋"/>
          <w:color w:val="auto"/>
          <w:sz w:val="32"/>
          <w:szCs w:val="32"/>
          <w:lang w:val="en-US" w:eastAsia="zh-CN"/>
        </w:rPr>
        <w:t>主任会、人大常委会、视察、调研、代表培训</w:t>
      </w:r>
      <w:r>
        <w:rPr>
          <w:rFonts w:hint="eastAsia" w:ascii="仿宋" w:hAnsi="仿宋" w:eastAsia="仿宋"/>
          <w:color w:val="auto"/>
          <w:sz w:val="32"/>
          <w:szCs w:val="32"/>
        </w:rPr>
        <w:t>。</w:t>
      </w:r>
    </w:p>
    <w:p w14:paraId="7A2BA8F8">
      <w:pPr>
        <w:spacing w:line="560" w:lineRule="exact"/>
        <w:ind w:firstLine="1120" w:firstLineChars="350"/>
        <w:rPr>
          <w:rFonts w:hint="eastAsia" w:ascii="仿宋" w:hAnsi="仿宋" w:eastAsia="仿宋"/>
          <w:color w:val="auto"/>
          <w:sz w:val="32"/>
          <w:szCs w:val="32"/>
        </w:rPr>
      </w:pPr>
      <w:r>
        <w:rPr>
          <w:rFonts w:hint="eastAsia" w:ascii="仿宋" w:hAnsi="仿宋" w:eastAsia="仿宋"/>
          <w:color w:val="auto"/>
          <w:sz w:val="32"/>
          <w:szCs w:val="32"/>
        </w:rPr>
        <w:t>绩效指标：</w:t>
      </w:r>
      <w:r>
        <w:rPr>
          <w:rFonts w:hint="eastAsia" w:ascii="仿宋" w:hAnsi="仿宋" w:eastAsia="仿宋"/>
          <w:color w:val="auto"/>
          <w:sz w:val="32"/>
          <w:szCs w:val="32"/>
          <w:lang w:val="en-US" w:eastAsia="zh-CN"/>
        </w:rPr>
        <w:t>代表</w:t>
      </w:r>
      <w:r>
        <w:rPr>
          <w:rFonts w:hint="eastAsia" w:ascii="仿宋" w:hAnsi="仿宋" w:eastAsia="仿宋"/>
          <w:color w:val="auto"/>
          <w:sz w:val="32"/>
          <w:szCs w:val="32"/>
        </w:rPr>
        <w:t>满意率≧9</w:t>
      </w:r>
      <w:r>
        <w:rPr>
          <w:rFonts w:hint="eastAsia" w:ascii="仿宋" w:hAnsi="仿宋" w:eastAsia="仿宋"/>
          <w:color w:val="auto"/>
          <w:sz w:val="32"/>
          <w:szCs w:val="32"/>
          <w:lang w:val="en-US" w:eastAsia="zh-CN"/>
        </w:rPr>
        <w:t>5</w:t>
      </w:r>
      <w:r>
        <w:rPr>
          <w:rFonts w:hint="eastAsia" w:ascii="仿宋" w:hAnsi="仿宋" w:eastAsia="仿宋"/>
          <w:color w:val="auto"/>
          <w:sz w:val="32"/>
          <w:szCs w:val="32"/>
        </w:rPr>
        <w:t>%；</w:t>
      </w:r>
      <w:r>
        <w:rPr>
          <w:rFonts w:hint="eastAsia" w:ascii="仿宋" w:hAnsi="仿宋" w:eastAsia="仿宋"/>
          <w:color w:val="auto"/>
          <w:sz w:val="32"/>
          <w:szCs w:val="32"/>
          <w:lang w:val="en-US" w:eastAsia="zh-CN"/>
        </w:rPr>
        <w:t>召开会议、</w:t>
      </w:r>
      <w:r>
        <w:rPr>
          <w:rFonts w:hint="eastAsia" w:ascii="仿宋" w:hAnsi="仿宋" w:eastAsia="仿宋"/>
          <w:color w:val="auto"/>
          <w:sz w:val="32"/>
          <w:szCs w:val="32"/>
        </w:rPr>
        <w:t>培训、</w:t>
      </w:r>
      <w:r>
        <w:rPr>
          <w:rFonts w:hint="eastAsia" w:ascii="仿宋" w:hAnsi="仿宋" w:eastAsia="仿宋"/>
          <w:color w:val="auto"/>
          <w:sz w:val="32"/>
          <w:szCs w:val="32"/>
          <w:lang w:val="en-US" w:eastAsia="zh-CN"/>
        </w:rPr>
        <w:t>视察、调研</w:t>
      </w:r>
      <w:r>
        <w:rPr>
          <w:rFonts w:hint="eastAsia" w:ascii="仿宋" w:hAnsi="仿宋" w:eastAsia="仿宋"/>
          <w:color w:val="auto"/>
          <w:sz w:val="32"/>
          <w:szCs w:val="32"/>
        </w:rPr>
        <w:t>工作完成率≧98%。</w:t>
      </w:r>
    </w:p>
    <w:p w14:paraId="48853A0A">
      <w:pPr>
        <w:spacing w:line="560" w:lineRule="exact"/>
        <w:ind w:firstLine="800" w:firstLineChars="250"/>
        <w:rPr>
          <w:rFonts w:hint="eastAsia" w:ascii="仿宋" w:hAnsi="仿宋" w:eastAsia="仿宋"/>
          <w:color w:val="auto"/>
          <w:sz w:val="32"/>
          <w:szCs w:val="32"/>
        </w:rPr>
      </w:pPr>
      <w:r>
        <w:rPr>
          <w:rFonts w:hint="eastAsia" w:ascii="仿宋" w:hAnsi="仿宋" w:eastAsia="仿宋"/>
          <w:color w:val="auto"/>
          <w:sz w:val="32"/>
          <w:szCs w:val="32"/>
        </w:rPr>
        <w:t>2、绩效目标：通过严格的后勤管理，为</w:t>
      </w:r>
      <w:r>
        <w:rPr>
          <w:rFonts w:hint="eastAsia" w:ascii="仿宋" w:hAnsi="仿宋" w:eastAsia="仿宋"/>
          <w:color w:val="auto"/>
          <w:sz w:val="32"/>
          <w:szCs w:val="32"/>
          <w:lang w:val="en-US" w:eastAsia="zh-CN"/>
        </w:rPr>
        <w:t>召开会议、代表培训、视察、调研等</w:t>
      </w:r>
      <w:r>
        <w:rPr>
          <w:rFonts w:hint="eastAsia" w:ascii="仿宋" w:hAnsi="仿宋" w:eastAsia="仿宋"/>
          <w:color w:val="auto"/>
          <w:sz w:val="32"/>
          <w:szCs w:val="32"/>
        </w:rPr>
        <w:t>活动创造良好的硬件环境和后勤保障。</w:t>
      </w:r>
    </w:p>
    <w:p w14:paraId="19D9E898">
      <w:pPr>
        <w:spacing w:line="560" w:lineRule="exact"/>
        <w:ind w:firstLine="1120" w:firstLineChars="350"/>
        <w:rPr>
          <w:rFonts w:hint="eastAsia" w:ascii="仿宋" w:hAnsi="仿宋" w:eastAsia="仿宋"/>
          <w:color w:val="auto"/>
          <w:sz w:val="32"/>
          <w:szCs w:val="32"/>
        </w:rPr>
      </w:pPr>
      <w:r>
        <w:rPr>
          <w:rFonts w:hint="eastAsia" w:ascii="仿宋" w:hAnsi="仿宋" w:eastAsia="仿宋"/>
          <w:color w:val="auto"/>
          <w:sz w:val="32"/>
          <w:szCs w:val="32"/>
        </w:rPr>
        <w:t>绩效指标：</w:t>
      </w:r>
      <w:r>
        <w:rPr>
          <w:rFonts w:hint="eastAsia" w:ascii="仿宋" w:hAnsi="仿宋" w:eastAsia="仿宋"/>
          <w:color w:val="auto"/>
          <w:sz w:val="32"/>
          <w:szCs w:val="32"/>
          <w:lang w:val="en-US" w:eastAsia="zh-CN"/>
        </w:rPr>
        <w:t>代表</w:t>
      </w:r>
      <w:r>
        <w:rPr>
          <w:rFonts w:hint="eastAsia" w:ascii="仿宋" w:hAnsi="仿宋" w:eastAsia="仿宋"/>
          <w:color w:val="auto"/>
          <w:sz w:val="32"/>
          <w:szCs w:val="32"/>
        </w:rPr>
        <w:t>满意程度≥95%，</w:t>
      </w:r>
    </w:p>
    <w:p w14:paraId="1D21CF5B">
      <w:pPr>
        <w:spacing w:line="560" w:lineRule="exact"/>
        <w:ind w:firstLine="800" w:firstLineChars="250"/>
        <w:rPr>
          <w:rFonts w:hint="eastAsia" w:ascii="仿宋" w:hAnsi="仿宋" w:eastAsia="仿宋"/>
          <w:color w:val="auto"/>
          <w:sz w:val="32"/>
          <w:szCs w:val="32"/>
        </w:rPr>
      </w:pPr>
      <w:r>
        <w:rPr>
          <w:rFonts w:hint="eastAsia" w:ascii="仿宋" w:hAnsi="仿宋" w:eastAsia="仿宋"/>
          <w:color w:val="auto"/>
          <w:sz w:val="32"/>
          <w:szCs w:val="32"/>
        </w:rPr>
        <w:t xml:space="preserve">3、绩效目标：提高工作效率，保障日常公用经费使用科学高效。     </w:t>
      </w:r>
    </w:p>
    <w:p w14:paraId="229385A3">
      <w:pPr>
        <w:spacing w:line="560" w:lineRule="exact"/>
        <w:ind w:firstLine="1120" w:firstLineChars="350"/>
        <w:rPr>
          <w:rFonts w:hint="eastAsia" w:ascii="仿宋" w:hAnsi="仿宋" w:eastAsia="仿宋"/>
          <w:color w:val="auto"/>
          <w:sz w:val="32"/>
          <w:szCs w:val="32"/>
        </w:rPr>
      </w:pPr>
      <w:r>
        <w:rPr>
          <w:rFonts w:hint="eastAsia" w:ascii="仿宋" w:hAnsi="仿宋" w:eastAsia="仿宋"/>
          <w:color w:val="auto"/>
          <w:sz w:val="32"/>
          <w:szCs w:val="32"/>
        </w:rPr>
        <w:t>绩效指标：加强节能型机关建设，号召单位职工从节约每一张纸，每一度电做起，确保公用经费使用到位。</w:t>
      </w:r>
    </w:p>
    <w:p w14:paraId="44C8408E">
      <w:pPr>
        <w:spacing w:line="560" w:lineRule="exact"/>
        <w:ind w:firstLine="800" w:firstLineChars="250"/>
        <w:rPr>
          <w:rFonts w:hint="eastAsia" w:ascii="仿宋" w:hAnsi="仿宋" w:eastAsia="仿宋"/>
          <w:color w:val="auto"/>
          <w:sz w:val="32"/>
          <w:szCs w:val="32"/>
        </w:rPr>
      </w:pPr>
      <w:r>
        <w:rPr>
          <w:rFonts w:hint="eastAsia" w:ascii="仿宋" w:hAnsi="仿宋" w:eastAsia="仿宋"/>
          <w:color w:val="auto"/>
          <w:sz w:val="32"/>
          <w:szCs w:val="32"/>
        </w:rPr>
        <w:t>4、绩效目标：按时足额发放人员工资福利。</w:t>
      </w:r>
    </w:p>
    <w:p w14:paraId="40CF6255">
      <w:pPr>
        <w:spacing w:line="560" w:lineRule="exact"/>
        <w:ind w:firstLine="1120" w:firstLineChars="350"/>
        <w:rPr>
          <w:rFonts w:ascii="仿宋" w:hAnsi="仿宋" w:eastAsia="仿宋"/>
          <w:color w:val="auto"/>
          <w:sz w:val="32"/>
          <w:szCs w:val="32"/>
        </w:rPr>
      </w:pPr>
      <w:r>
        <w:rPr>
          <w:rFonts w:hint="eastAsia" w:ascii="仿宋" w:hAnsi="仿宋" w:eastAsia="仿宋"/>
          <w:color w:val="auto"/>
          <w:sz w:val="32"/>
          <w:szCs w:val="32"/>
        </w:rPr>
        <w:t>绩效指标：保障在职退休人员的工资福利准确及时发放，加强工作人员归属感，保持干部稳定性。</w:t>
      </w:r>
    </w:p>
    <w:p w14:paraId="5AB20148">
      <w:pPr>
        <w:spacing w:line="560" w:lineRule="exact"/>
        <w:ind w:firstLine="640" w:firstLineChars="200"/>
        <w:rPr>
          <w:rFonts w:ascii="黑体" w:hAnsi="黑体" w:eastAsia="黑体"/>
          <w:sz w:val="32"/>
          <w:szCs w:val="32"/>
          <w:u w:val="none"/>
        </w:rPr>
      </w:pPr>
      <w:r>
        <w:rPr>
          <w:rFonts w:hint="eastAsia" w:ascii="黑体" w:hAnsi="黑体" w:eastAsia="黑体"/>
          <w:sz w:val="32"/>
          <w:szCs w:val="32"/>
          <w:u w:val="none"/>
        </w:rPr>
        <w:t>四、评价结论和评价等级</w:t>
      </w:r>
    </w:p>
    <w:p w14:paraId="06E55663">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县人代会按规定</w:t>
      </w:r>
      <w:r>
        <w:rPr>
          <w:rFonts w:hint="eastAsia" w:ascii="仿宋" w:hAnsi="仿宋" w:eastAsia="仿宋"/>
          <w:sz w:val="32"/>
          <w:szCs w:val="32"/>
          <w:lang w:eastAsia="zh-CN"/>
        </w:rPr>
        <w:t>完成，根据项目执行情况和项目绩效情况，总得分为</w:t>
      </w:r>
      <w:r>
        <w:rPr>
          <w:rFonts w:hint="eastAsia" w:ascii="仿宋" w:hAnsi="仿宋" w:eastAsia="仿宋"/>
          <w:sz w:val="32"/>
          <w:szCs w:val="32"/>
          <w:lang w:val="en-US" w:eastAsia="zh-CN"/>
        </w:rPr>
        <w:t>100分，项目综合绩效评价为优秀。</w:t>
      </w:r>
    </w:p>
    <w:p w14:paraId="563F505A">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25FA2750">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1A99FCFB">
      <w:pPr>
        <w:spacing w:line="560" w:lineRule="exact"/>
        <w:ind w:firstLine="640" w:firstLineChars="200"/>
        <w:rPr>
          <w:rFonts w:hint="eastAsia" w:ascii="楷体" w:hAnsi="楷体" w:eastAsia="楷体"/>
          <w:bCs/>
          <w:sz w:val="32"/>
          <w:szCs w:val="32"/>
        </w:rPr>
      </w:pPr>
      <w:r>
        <w:rPr>
          <w:rFonts w:hint="eastAsia" w:ascii="仿宋" w:hAnsi="仿宋" w:eastAsia="仿宋" w:cs="仿宋"/>
          <w:sz w:val="32"/>
          <w:szCs w:val="32"/>
          <w:lang w:val="en-US"/>
        </w:rPr>
        <w:t>内容不齐全有缺项，绩效指标针对性和实用性不够，资金支出计划和评价标准</w:t>
      </w:r>
      <w:r>
        <w:rPr>
          <w:rFonts w:hint="eastAsia" w:ascii="仿宋" w:hAnsi="仿宋" w:eastAsia="仿宋" w:cs="仿宋"/>
          <w:sz w:val="32"/>
          <w:szCs w:val="32"/>
          <w:lang w:val="en-US" w:eastAsia="zh-CN"/>
        </w:rPr>
        <w:t>缺乏</w:t>
      </w:r>
      <w:r>
        <w:rPr>
          <w:rFonts w:hint="eastAsia" w:ascii="仿宋" w:hAnsi="仿宋" w:eastAsia="仿宋" w:cs="仿宋"/>
          <w:sz w:val="32"/>
          <w:szCs w:val="32"/>
          <w:lang w:val="en-US"/>
        </w:rPr>
        <w:t xml:space="preserve">依据。 </w:t>
      </w:r>
    </w:p>
    <w:p w14:paraId="1BA8A5BA">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5C1C25DF">
      <w:pPr>
        <w:spacing w:line="560" w:lineRule="exact"/>
        <w:ind w:firstLine="640" w:firstLineChars="200"/>
        <w:rPr>
          <w:rFonts w:hint="eastAsia" w:ascii="仿宋" w:hAnsi="仿宋" w:eastAsia="仿宋" w:cs="仿宋"/>
          <w:sz w:val="32"/>
          <w:szCs w:val="32"/>
          <w:lang w:val="en-US"/>
        </w:rPr>
      </w:pPr>
      <w:r>
        <w:rPr>
          <w:rFonts w:hint="eastAsia" w:ascii="仿宋" w:hAnsi="仿宋" w:eastAsia="仿宋" w:cs="仿宋"/>
          <w:sz w:val="32"/>
          <w:szCs w:val="32"/>
          <w:lang w:val="en-US"/>
        </w:rPr>
        <w:t>及时制定项目实施计划，从项目实施步骤、工作环节、时间进度等方面进行分解细化。从数量、质量、效果等多维度设置绩效指标，多角度衡量资金绩效，使绩效指标具有清晰性、相关性、经济性、充分性、可监督性的效果。</w:t>
      </w:r>
    </w:p>
    <w:p w14:paraId="7C861FB0">
      <w:pPr>
        <w:numPr>
          <w:ilvl w:val="0"/>
          <w:numId w:val="4"/>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评价工作组人员名单及签字</w:t>
      </w:r>
    </w:p>
    <w:p w14:paraId="613D5797">
      <w:pPr>
        <w:ind w:firstLine="640" w:firstLineChars="200"/>
        <w:rPr>
          <w:rFonts w:hint="eastAsia" w:ascii="仿宋" w:hAnsi="仿宋" w:eastAsia="仿宋"/>
          <w:b w:val="0"/>
          <w:bCs/>
          <w:sz w:val="32"/>
          <w:szCs w:val="32"/>
          <w:lang w:val="en-US" w:eastAsia="zh-CN"/>
        </w:rPr>
      </w:pPr>
      <w:r>
        <w:rPr>
          <w:rFonts w:hint="eastAsia" w:ascii="仿宋" w:hAnsi="仿宋" w:eastAsia="仿宋"/>
          <w:b w:val="0"/>
          <w:bCs/>
          <w:sz w:val="32"/>
          <w:szCs w:val="32"/>
          <w:lang w:val="en-US" w:eastAsia="zh-CN"/>
        </w:rPr>
        <w:t>姓  名　　　   工作单位　　　　　　　职  务　</w:t>
      </w:r>
    </w:p>
    <w:p w14:paraId="531ACFD7">
      <w:pPr>
        <w:ind w:firstLine="600" w:firstLineChars="200"/>
        <w:rPr>
          <w:rFonts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lang w:val="en-US" w:eastAsia="zh-CN"/>
          <w14:textFill>
            <w14:solidFill>
              <w14:schemeClr w14:val="tx1"/>
            </w14:solidFill>
          </w14:textFill>
        </w:rPr>
        <w:t>赵彦兴</w:t>
      </w:r>
      <w:r>
        <w:rPr>
          <w:rFonts w:hint="eastAsia" w:ascii="仿宋" w:hAnsi="仿宋" w:eastAsia="仿宋" w:cs="仿宋"/>
          <w:color w:val="000000" w:themeColor="text1"/>
          <w:sz w:val="30"/>
          <w:szCs w:val="30"/>
          <w14:textFill>
            <w14:solidFill>
              <w14:schemeClr w14:val="tx1"/>
            </w14:solidFill>
          </w14:textFill>
        </w:rPr>
        <w:t xml:space="preserve"> </w:t>
      </w:r>
      <w:r>
        <w:rPr>
          <w:rFonts w:ascii="仿宋" w:hAnsi="仿宋" w:eastAsia="仿宋" w:cs="仿宋"/>
          <w:color w:val="000000" w:themeColor="text1"/>
          <w:sz w:val="30"/>
          <w:szCs w:val="30"/>
          <w14:textFill>
            <w14:solidFill>
              <w14:schemeClr w14:val="tx1"/>
            </w14:solidFill>
          </w14:textFill>
        </w:rPr>
        <w:t xml:space="preserve">   </w:t>
      </w:r>
      <w:r>
        <w:rPr>
          <w:rFonts w:hint="eastAsia" w:ascii="仿宋" w:hAnsi="仿宋" w:eastAsia="仿宋" w:cs="仿宋"/>
          <w:color w:val="000000" w:themeColor="text1"/>
          <w:sz w:val="30"/>
          <w:szCs w:val="30"/>
          <w:lang w:val="en-US" w:eastAsia="zh-CN"/>
          <w14:textFill>
            <w14:solidFill>
              <w14:schemeClr w14:val="tx1"/>
            </w14:solidFill>
          </w14:textFill>
        </w:rPr>
        <w:t xml:space="preserve">     </w:t>
      </w:r>
      <w:r>
        <w:rPr>
          <w:rFonts w:hint="eastAsia" w:ascii="仿宋" w:hAnsi="仿宋" w:eastAsia="仿宋" w:cs="仿宋"/>
          <w:color w:val="000000" w:themeColor="text1"/>
          <w:sz w:val="30"/>
          <w:szCs w:val="30"/>
          <w14:textFill>
            <w14:solidFill>
              <w14:schemeClr w14:val="tx1"/>
            </w14:solidFill>
          </w14:textFill>
        </w:rPr>
        <w:t>赞皇县人大</w:t>
      </w:r>
      <w:r>
        <w:rPr>
          <w:rFonts w:hint="eastAsia" w:ascii="仿宋" w:hAnsi="仿宋" w:eastAsia="仿宋" w:cs="仿宋"/>
          <w:color w:val="000000" w:themeColor="text1"/>
          <w:sz w:val="30"/>
          <w:szCs w:val="30"/>
          <w:lang w:val="en-US" w:eastAsia="zh-CN"/>
          <w14:textFill>
            <w14:solidFill>
              <w14:schemeClr w14:val="tx1"/>
            </w14:solidFill>
          </w14:textFill>
        </w:rPr>
        <w:t xml:space="preserve">            </w:t>
      </w:r>
      <w:r>
        <w:rPr>
          <w:rFonts w:hint="eastAsia" w:ascii="仿宋" w:hAnsi="仿宋" w:eastAsia="仿宋" w:cs="仿宋"/>
          <w:color w:val="000000" w:themeColor="text1"/>
          <w:sz w:val="30"/>
          <w:szCs w:val="30"/>
          <w14:textFill>
            <w14:solidFill>
              <w14:schemeClr w14:val="tx1"/>
            </w14:solidFill>
          </w14:textFill>
        </w:rPr>
        <w:t>办公室主任</w:t>
      </w:r>
    </w:p>
    <w:p w14:paraId="3990131A">
      <w:pPr>
        <w:ind w:firstLine="600" w:firstLineChars="200"/>
        <w:rPr>
          <w:rFonts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张运芳</w:t>
      </w:r>
      <w:r>
        <w:rPr>
          <w:rFonts w:ascii="仿宋" w:hAnsi="仿宋" w:eastAsia="仿宋" w:cs="仿宋"/>
          <w:color w:val="000000" w:themeColor="text1"/>
          <w:sz w:val="30"/>
          <w:szCs w:val="30"/>
          <w14:textFill>
            <w14:solidFill>
              <w14:schemeClr w14:val="tx1"/>
            </w14:solidFill>
          </w14:textFill>
        </w:rPr>
        <w:t xml:space="preserve">   </w:t>
      </w:r>
      <w:r>
        <w:rPr>
          <w:rFonts w:hint="eastAsia" w:ascii="仿宋" w:hAnsi="仿宋" w:eastAsia="仿宋" w:cs="仿宋"/>
          <w:color w:val="000000" w:themeColor="text1"/>
          <w:sz w:val="30"/>
          <w:szCs w:val="30"/>
          <w:lang w:val="en-US" w:eastAsia="zh-CN"/>
          <w14:textFill>
            <w14:solidFill>
              <w14:schemeClr w14:val="tx1"/>
            </w14:solidFill>
          </w14:textFill>
        </w:rPr>
        <w:t xml:space="preserve">      </w:t>
      </w:r>
      <w:r>
        <w:rPr>
          <w:rFonts w:hint="eastAsia" w:ascii="仿宋" w:hAnsi="仿宋" w:eastAsia="仿宋" w:cs="仿宋"/>
          <w:color w:val="000000" w:themeColor="text1"/>
          <w:sz w:val="30"/>
          <w:szCs w:val="30"/>
          <w14:textFill>
            <w14:solidFill>
              <w14:schemeClr w14:val="tx1"/>
            </w14:solidFill>
          </w14:textFill>
        </w:rPr>
        <w:t>赞皇县人大</w:t>
      </w:r>
      <w:r>
        <w:rPr>
          <w:rFonts w:hint="eastAsia" w:ascii="仿宋" w:hAnsi="仿宋" w:eastAsia="仿宋" w:cs="仿宋"/>
          <w:color w:val="000000" w:themeColor="text1"/>
          <w:sz w:val="30"/>
          <w:szCs w:val="30"/>
          <w:lang w:val="en-US" w:eastAsia="zh-CN"/>
          <w14:textFill>
            <w14:solidFill>
              <w14:schemeClr w14:val="tx1"/>
            </w14:solidFill>
          </w14:textFill>
        </w:rPr>
        <w:t xml:space="preserve">            </w:t>
      </w:r>
      <w:r>
        <w:rPr>
          <w:rFonts w:hint="eastAsia" w:ascii="仿宋" w:hAnsi="仿宋" w:eastAsia="仿宋" w:cs="仿宋"/>
          <w:color w:val="000000" w:themeColor="text1"/>
          <w:sz w:val="30"/>
          <w:szCs w:val="30"/>
          <w14:textFill>
            <w14:solidFill>
              <w14:schemeClr w14:val="tx1"/>
            </w14:solidFill>
          </w14:textFill>
        </w:rPr>
        <w:t>办公室会计</w:t>
      </w:r>
    </w:p>
    <w:p w14:paraId="11DFA81B">
      <w:pPr>
        <w:ind w:firstLine="600" w:firstLineChars="200"/>
        <w:rPr>
          <w:rFonts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lang w:val="en-US" w:eastAsia="zh-CN"/>
          <w14:textFill>
            <w14:solidFill>
              <w14:schemeClr w14:val="tx1"/>
            </w14:solidFill>
          </w14:textFill>
        </w:rPr>
        <w:t>李 宁</w:t>
      </w:r>
      <w:r>
        <w:rPr>
          <w:rFonts w:hint="eastAsia" w:ascii="仿宋" w:hAnsi="仿宋" w:eastAsia="仿宋" w:cs="仿宋"/>
          <w:color w:val="000000" w:themeColor="text1"/>
          <w:sz w:val="30"/>
          <w:szCs w:val="30"/>
          <w14:textFill>
            <w14:solidFill>
              <w14:schemeClr w14:val="tx1"/>
            </w14:solidFill>
          </w14:textFill>
        </w:rPr>
        <w:t xml:space="preserve"> </w:t>
      </w:r>
      <w:r>
        <w:rPr>
          <w:rFonts w:ascii="仿宋" w:hAnsi="仿宋" w:eastAsia="仿宋" w:cs="仿宋"/>
          <w:color w:val="000000" w:themeColor="text1"/>
          <w:sz w:val="30"/>
          <w:szCs w:val="30"/>
          <w14:textFill>
            <w14:solidFill>
              <w14:schemeClr w14:val="tx1"/>
            </w14:solidFill>
          </w14:textFill>
        </w:rPr>
        <w:t xml:space="preserve">   </w:t>
      </w:r>
      <w:r>
        <w:rPr>
          <w:rFonts w:hint="eastAsia" w:ascii="仿宋" w:hAnsi="仿宋" w:eastAsia="仿宋" w:cs="仿宋"/>
          <w:color w:val="000000" w:themeColor="text1"/>
          <w:sz w:val="30"/>
          <w:szCs w:val="30"/>
          <w:lang w:val="en-US" w:eastAsia="zh-CN"/>
          <w14:textFill>
            <w14:solidFill>
              <w14:schemeClr w14:val="tx1"/>
            </w14:solidFill>
          </w14:textFill>
        </w:rPr>
        <w:t xml:space="preserve">      </w:t>
      </w:r>
      <w:r>
        <w:rPr>
          <w:rFonts w:hint="eastAsia" w:ascii="仿宋" w:hAnsi="仿宋" w:eastAsia="仿宋" w:cs="仿宋"/>
          <w:color w:val="000000" w:themeColor="text1"/>
          <w:sz w:val="30"/>
          <w:szCs w:val="30"/>
          <w14:textFill>
            <w14:solidFill>
              <w14:schemeClr w14:val="tx1"/>
            </w14:solidFill>
          </w14:textFill>
        </w:rPr>
        <w:t>赞皇县人大</w:t>
      </w:r>
      <w:r>
        <w:rPr>
          <w:rFonts w:hint="eastAsia" w:ascii="仿宋" w:hAnsi="仿宋" w:eastAsia="仿宋" w:cs="仿宋"/>
          <w:color w:val="000000" w:themeColor="text1"/>
          <w:sz w:val="30"/>
          <w:szCs w:val="30"/>
          <w:lang w:val="en-US" w:eastAsia="zh-CN"/>
          <w14:textFill>
            <w14:solidFill>
              <w14:schemeClr w14:val="tx1"/>
            </w14:solidFill>
          </w14:textFill>
        </w:rPr>
        <w:t xml:space="preserve">            </w:t>
      </w:r>
      <w:r>
        <w:rPr>
          <w:rFonts w:hint="eastAsia" w:ascii="仿宋" w:hAnsi="仿宋" w:eastAsia="仿宋" w:cs="仿宋"/>
          <w:color w:val="000000" w:themeColor="text1"/>
          <w:sz w:val="30"/>
          <w:szCs w:val="30"/>
          <w14:textFill>
            <w14:solidFill>
              <w14:schemeClr w14:val="tx1"/>
            </w14:solidFill>
          </w14:textFill>
        </w:rPr>
        <w:t>办公室出纳</w:t>
      </w:r>
    </w:p>
    <w:p w14:paraId="659503B4">
      <w:pPr>
        <w:pStyle w:val="2"/>
        <w:rPr>
          <w:rFonts w:hint="eastAsia"/>
          <w:lang w:val="en-US" w:eastAsia="zh-CN"/>
        </w:rPr>
      </w:pPr>
      <w:r>
        <w:rPr>
          <w:rFonts w:hint="eastAsia"/>
          <w:lang w:val="en-US" w:eastAsia="zh-CN"/>
        </w:rPr>
        <w:t xml:space="preserve">   签字：</w:t>
      </w:r>
    </w:p>
    <w:p w14:paraId="2A7D1D28">
      <w:pPr>
        <w:rPr>
          <w:rFonts w:hint="eastAsia" w:ascii="仿宋" w:hAnsi="仿宋" w:eastAsia="仿宋"/>
          <w:b w:val="0"/>
          <w:bCs/>
          <w:sz w:val="36"/>
          <w:szCs w:val="36"/>
          <w:lang w:val="en-US" w:eastAsia="zh-CN"/>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DFCB65">
    <w:pPr>
      <w:pStyle w:val="4"/>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92E35B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392E35B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D65EF9"/>
    <w:multiLevelType w:val="singleLevel"/>
    <w:tmpl w:val="05D65EF9"/>
    <w:lvl w:ilvl="0" w:tentative="0">
      <w:start w:val="6"/>
      <w:numFmt w:val="chineseCounting"/>
      <w:suff w:val="nothing"/>
      <w:lvlText w:val="%1、"/>
      <w:lvlJc w:val="left"/>
      <w:rPr>
        <w:rFonts w:hint="eastAsia"/>
      </w:rPr>
    </w:lvl>
  </w:abstractNum>
  <w:abstractNum w:abstractNumId="1">
    <w:nsid w:val="1E2ABAEE"/>
    <w:multiLevelType w:val="singleLevel"/>
    <w:tmpl w:val="1E2ABAEE"/>
    <w:lvl w:ilvl="0" w:tentative="0">
      <w:start w:val="2"/>
      <w:numFmt w:val="chineseCounting"/>
      <w:suff w:val="nothing"/>
      <w:lvlText w:val="（%1）"/>
      <w:lvlJc w:val="left"/>
      <w:pPr>
        <w:ind w:left="-1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3">
    <w:nsid w:val="7909EDA4"/>
    <w:multiLevelType w:val="singleLevel"/>
    <w:tmpl w:val="7909EDA4"/>
    <w:lvl w:ilvl="0" w:tentative="0">
      <w:start w:val="2"/>
      <w:numFmt w:val="decimal"/>
      <w:suff w:val="nothing"/>
      <w:lvlText w:val="%1、"/>
      <w:lvlJc w:val="left"/>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JjNGMyYWJjMTA5MTA0NzQyODZkYjBhNGRiMmY5NTQ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79B6D56"/>
    <w:rsid w:val="085628C1"/>
    <w:rsid w:val="09721397"/>
    <w:rsid w:val="0B9475A2"/>
    <w:rsid w:val="0BB63BED"/>
    <w:rsid w:val="0CF2091D"/>
    <w:rsid w:val="0DFF319D"/>
    <w:rsid w:val="0EB97A43"/>
    <w:rsid w:val="0EBD2122"/>
    <w:rsid w:val="0F214EAE"/>
    <w:rsid w:val="11B71E6A"/>
    <w:rsid w:val="121F796A"/>
    <w:rsid w:val="12F71611"/>
    <w:rsid w:val="131B78A7"/>
    <w:rsid w:val="15B62E01"/>
    <w:rsid w:val="1AA1736C"/>
    <w:rsid w:val="1AAF0063"/>
    <w:rsid w:val="1B2D17F2"/>
    <w:rsid w:val="1BE140DE"/>
    <w:rsid w:val="1E1F6E9E"/>
    <w:rsid w:val="204B5C77"/>
    <w:rsid w:val="21FB6466"/>
    <w:rsid w:val="248C197D"/>
    <w:rsid w:val="252959AF"/>
    <w:rsid w:val="259F686A"/>
    <w:rsid w:val="26C11CA3"/>
    <w:rsid w:val="27370ECA"/>
    <w:rsid w:val="277A6671"/>
    <w:rsid w:val="284D4330"/>
    <w:rsid w:val="292D35B7"/>
    <w:rsid w:val="29307CF5"/>
    <w:rsid w:val="2B612596"/>
    <w:rsid w:val="2D475E17"/>
    <w:rsid w:val="2FE15C4C"/>
    <w:rsid w:val="33EB6CFF"/>
    <w:rsid w:val="34EB56D7"/>
    <w:rsid w:val="35A12947"/>
    <w:rsid w:val="37387040"/>
    <w:rsid w:val="389A481F"/>
    <w:rsid w:val="3A3A0F35"/>
    <w:rsid w:val="3B4D39F0"/>
    <w:rsid w:val="3B625C0A"/>
    <w:rsid w:val="3CEE1963"/>
    <w:rsid w:val="453273D9"/>
    <w:rsid w:val="4C144927"/>
    <w:rsid w:val="4C9C27FE"/>
    <w:rsid w:val="4FF9AD8B"/>
    <w:rsid w:val="50BB4563"/>
    <w:rsid w:val="512260B4"/>
    <w:rsid w:val="52BD6ACB"/>
    <w:rsid w:val="52CD74B6"/>
    <w:rsid w:val="55537534"/>
    <w:rsid w:val="561A74F1"/>
    <w:rsid w:val="597244E8"/>
    <w:rsid w:val="5A294D80"/>
    <w:rsid w:val="5A751DEA"/>
    <w:rsid w:val="5AAC1F69"/>
    <w:rsid w:val="5EB71C30"/>
    <w:rsid w:val="62160145"/>
    <w:rsid w:val="63690012"/>
    <w:rsid w:val="64501EDD"/>
    <w:rsid w:val="66AF0CE5"/>
    <w:rsid w:val="67486F58"/>
    <w:rsid w:val="67576369"/>
    <w:rsid w:val="68213D48"/>
    <w:rsid w:val="687F741C"/>
    <w:rsid w:val="694501FD"/>
    <w:rsid w:val="6AC537CF"/>
    <w:rsid w:val="6BE50906"/>
    <w:rsid w:val="6E5B14A6"/>
    <w:rsid w:val="711B255E"/>
    <w:rsid w:val="721F3D1C"/>
    <w:rsid w:val="739E3FF0"/>
    <w:rsid w:val="745C6466"/>
    <w:rsid w:val="77F1767B"/>
    <w:rsid w:val="7BB51E06"/>
    <w:rsid w:val="7C387F7C"/>
    <w:rsid w:val="7ED1355F"/>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unhideWhenUsed/>
    <w:qFormat/>
    <w:uiPriority w:val="9"/>
    <w:pPr>
      <w:spacing w:before="100" w:beforeLines="0" w:beforeAutospacing="1" w:after="100" w:afterLines="0" w:afterAutospacing="1"/>
      <w:jc w:val="left"/>
    </w:pPr>
    <w:rPr>
      <w:rFonts w:hint="eastAsia" w:ascii="宋体" w:hAnsi="宋体" w:eastAsia="宋体" w:cs="宋体"/>
      <w:b/>
      <w:kern w:val="0"/>
      <w:sz w:val="36"/>
      <w:szCs w:val="36"/>
      <w:lang w:val="en-US" w:eastAsia="zh-CN" w:bidi="ar"/>
    </w:rPr>
  </w:style>
  <w:style w:type="character" w:default="1" w:styleId="9">
    <w:name w:val="Default Paragraph Font"/>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3">
    <w:name w:val="Body Text Indent"/>
    <w:basedOn w:val="1"/>
    <w:unhideWhenUsed/>
    <w:qFormat/>
    <w:uiPriority w:val="0"/>
    <w:pPr>
      <w:spacing w:after="120" w:afterLines="0" w:afterAutospacing="0"/>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7">
    <w:name w:val="Body Text First Indent 2"/>
    <w:basedOn w:val="3"/>
    <w:unhideWhenUsed/>
    <w:qFormat/>
    <w:uiPriority w:val="0"/>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2322</Words>
  <Characters>2413</Characters>
  <Lines>4</Lines>
  <Paragraphs>1</Paragraphs>
  <TotalTime>5</TotalTime>
  <ScaleCrop>false</ScaleCrop>
  <LinksUpToDate>false</LinksUpToDate>
  <CharactersWithSpaces>2517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13323011735</cp:lastModifiedBy>
  <cp:lastPrinted>2023-06-06T08:54:00Z</cp:lastPrinted>
  <dcterms:modified xsi:type="dcterms:W3CDTF">2025-07-22T06:58:38Z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40E4087A32C44575AE413DF7AA1D9BFF</vt:lpwstr>
  </property>
  <property fmtid="{D5CDD505-2E9C-101B-9397-08002B2CF9AE}" pid="4" name="KSOTemplateDocerSaveRecord">
    <vt:lpwstr>eyJoZGlkIjoiYTRkZjYwODQyN2QxOTU4Mzc5MDkyZjcyNTA5NjE4M2QiLCJ1c2VySWQiOiIxNTUwMjQwMDk2In0=</vt:lpwstr>
  </property>
</Properties>
</file>