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cs="宋体-方正超大字符集" w:asciiTheme="minorEastAsia" w:hAnsiTheme="minorEastAsia" w:eastAsiaTheme="minorEastAsia"/>
          <w:b/>
          <w:bCs/>
          <w:sz w:val="44"/>
          <w:szCs w:val="44"/>
        </w:rPr>
      </w:pPr>
      <w:r>
        <w:rPr>
          <w:rFonts w:hint="eastAsia" w:cs="宋体-方正超大字符集" w:asciiTheme="minorEastAsia" w:hAnsiTheme="minorEastAsia" w:eastAsiaTheme="minorEastAsia"/>
          <w:b/>
          <w:bCs/>
          <w:sz w:val="44"/>
          <w:szCs w:val="44"/>
        </w:rPr>
        <w:t>2023年部门预算信息公开目录</w:t>
      </w:r>
    </w:p>
    <w:p>
      <w:pPr>
        <w:jc w:val="center"/>
        <w:rPr>
          <w:rFonts w:asciiTheme="minorEastAsia" w:hAnsiTheme="minorEastAsia" w:eastAsiaTheme="minorEastAsia"/>
          <w:b/>
          <w:bCs/>
          <w:sz w:val="44"/>
          <w:szCs w:val="44"/>
        </w:rPr>
      </w:pPr>
    </w:p>
    <w:p>
      <w:p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一、2023年部门预算公开表</w:t>
      </w:r>
    </w:p>
    <w:p>
      <w:pPr>
        <w:numPr>
          <w:ilvl w:val="0"/>
          <w:numId w:val="1"/>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部门预算收支总表</w:t>
      </w:r>
    </w:p>
    <w:p>
      <w:pPr>
        <w:numPr>
          <w:ilvl w:val="0"/>
          <w:numId w:val="1"/>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部门预算收入总表</w:t>
      </w:r>
    </w:p>
    <w:p>
      <w:pPr>
        <w:numPr>
          <w:ilvl w:val="0"/>
          <w:numId w:val="1"/>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部门预算支出总表</w:t>
      </w:r>
    </w:p>
    <w:p>
      <w:pPr>
        <w:numPr>
          <w:ilvl w:val="0"/>
          <w:numId w:val="1"/>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部门预算财政拨款收支总表</w:t>
      </w:r>
    </w:p>
    <w:p>
      <w:pPr>
        <w:numPr>
          <w:ilvl w:val="0"/>
          <w:numId w:val="1"/>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部门预算一般公共预算财政拨款支出表</w:t>
      </w:r>
    </w:p>
    <w:p>
      <w:pPr>
        <w:numPr>
          <w:ilvl w:val="0"/>
          <w:numId w:val="1"/>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部门预算一般公共预算财政拨款基本支出表</w:t>
      </w:r>
    </w:p>
    <w:p>
      <w:pPr>
        <w:numPr>
          <w:ilvl w:val="0"/>
          <w:numId w:val="1"/>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部门预算政府性基金预算财政拨款支出表</w:t>
      </w:r>
    </w:p>
    <w:p>
      <w:pPr>
        <w:numPr>
          <w:ilvl w:val="0"/>
          <w:numId w:val="1"/>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部门预算国有资本经营预算财政拨款支出表</w:t>
      </w:r>
    </w:p>
    <w:p>
      <w:pPr>
        <w:numPr>
          <w:ilvl w:val="0"/>
          <w:numId w:val="1"/>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部门预算财政拨款“三公”经费支出表</w:t>
      </w:r>
    </w:p>
    <w:p>
      <w:p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二、2022年部门预算信息公开情况说明</w:t>
      </w:r>
    </w:p>
    <w:p>
      <w:pPr>
        <w:numPr>
          <w:ilvl w:val="0"/>
          <w:numId w:val="2"/>
        </w:num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部门职责及机构设置情况</w:t>
      </w:r>
    </w:p>
    <w:p>
      <w:pPr>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 xml:space="preserve">    2、部门预算安排的总体情况</w:t>
      </w:r>
    </w:p>
    <w:p>
      <w:pPr>
        <w:ind w:firstLine="600" w:firstLineChars="200"/>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3、机关运行经费安排情况</w:t>
      </w:r>
    </w:p>
    <w:p>
      <w:pPr>
        <w:autoSpaceDE w:val="0"/>
        <w:autoSpaceDN w:val="0"/>
        <w:adjustRightInd w:val="0"/>
        <w:ind w:firstLine="600" w:firstLineChars="200"/>
        <w:jc w:val="left"/>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4、财政拨款“三公”经费预算情况及增减变化原因</w:t>
      </w:r>
    </w:p>
    <w:p>
      <w:pPr>
        <w:autoSpaceDE w:val="0"/>
        <w:autoSpaceDN w:val="0"/>
        <w:adjustRightInd w:val="0"/>
        <w:ind w:firstLine="600" w:firstLineChars="200"/>
        <w:jc w:val="left"/>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5、绩效预算信息</w:t>
      </w:r>
    </w:p>
    <w:p>
      <w:pPr>
        <w:autoSpaceDE w:val="0"/>
        <w:autoSpaceDN w:val="0"/>
        <w:adjustRightInd w:val="0"/>
        <w:ind w:firstLine="600" w:firstLineChars="200"/>
        <w:jc w:val="left"/>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6、政府采购预算情况</w:t>
      </w:r>
    </w:p>
    <w:p>
      <w:pPr>
        <w:autoSpaceDE w:val="0"/>
        <w:autoSpaceDN w:val="0"/>
        <w:adjustRightInd w:val="0"/>
        <w:jc w:val="left"/>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 xml:space="preserve">    7、国有资产信息</w:t>
      </w:r>
    </w:p>
    <w:p>
      <w:pPr>
        <w:autoSpaceDE w:val="0"/>
        <w:autoSpaceDN w:val="0"/>
        <w:adjustRightInd w:val="0"/>
        <w:ind w:firstLine="600" w:firstLineChars="200"/>
        <w:jc w:val="left"/>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8、名词解释</w:t>
      </w:r>
    </w:p>
    <w:p>
      <w:pPr>
        <w:autoSpaceDE w:val="0"/>
        <w:autoSpaceDN w:val="0"/>
        <w:adjustRightInd w:val="0"/>
        <w:ind w:firstLine="600" w:firstLineChars="200"/>
        <w:jc w:val="left"/>
        <w:rPr>
          <w:rFonts w:cs="仿宋_GB2312" w:asciiTheme="minorEastAsia" w:hAnsiTheme="minorEastAsia" w:eastAsiaTheme="minorEastAsia"/>
          <w:sz w:val="30"/>
          <w:szCs w:val="30"/>
        </w:rPr>
      </w:pPr>
      <w:r>
        <w:rPr>
          <w:rFonts w:hint="eastAsia" w:cs="仿宋_GB2312" w:asciiTheme="minorEastAsia" w:hAnsiTheme="minorEastAsia" w:eastAsiaTheme="minorEastAsia"/>
          <w:sz w:val="30"/>
          <w:szCs w:val="30"/>
        </w:rPr>
        <w:t>9、其他需要说明的事项</w:t>
      </w:r>
    </w:p>
    <w:p>
      <w:pPr>
        <w:autoSpaceDE w:val="0"/>
        <w:autoSpaceDN w:val="0"/>
        <w:adjustRightInd w:val="0"/>
        <w:jc w:val="left"/>
        <w:rPr>
          <w:rFonts w:cs="仿宋_GB2312" w:asciiTheme="minorEastAsia" w:hAnsiTheme="minorEastAsia" w:eastAsiaTheme="minorEastAsia"/>
          <w:sz w:val="30"/>
          <w:szCs w:val="30"/>
        </w:rPr>
      </w:pPr>
    </w:p>
    <w:tbl>
      <w:tblPr>
        <w:tblStyle w:val="4"/>
        <w:tblpPr w:leftFromText="180" w:rightFromText="180" w:vertAnchor="page" w:horzAnchor="margin" w:tblpXSpec="center" w:tblpY="1729"/>
        <w:tblW w:w="10083" w:type="dxa"/>
        <w:tblInd w:w="0" w:type="dxa"/>
        <w:tblLayout w:type="autofit"/>
        <w:tblCellMar>
          <w:top w:w="0" w:type="dxa"/>
          <w:left w:w="108" w:type="dxa"/>
          <w:bottom w:w="0" w:type="dxa"/>
          <w:right w:w="108" w:type="dxa"/>
        </w:tblCellMar>
      </w:tblPr>
      <w:tblGrid>
        <w:gridCol w:w="733"/>
        <w:gridCol w:w="3209"/>
        <w:gridCol w:w="891"/>
        <w:gridCol w:w="3672"/>
        <w:gridCol w:w="1578"/>
      </w:tblGrid>
      <w:tr>
        <w:tblPrEx>
          <w:tblCellMar>
            <w:top w:w="0" w:type="dxa"/>
            <w:left w:w="108" w:type="dxa"/>
            <w:bottom w:w="0" w:type="dxa"/>
            <w:right w:w="108" w:type="dxa"/>
          </w:tblCellMar>
        </w:tblPrEx>
        <w:trPr>
          <w:trHeight w:val="652" w:hRule="atLeast"/>
        </w:trPr>
        <w:tc>
          <w:tcPr>
            <w:tcW w:w="10083" w:type="dxa"/>
            <w:gridSpan w:val="5"/>
            <w:tcBorders>
              <w:top w:val="nil"/>
              <w:left w:val="nil"/>
              <w:bottom w:val="nil"/>
              <w:right w:val="nil"/>
            </w:tcBorders>
            <w:shd w:val="clear" w:color="auto" w:fill="auto"/>
            <w:vAlign w:val="center"/>
          </w:tcPr>
          <w:p>
            <w:pPr>
              <w:widowControl/>
              <w:jc w:val="center"/>
              <w:rPr>
                <w:rFonts w:ascii="宋体" w:hAnsi="宋体" w:cs="宋体"/>
                <w:b/>
                <w:bCs/>
                <w:kern w:val="0"/>
                <w:sz w:val="44"/>
                <w:szCs w:val="44"/>
              </w:rPr>
            </w:pPr>
            <w:r>
              <w:rPr>
                <w:rFonts w:hint="eastAsia" w:ascii="宋体" w:hAnsi="宋体" w:cs="宋体"/>
                <w:b/>
                <w:bCs/>
                <w:kern w:val="0"/>
                <w:sz w:val="44"/>
                <w:szCs w:val="44"/>
              </w:rPr>
              <w:t>部门预算收支总表</w:t>
            </w:r>
          </w:p>
        </w:tc>
      </w:tr>
      <w:tr>
        <w:tblPrEx>
          <w:tblCellMar>
            <w:top w:w="0" w:type="dxa"/>
            <w:left w:w="108" w:type="dxa"/>
            <w:bottom w:w="0" w:type="dxa"/>
            <w:right w:w="108" w:type="dxa"/>
          </w:tblCellMar>
        </w:tblPrEx>
        <w:trPr>
          <w:trHeight w:val="652" w:hRule="atLeast"/>
        </w:trPr>
        <w:tc>
          <w:tcPr>
            <w:tcW w:w="483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预算单位编码及名称：[975]供销合作社</w:t>
            </w:r>
          </w:p>
        </w:tc>
        <w:tc>
          <w:tcPr>
            <w:tcW w:w="3672"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预算年度：2023</w:t>
            </w:r>
          </w:p>
        </w:tc>
        <w:tc>
          <w:tcPr>
            <w:tcW w:w="157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金额单位：万元</w:t>
            </w:r>
          </w:p>
        </w:tc>
      </w:tr>
      <w:tr>
        <w:tblPrEx>
          <w:tblCellMar>
            <w:top w:w="0" w:type="dxa"/>
            <w:left w:w="108" w:type="dxa"/>
            <w:bottom w:w="0" w:type="dxa"/>
            <w:right w:w="108" w:type="dxa"/>
          </w:tblCellMar>
        </w:tblPrEx>
        <w:trPr>
          <w:trHeight w:val="300" w:hRule="atLeast"/>
        </w:trPr>
        <w:tc>
          <w:tcPr>
            <w:tcW w:w="73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序号</w:t>
            </w:r>
          </w:p>
        </w:tc>
        <w:tc>
          <w:tcPr>
            <w:tcW w:w="41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收入</w:t>
            </w:r>
          </w:p>
        </w:tc>
        <w:tc>
          <w:tcPr>
            <w:tcW w:w="525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支出</w:t>
            </w:r>
          </w:p>
        </w:tc>
      </w:tr>
      <w:tr>
        <w:tblPrEx>
          <w:tblCellMar>
            <w:top w:w="0" w:type="dxa"/>
            <w:left w:w="108" w:type="dxa"/>
            <w:bottom w:w="0" w:type="dxa"/>
            <w:right w:w="108" w:type="dxa"/>
          </w:tblCellMar>
        </w:tblPrEx>
        <w:trPr>
          <w:trHeight w:val="300" w:hRule="atLeast"/>
        </w:trPr>
        <w:tc>
          <w:tcPr>
            <w:tcW w:w="73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320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项    目</w:t>
            </w:r>
          </w:p>
        </w:tc>
        <w:tc>
          <w:tcPr>
            <w:tcW w:w="89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预算数</w:t>
            </w:r>
          </w:p>
        </w:tc>
        <w:tc>
          <w:tcPr>
            <w:tcW w:w="367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项    目</w:t>
            </w:r>
          </w:p>
        </w:tc>
        <w:tc>
          <w:tcPr>
            <w:tcW w:w="157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预算数</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栏次</w:t>
            </w:r>
          </w:p>
        </w:tc>
        <w:tc>
          <w:tcPr>
            <w:tcW w:w="320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89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367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157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一、一般公共预算拨款收入</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一、一般公共服务支出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二、政府性基金预算拨款收入</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二、外交支出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3</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三、国有资本经营预算拨款收入</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三、国防支出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4</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四、财政专户管理资金收入</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四、公共安全支出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5</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五、事业收入</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五、教育支出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6</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六、事业单位经营收入</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六、科学技术支出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7</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七、上级补助收入</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七、文化旅游体育与传媒支出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8</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八、附属单位上缴收入</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八、社会保障和就业支出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9</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九、其他收入</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九、社会保险基金支出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10</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十、卫生健康支出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11</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十一、节能环保支出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12</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十二、城乡社区支出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13</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十三、农林水支出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14</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十四、交通运输支出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15</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十五、资源勘探工业信息等支出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16</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十六、商业服务业等支出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134.51</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17</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十七、金融支出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18</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十八、援助其他地区支出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19</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十九、自然资源海洋气象等支出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20</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二十、住房保障支出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21</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二十一、粮油物资储备支出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22</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二十二、国有资本经营预算支出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23</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二十三、灾害防治及应急管理支出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24</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二十四、预备费</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25</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二十五、其他支出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26</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二十六、转移性支出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27</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二十七、债务还本支出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28</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二十八、债务付息支出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29</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二十九、债务发行费用支出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30</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　</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三十、抗疫特别国债安排的支出</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31</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本年收入合计</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本年支出合计</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134.51</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32</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上年结转结余</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年终结转结余</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300" w:hRule="atLeast"/>
        </w:trPr>
        <w:tc>
          <w:tcPr>
            <w:tcW w:w="733"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33</w:t>
            </w:r>
          </w:p>
        </w:tc>
        <w:tc>
          <w:tcPr>
            <w:tcW w:w="32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收入总计</w:t>
            </w:r>
          </w:p>
        </w:tc>
        <w:tc>
          <w:tcPr>
            <w:tcW w:w="89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3672"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kern w:val="0"/>
                <w:sz w:val="22"/>
                <w:szCs w:val="22"/>
              </w:rPr>
            </w:pPr>
            <w:r>
              <w:rPr>
                <w:rFonts w:hint="eastAsia" w:ascii="宋体" w:hAnsi="宋体" w:cs="宋体"/>
                <w:kern w:val="0"/>
                <w:sz w:val="22"/>
                <w:szCs w:val="22"/>
              </w:rPr>
              <w:t>支出总计</w:t>
            </w:r>
          </w:p>
        </w:tc>
        <w:tc>
          <w:tcPr>
            <w:tcW w:w="157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kern w:val="0"/>
                <w:sz w:val="22"/>
                <w:szCs w:val="22"/>
              </w:rPr>
            </w:pPr>
            <w:r>
              <w:rPr>
                <w:rFonts w:hint="eastAsia" w:ascii="宋体" w:hAnsi="宋体" w:cs="宋体"/>
                <w:kern w:val="0"/>
                <w:sz w:val="22"/>
                <w:szCs w:val="22"/>
              </w:rPr>
              <w:t>134.51</w:t>
            </w:r>
          </w:p>
        </w:tc>
      </w:tr>
    </w:tbl>
    <w:tbl>
      <w:tblPr>
        <w:tblStyle w:val="4"/>
        <w:tblW w:w="11087" w:type="dxa"/>
        <w:tblInd w:w="-1247" w:type="dxa"/>
        <w:tblLayout w:type="autofit"/>
        <w:tblCellMar>
          <w:top w:w="0" w:type="dxa"/>
          <w:left w:w="108" w:type="dxa"/>
          <w:bottom w:w="0" w:type="dxa"/>
          <w:right w:w="108" w:type="dxa"/>
        </w:tblCellMar>
      </w:tblPr>
      <w:tblGrid>
        <w:gridCol w:w="575"/>
        <w:gridCol w:w="1012"/>
        <w:gridCol w:w="1027"/>
        <w:gridCol w:w="899"/>
        <w:gridCol w:w="899"/>
        <w:gridCol w:w="1068"/>
        <w:gridCol w:w="719"/>
        <w:gridCol w:w="678"/>
        <w:gridCol w:w="616"/>
        <w:gridCol w:w="821"/>
        <w:gridCol w:w="945"/>
        <w:gridCol w:w="739"/>
        <w:gridCol w:w="1089"/>
      </w:tblGrid>
      <w:tr>
        <w:tblPrEx>
          <w:tblCellMar>
            <w:top w:w="0" w:type="dxa"/>
            <w:left w:w="108" w:type="dxa"/>
            <w:bottom w:w="0" w:type="dxa"/>
            <w:right w:w="108" w:type="dxa"/>
          </w:tblCellMar>
        </w:tblPrEx>
        <w:trPr>
          <w:trHeight w:val="750" w:hRule="atLeast"/>
        </w:trPr>
        <w:tc>
          <w:tcPr>
            <w:tcW w:w="10798" w:type="dxa"/>
            <w:gridSpan w:val="13"/>
            <w:tcBorders>
              <w:top w:val="nil"/>
              <w:left w:val="nil"/>
              <w:bottom w:val="nil"/>
              <w:right w:val="nil"/>
            </w:tcBorders>
            <w:shd w:val="clear" w:color="auto" w:fill="auto"/>
            <w:vAlign w:val="center"/>
          </w:tcPr>
          <w:p>
            <w:pPr>
              <w:widowControl/>
              <w:jc w:val="center"/>
              <w:rPr>
                <w:rFonts w:ascii="宋体" w:hAnsi="宋体" w:cs="宋体"/>
                <w:b/>
                <w:bCs/>
                <w:kern w:val="0"/>
                <w:sz w:val="44"/>
                <w:szCs w:val="44"/>
              </w:rPr>
            </w:pPr>
          </w:p>
          <w:p>
            <w:pPr>
              <w:widowControl/>
              <w:jc w:val="center"/>
              <w:rPr>
                <w:rFonts w:ascii="宋体" w:hAnsi="宋体" w:cs="宋体"/>
                <w:b/>
                <w:bCs/>
                <w:kern w:val="0"/>
                <w:sz w:val="44"/>
                <w:szCs w:val="44"/>
              </w:rPr>
            </w:pPr>
            <w:r>
              <w:rPr>
                <w:rFonts w:hint="eastAsia" w:ascii="宋体" w:hAnsi="宋体" w:cs="宋体"/>
                <w:b/>
                <w:bCs/>
                <w:kern w:val="0"/>
                <w:sz w:val="44"/>
                <w:szCs w:val="44"/>
              </w:rPr>
              <w:t>部门预算收入总表</w:t>
            </w:r>
          </w:p>
        </w:tc>
      </w:tr>
      <w:tr>
        <w:tblPrEx>
          <w:tblCellMar>
            <w:top w:w="0" w:type="dxa"/>
            <w:left w:w="108" w:type="dxa"/>
            <w:bottom w:w="0" w:type="dxa"/>
            <w:right w:w="108" w:type="dxa"/>
          </w:tblCellMar>
        </w:tblPrEx>
        <w:trPr>
          <w:trHeight w:val="288" w:hRule="atLeast"/>
        </w:trPr>
        <w:tc>
          <w:tcPr>
            <w:tcW w:w="7298" w:type="dxa"/>
            <w:gridSpan w:val="9"/>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预算单位编码及名称：[975]供销合作社</w:t>
            </w:r>
          </w:p>
        </w:tc>
        <w:tc>
          <w:tcPr>
            <w:tcW w:w="17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2"/>
                <w:szCs w:val="22"/>
              </w:rPr>
            </w:pPr>
            <w:r>
              <w:rPr>
                <w:rFonts w:hint="eastAsia" w:ascii="宋体" w:hAnsi="宋体" w:cs="宋体"/>
                <w:kern w:val="0"/>
                <w:sz w:val="22"/>
                <w:szCs w:val="22"/>
              </w:rPr>
              <w:t>预算年度：2023</w:t>
            </w:r>
          </w:p>
        </w:tc>
        <w:tc>
          <w:tcPr>
            <w:tcW w:w="17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2"/>
                <w:szCs w:val="22"/>
              </w:rPr>
            </w:pPr>
            <w:r>
              <w:rPr>
                <w:rFonts w:hint="eastAsia" w:ascii="宋体" w:hAnsi="宋体" w:cs="宋体"/>
                <w:kern w:val="0"/>
                <w:sz w:val="22"/>
                <w:szCs w:val="22"/>
              </w:rPr>
              <w:t>金额单位：万元</w:t>
            </w:r>
          </w:p>
        </w:tc>
      </w:tr>
      <w:tr>
        <w:tblPrEx>
          <w:tblCellMar>
            <w:top w:w="0" w:type="dxa"/>
            <w:left w:w="108" w:type="dxa"/>
            <w:bottom w:w="0" w:type="dxa"/>
            <w:right w:w="108" w:type="dxa"/>
          </w:tblCellMar>
        </w:tblPrEx>
        <w:trPr>
          <w:trHeight w:val="288" w:hRule="atLeast"/>
        </w:trPr>
        <w:tc>
          <w:tcPr>
            <w:tcW w:w="5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序号</w:t>
            </w:r>
          </w:p>
        </w:tc>
        <w:tc>
          <w:tcPr>
            <w:tcW w:w="198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功能分类科目</w:t>
            </w:r>
          </w:p>
        </w:tc>
        <w:tc>
          <w:tcPr>
            <w:tcW w:w="87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合计</w:t>
            </w:r>
          </w:p>
        </w:tc>
        <w:tc>
          <w:tcPr>
            <w:tcW w:w="6316" w:type="dxa"/>
            <w:gridSpan w:val="8"/>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本年收入</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上年结转</w:t>
            </w:r>
          </w:p>
        </w:tc>
      </w:tr>
      <w:tr>
        <w:tblPrEx>
          <w:tblCellMar>
            <w:top w:w="0" w:type="dxa"/>
            <w:left w:w="108" w:type="dxa"/>
            <w:bottom w:w="0" w:type="dxa"/>
            <w:right w:w="108" w:type="dxa"/>
          </w:tblCellMar>
        </w:tblPrEx>
        <w:trPr>
          <w:trHeight w:val="855" w:hRule="atLeast"/>
        </w:trPr>
        <w:tc>
          <w:tcPr>
            <w:tcW w:w="5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98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科目编码</w:t>
            </w:r>
          </w:p>
        </w:tc>
        <w:tc>
          <w:tcPr>
            <w:tcW w:w="10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科目名称</w:t>
            </w:r>
          </w:p>
        </w:tc>
        <w:tc>
          <w:tcPr>
            <w:tcW w:w="87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8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小计</w:t>
            </w:r>
          </w:p>
        </w:tc>
        <w:tc>
          <w:tcPr>
            <w:tcW w:w="10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财政拨款收入</w:t>
            </w:r>
          </w:p>
        </w:tc>
        <w:tc>
          <w:tcPr>
            <w:tcW w:w="7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财政专户收入</w:t>
            </w:r>
          </w:p>
        </w:tc>
        <w:tc>
          <w:tcPr>
            <w:tcW w:w="6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事业收入</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经营收入</w:t>
            </w:r>
          </w:p>
        </w:tc>
        <w:tc>
          <w:tcPr>
            <w:tcW w:w="8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上级补助收入</w:t>
            </w:r>
          </w:p>
        </w:tc>
        <w:tc>
          <w:tcPr>
            <w:tcW w:w="9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附属单位上缴收入</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其他收入</w:t>
            </w:r>
          </w:p>
        </w:tc>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r>
      <w:tr>
        <w:tblPrEx>
          <w:tblCellMar>
            <w:top w:w="0" w:type="dxa"/>
            <w:left w:w="108" w:type="dxa"/>
            <w:bottom w:w="0" w:type="dxa"/>
            <w:right w:w="108" w:type="dxa"/>
          </w:tblCellMar>
        </w:tblPrEx>
        <w:trPr>
          <w:trHeight w:val="69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栏次</w:t>
            </w:r>
          </w:p>
        </w:tc>
        <w:tc>
          <w:tcPr>
            <w:tcW w:w="98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10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8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8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0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c>
          <w:tcPr>
            <w:tcW w:w="7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6</w:t>
            </w:r>
          </w:p>
        </w:tc>
        <w:tc>
          <w:tcPr>
            <w:tcW w:w="6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7</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8</w:t>
            </w:r>
          </w:p>
        </w:tc>
        <w:tc>
          <w:tcPr>
            <w:tcW w:w="8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9</w:t>
            </w:r>
          </w:p>
        </w:tc>
        <w:tc>
          <w:tcPr>
            <w:tcW w:w="9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10</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11</w:t>
            </w:r>
          </w:p>
        </w:tc>
        <w:tc>
          <w:tcPr>
            <w:tcW w:w="10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12</w:t>
            </w:r>
          </w:p>
        </w:tc>
      </w:tr>
      <w:tr>
        <w:tblPrEx>
          <w:tblCellMar>
            <w:top w:w="0" w:type="dxa"/>
            <w:left w:w="108" w:type="dxa"/>
            <w:bottom w:w="0" w:type="dxa"/>
            <w:right w:w="108" w:type="dxa"/>
          </w:tblCellMar>
        </w:tblPrEx>
        <w:trPr>
          <w:trHeight w:val="900" w:hRule="atLeast"/>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98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合计</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0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7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6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6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9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7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900" w:hRule="atLeast"/>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98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216</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商业服务业等支出</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0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7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6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6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9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7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900" w:hRule="atLeast"/>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98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21602</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商业流通事务</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0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7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6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6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9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7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900" w:hRule="atLeast"/>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98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2160202</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一般行政管理事务</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0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7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6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6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9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7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bl>
    <w:tbl>
      <w:tblPr>
        <w:tblStyle w:val="4"/>
        <w:tblpPr w:leftFromText="180" w:rightFromText="180" w:vertAnchor="text" w:horzAnchor="margin" w:tblpXSpec="center" w:tblpY="494"/>
        <w:tblW w:w="9840" w:type="dxa"/>
        <w:tblInd w:w="0" w:type="dxa"/>
        <w:tblLayout w:type="autofit"/>
        <w:tblCellMar>
          <w:top w:w="0" w:type="dxa"/>
          <w:left w:w="108" w:type="dxa"/>
          <w:bottom w:w="0" w:type="dxa"/>
          <w:right w:w="108" w:type="dxa"/>
        </w:tblCellMar>
      </w:tblPr>
      <w:tblGrid>
        <w:gridCol w:w="620"/>
        <w:gridCol w:w="1080"/>
        <w:gridCol w:w="2060"/>
        <w:gridCol w:w="1100"/>
        <w:gridCol w:w="920"/>
        <w:gridCol w:w="680"/>
        <w:gridCol w:w="1040"/>
        <w:gridCol w:w="1000"/>
        <w:gridCol w:w="1340"/>
      </w:tblGrid>
      <w:tr>
        <w:tblPrEx>
          <w:tblCellMar>
            <w:top w:w="0" w:type="dxa"/>
            <w:left w:w="108" w:type="dxa"/>
            <w:bottom w:w="0" w:type="dxa"/>
            <w:right w:w="108" w:type="dxa"/>
          </w:tblCellMar>
        </w:tblPrEx>
        <w:trPr>
          <w:trHeight w:val="510" w:hRule="atLeast"/>
        </w:trPr>
        <w:tc>
          <w:tcPr>
            <w:tcW w:w="9840" w:type="dxa"/>
            <w:gridSpan w:val="9"/>
            <w:tcBorders>
              <w:top w:val="nil"/>
              <w:left w:val="nil"/>
              <w:bottom w:val="nil"/>
              <w:right w:val="nil"/>
            </w:tcBorders>
            <w:shd w:val="clear" w:color="auto" w:fill="auto"/>
            <w:vAlign w:val="center"/>
          </w:tcPr>
          <w:p>
            <w:pPr>
              <w:widowControl/>
              <w:jc w:val="center"/>
              <w:rPr>
                <w:rFonts w:ascii="宋体" w:hAnsi="宋体" w:cs="宋体"/>
                <w:b/>
                <w:bCs/>
                <w:kern w:val="0"/>
                <w:sz w:val="44"/>
                <w:szCs w:val="44"/>
              </w:rPr>
            </w:pPr>
            <w:r>
              <w:rPr>
                <w:rFonts w:hint="eastAsia" w:ascii="宋体" w:hAnsi="宋体" w:cs="宋体"/>
                <w:b/>
                <w:bCs/>
                <w:kern w:val="0"/>
                <w:sz w:val="44"/>
                <w:szCs w:val="44"/>
              </w:rPr>
              <w:t>部门预算支出总表</w:t>
            </w:r>
          </w:p>
        </w:tc>
      </w:tr>
      <w:tr>
        <w:tblPrEx>
          <w:tblCellMar>
            <w:top w:w="0" w:type="dxa"/>
            <w:left w:w="108" w:type="dxa"/>
            <w:bottom w:w="0" w:type="dxa"/>
            <w:right w:w="108" w:type="dxa"/>
          </w:tblCellMar>
        </w:tblPrEx>
        <w:trPr>
          <w:trHeight w:val="510" w:hRule="atLeast"/>
        </w:trPr>
        <w:tc>
          <w:tcPr>
            <w:tcW w:w="578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预算单位编码及名称：[975]供销合作社</w:t>
            </w:r>
          </w:p>
        </w:tc>
        <w:tc>
          <w:tcPr>
            <w:tcW w:w="17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2"/>
                <w:szCs w:val="22"/>
              </w:rPr>
            </w:pPr>
            <w:r>
              <w:rPr>
                <w:rFonts w:hint="eastAsia" w:ascii="宋体" w:hAnsi="宋体" w:cs="宋体"/>
                <w:kern w:val="0"/>
                <w:sz w:val="22"/>
                <w:szCs w:val="22"/>
              </w:rPr>
              <w:t>预算年度：2023</w:t>
            </w:r>
          </w:p>
        </w:tc>
        <w:tc>
          <w:tcPr>
            <w:tcW w:w="23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2"/>
                <w:szCs w:val="22"/>
              </w:rPr>
            </w:pPr>
            <w:r>
              <w:rPr>
                <w:rFonts w:hint="eastAsia" w:ascii="宋体" w:hAnsi="宋体" w:cs="宋体"/>
                <w:kern w:val="0"/>
                <w:sz w:val="22"/>
                <w:szCs w:val="22"/>
              </w:rPr>
              <w:t>金额单位：万元</w:t>
            </w:r>
          </w:p>
        </w:tc>
      </w:tr>
      <w:tr>
        <w:tblPrEx>
          <w:tblCellMar>
            <w:top w:w="0" w:type="dxa"/>
            <w:left w:w="108" w:type="dxa"/>
            <w:bottom w:w="0" w:type="dxa"/>
            <w:right w:w="108" w:type="dxa"/>
          </w:tblCellMar>
        </w:tblPrEx>
        <w:trPr>
          <w:trHeight w:val="510" w:hRule="atLeast"/>
        </w:trPr>
        <w:tc>
          <w:tcPr>
            <w:tcW w:w="6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序号</w:t>
            </w:r>
          </w:p>
        </w:tc>
        <w:tc>
          <w:tcPr>
            <w:tcW w:w="31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支出功能分类科目</w:t>
            </w:r>
          </w:p>
        </w:tc>
        <w:tc>
          <w:tcPr>
            <w:tcW w:w="11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本年支出合计</w:t>
            </w:r>
          </w:p>
        </w:tc>
        <w:tc>
          <w:tcPr>
            <w:tcW w:w="9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基本支出</w:t>
            </w: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项目支出</w:t>
            </w:r>
          </w:p>
        </w:tc>
        <w:tc>
          <w:tcPr>
            <w:tcW w:w="10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经营支出</w:t>
            </w:r>
          </w:p>
        </w:tc>
        <w:tc>
          <w:tcPr>
            <w:tcW w:w="10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上缴上级支出</w:t>
            </w:r>
          </w:p>
        </w:tc>
        <w:tc>
          <w:tcPr>
            <w:tcW w:w="13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对附属单位补助支出</w:t>
            </w:r>
          </w:p>
        </w:tc>
      </w:tr>
      <w:tr>
        <w:tblPrEx>
          <w:tblCellMar>
            <w:top w:w="0" w:type="dxa"/>
            <w:left w:w="108" w:type="dxa"/>
            <w:bottom w:w="0" w:type="dxa"/>
            <w:right w:w="108" w:type="dxa"/>
          </w:tblCellMar>
        </w:tblPrEx>
        <w:trPr>
          <w:trHeight w:val="510" w:hRule="atLeast"/>
        </w:trPr>
        <w:tc>
          <w:tcPr>
            <w:tcW w:w="6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0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科目编码</w:t>
            </w:r>
          </w:p>
        </w:tc>
        <w:tc>
          <w:tcPr>
            <w:tcW w:w="20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科目名称</w:t>
            </w:r>
          </w:p>
        </w:tc>
        <w:tc>
          <w:tcPr>
            <w:tcW w:w="11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9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0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0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3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r>
      <w:tr>
        <w:tblPrEx>
          <w:tblCellMar>
            <w:top w:w="0" w:type="dxa"/>
            <w:left w:w="108" w:type="dxa"/>
            <w:bottom w:w="0" w:type="dxa"/>
            <w:right w:w="108" w:type="dxa"/>
          </w:tblCellMar>
        </w:tblPrEx>
        <w:trPr>
          <w:trHeight w:val="510" w:hRule="atLeast"/>
        </w:trPr>
        <w:tc>
          <w:tcPr>
            <w:tcW w:w="6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栏次</w:t>
            </w:r>
          </w:p>
        </w:tc>
        <w:tc>
          <w:tcPr>
            <w:tcW w:w="10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20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11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9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c>
          <w:tcPr>
            <w:tcW w:w="10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6</w:t>
            </w:r>
          </w:p>
        </w:tc>
        <w:tc>
          <w:tcPr>
            <w:tcW w:w="10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7</w:t>
            </w:r>
          </w:p>
        </w:tc>
        <w:tc>
          <w:tcPr>
            <w:tcW w:w="13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8</w:t>
            </w:r>
          </w:p>
        </w:tc>
      </w:tr>
      <w:tr>
        <w:tblPrEx>
          <w:tblCellMar>
            <w:top w:w="0" w:type="dxa"/>
            <w:left w:w="108" w:type="dxa"/>
            <w:bottom w:w="0" w:type="dxa"/>
            <w:right w:w="108" w:type="dxa"/>
          </w:tblCellMar>
        </w:tblPrEx>
        <w:trPr>
          <w:trHeight w:val="510" w:hRule="atLeast"/>
        </w:trPr>
        <w:tc>
          <w:tcPr>
            <w:tcW w:w="6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合计</w:t>
            </w:r>
          </w:p>
        </w:tc>
        <w:tc>
          <w:tcPr>
            <w:tcW w:w="11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92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510" w:hRule="atLeast"/>
        </w:trPr>
        <w:tc>
          <w:tcPr>
            <w:tcW w:w="6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216</w:t>
            </w:r>
          </w:p>
        </w:tc>
        <w:tc>
          <w:tcPr>
            <w:tcW w:w="2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商业服务业等支出</w:t>
            </w:r>
          </w:p>
        </w:tc>
        <w:tc>
          <w:tcPr>
            <w:tcW w:w="11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92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510" w:hRule="atLeast"/>
        </w:trPr>
        <w:tc>
          <w:tcPr>
            <w:tcW w:w="6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21602</w:t>
            </w:r>
          </w:p>
        </w:tc>
        <w:tc>
          <w:tcPr>
            <w:tcW w:w="2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商业流通事务</w:t>
            </w:r>
          </w:p>
        </w:tc>
        <w:tc>
          <w:tcPr>
            <w:tcW w:w="11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92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510" w:hRule="atLeast"/>
        </w:trPr>
        <w:tc>
          <w:tcPr>
            <w:tcW w:w="6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2160202</w:t>
            </w:r>
          </w:p>
        </w:tc>
        <w:tc>
          <w:tcPr>
            <w:tcW w:w="2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一般行政管理事务</w:t>
            </w:r>
          </w:p>
        </w:tc>
        <w:tc>
          <w:tcPr>
            <w:tcW w:w="11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92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0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bl>
    <w:p>
      <w:pPr>
        <w:autoSpaceDE w:val="0"/>
        <w:autoSpaceDN w:val="0"/>
        <w:adjustRightInd w:val="0"/>
        <w:jc w:val="left"/>
        <w:rPr>
          <w:rFonts w:ascii="仿宋_GB2312" w:hAnsi="仿宋_GB2312" w:eastAsia="仿宋_GB2312" w:cs="仿宋_GB2312"/>
          <w:sz w:val="30"/>
          <w:szCs w:val="30"/>
        </w:rPr>
      </w:pPr>
    </w:p>
    <w:tbl>
      <w:tblPr>
        <w:tblStyle w:val="4"/>
        <w:tblpPr w:leftFromText="180" w:rightFromText="180" w:vertAnchor="text" w:horzAnchor="margin" w:tblpXSpec="center" w:tblpY="-1151"/>
        <w:tblW w:w="11118" w:type="dxa"/>
        <w:tblInd w:w="0" w:type="dxa"/>
        <w:tblLayout w:type="autofit"/>
        <w:tblCellMar>
          <w:top w:w="0" w:type="dxa"/>
          <w:left w:w="108" w:type="dxa"/>
          <w:bottom w:w="0" w:type="dxa"/>
          <w:right w:w="108" w:type="dxa"/>
        </w:tblCellMar>
      </w:tblPr>
      <w:tblGrid>
        <w:gridCol w:w="761"/>
        <w:gridCol w:w="2656"/>
        <w:gridCol w:w="844"/>
        <w:gridCol w:w="3215"/>
        <w:gridCol w:w="840"/>
        <w:gridCol w:w="947"/>
        <w:gridCol w:w="966"/>
        <w:gridCol w:w="889"/>
      </w:tblGrid>
      <w:tr>
        <w:tblPrEx>
          <w:tblCellMar>
            <w:top w:w="0" w:type="dxa"/>
            <w:left w:w="108" w:type="dxa"/>
            <w:bottom w:w="0" w:type="dxa"/>
            <w:right w:w="108" w:type="dxa"/>
          </w:tblCellMar>
        </w:tblPrEx>
        <w:trPr>
          <w:trHeight w:val="715" w:hRule="atLeast"/>
        </w:trPr>
        <w:tc>
          <w:tcPr>
            <w:tcW w:w="11118" w:type="dxa"/>
            <w:gridSpan w:val="8"/>
            <w:tcBorders>
              <w:top w:val="nil"/>
              <w:left w:val="nil"/>
              <w:bottom w:val="nil"/>
              <w:right w:val="nil"/>
            </w:tcBorders>
            <w:shd w:val="clear" w:color="auto" w:fill="auto"/>
            <w:vAlign w:val="center"/>
          </w:tcPr>
          <w:p>
            <w:pPr>
              <w:widowControl/>
              <w:jc w:val="center"/>
              <w:rPr>
                <w:rFonts w:ascii="宋体" w:hAnsi="宋体" w:cs="宋体"/>
                <w:b/>
                <w:bCs/>
                <w:kern w:val="0"/>
                <w:sz w:val="44"/>
                <w:szCs w:val="44"/>
              </w:rPr>
            </w:pPr>
            <w:r>
              <w:rPr>
                <w:rFonts w:hint="eastAsia" w:ascii="宋体" w:hAnsi="宋体" w:cs="宋体"/>
                <w:b/>
                <w:bCs/>
                <w:kern w:val="0"/>
                <w:sz w:val="44"/>
                <w:szCs w:val="44"/>
              </w:rPr>
              <w:t>部门预算财政拨款收支总表</w:t>
            </w:r>
          </w:p>
        </w:tc>
      </w:tr>
      <w:tr>
        <w:tblPrEx>
          <w:tblCellMar>
            <w:top w:w="0" w:type="dxa"/>
            <w:left w:w="108" w:type="dxa"/>
            <w:bottom w:w="0" w:type="dxa"/>
            <w:right w:w="108" w:type="dxa"/>
          </w:tblCellMar>
        </w:tblPrEx>
        <w:trPr>
          <w:trHeight w:val="514" w:hRule="atLeast"/>
        </w:trPr>
        <w:tc>
          <w:tcPr>
            <w:tcW w:w="7476"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预算单位编码及名称：[975]供销合作社</w:t>
            </w:r>
          </w:p>
        </w:tc>
        <w:tc>
          <w:tcPr>
            <w:tcW w:w="1787"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预算年度：2023</w:t>
            </w:r>
          </w:p>
        </w:tc>
        <w:tc>
          <w:tcPr>
            <w:tcW w:w="1855"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金额单位：万元</w:t>
            </w:r>
          </w:p>
        </w:tc>
      </w:tr>
      <w:tr>
        <w:tblPrEx>
          <w:tblCellMar>
            <w:top w:w="0" w:type="dxa"/>
            <w:left w:w="108" w:type="dxa"/>
            <w:bottom w:w="0" w:type="dxa"/>
            <w:right w:w="108" w:type="dxa"/>
          </w:tblCellMar>
        </w:tblPrEx>
        <w:trPr>
          <w:trHeight w:val="285" w:hRule="atLeast"/>
        </w:trPr>
        <w:tc>
          <w:tcPr>
            <w:tcW w:w="76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序号</w:t>
            </w:r>
          </w:p>
        </w:tc>
        <w:tc>
          <w:tcPr>
            <w:tcW w:w="35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收入</w:t>
            </w:r>
          </w:p>
        </w:tc>
        <w:tc>
          <w:tcPr>
            <w:tcW w:w="6857"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支出</w:t>
            </w:r>
          </w:p>
        </w:tc>
      </w:tr>
      <w:tr>
        <w:tblPrEx>
          <w:tblCellMar>
            <w:top w:w="0" w:type="dxa"/>
            <w:left w:w="108" w:type="dxa"/>
            <w:bottom w:w="0" w:type="dxa"/>
            <w:right w:w="108" w:type="dxa"/>
          </w:tblCellMar>
        </w:tblPrEx>
        <w:trPr>
          <w:trHeight w:val="1044" w:hRule="atLeast"/>
        </w:trPr>
        <w:tc>
          <w:tcPr>
            <w:tcW w:w="76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6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项    目</w:t>
            </w:r>
          </w:p>
        </w:tc>
        <w:tc>
          <w:tcPr>
            <w:tcW w:w="84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金额</w:t>
            </w:r>
          </w:p>
        </w:tc>
        <w:tc>
          <w:tcPr>
            <w:tcW w:w="321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项    目</w:t>
            </w:r>
          </w:p>
        </w:tc>
        <w:tc>
          <w:tcPr>
            <w:tcW w:w="8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合计</w:t>
            </w:r>
          </w:p>
        </w:tc>
        <w:tc>
          <w:tcPr>
            <w:tcW w:w="94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一般公共预算财政拨款</w:t>
            </w:r>
          </w:p>
        </w:tc>
        <w:tc>
          <w:tcPr>
            <w:tcW w:w="96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政府性基金预算财政拨款</w:t>
            </w:r>
          </w:p>
        </w:tc>
        <w:tc>
          <w:tcPr>
            <w:tcW w:w="88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国有资本经营预算财政拨款</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栏次</w:t>
            </w:r>
          </w:p>
        </w:tc>
        <w:tc>
          <w:tcPr>
            <w:tcW w:w="26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w:t>
            </w:r>
          </w:p>
        </w:tc>
        <w:tc>
          <w:tcPr>
            <w:tcW w:w="84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w:t>
            </w:r>
          </w:p>
        </w:tc>
        <w:tc>
          <w:tcPr>
            <w:tcW w:w="321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w:t>
            </w:r>
          </w:p>
        </w:tc>
        <w:tc>
          <w:tcPr>
            <w:tcW w:w="8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w:t>
            </w:r>
          </w:p>
        </w:tc>
        <w:tc>
          <w:tcPr>
            <w:tcW w:w="94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w:t>
            </w:r>
          </w:p>
        </w:tc>
        <w:tc>
          <w:tcPr>
            <w:tcW w:w="96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6</w:t>
            </w:r>
          </w:p>
        </w:tc>
        <w:tc>
          <w:tcPr>
            <w:tcW w:w="88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7</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一、一般公共预算拨款</w:t>
            </w:r>
          </w:p>
        </w:tc>
        <w:tc>
          <w:tcPr>
            <w:tcW w:w="84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134.51</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一、一般公共服务支出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二、政府性基金预算拨款</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二、外交支出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3</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三、国有资本经营预算拨款</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三、国防支出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4</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四、公共安全支出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5</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五、教育支出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6</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六、科学技术支出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7</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七、文化旅游体育与传媒支出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8</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八、社会保障和就业支出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9</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九、社会保险基金支出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10</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十、卫生健康支出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11</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十一、节能环保支出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12</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十二、城乡社区支出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十三、农林水支出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14</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十四、交通运输支出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15</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十五、资源勘探工业信息等支出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16</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十六、商业服务业等支出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134.51</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134.51</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17</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十七、金融支出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18</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十八、援助其他地区支出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19</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十九、自然资源海洋气象等支出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20</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二十、住房保障支出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21</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二十一、粮油物资储备支出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22</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二十二、国有资本经营预算支出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23</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二十三、灾害防治及应急管理支出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24</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二十四、预备费</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25</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二十五、其他支出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26</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二十六、转移性支出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27</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二十七、债务还本支出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28</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二十八、债务付息支出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29</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二十九、债务发行费用支出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30</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三十、抗疫特别国债安排的支出</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31</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本年收入合计</w:t>
            </w:r>
          </w:p>
        </w:tc>
        <w:tc>
          <w:tcPr>
            <w:tcW w:w="84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134.51</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本年支出合计</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134.51</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134.51</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32</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年初财政拨款结转和结余</w:t>
            </w:r>
          </w:p>
        </w:tc>
        <w:tc>
          <w:tcPr>
            <w:tcW w:w="84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年末财政拨款结转和结余</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33</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一、一般公共预算拨款</w:t>
            </w:r>
          </w:p>
        </w:tc>
        <w:tc>
          <w:tcPr>
            <w:tcW w:w="84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34</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二、政府性基金预算拨款</w:t>
            </w:r>
          </w:p>
        </w:tc>
        <w:tc>
          <w:tcPr>
            <w:tcW w:w="84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35</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三、国有资本经营预算拨款</w:t>
            </w:r>
          </w:p>
        </w:tc>
        <w:tc>
          <w:tcPr>
            <w:tcW w:w="84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4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285" w:hRule="atLeast"/>
        </w:trPr>
        <w:tc>
          <w:tcPr>
            <w:tcW w:w="7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36</w:t>
            </w:r>
          </w:p>
        </w:tc>
        <w:tc>
          <w:tcPr>
            <w:tcW w:w="265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收入总计</w:t>
            </w:r>
          </w:p>
        </w:tc>
        <w:tc>
          <w:tcPr>
            <w:tcW w:w="84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134.51</w:t>
            </w:r>
          </w:p>
        </w:tc>
        <w:tc>
          <w:tcPr>
            <w:tcW w:w="321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支出总计</w:t>
            </w:r>
          </w:p>
        </w:tc>
        <w:tc>
          <w:tcPr>
            <w:tcW w:w="8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134.51</w:t>
            </w:r>
          </w:p>
        </w:tc>
        <w:tc>
          <w:tcPr>
            <w:tcW w:w="9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134.51</w:t>
            </w:r>
          </w:p>
        </w:tc>
        <w:tc>
          <w:tcPr>
            <w:tcW w:w="96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8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bl>
    <w:p/>
    <w:tbl>
      <w:tblPr>
        <w:tblStyle w:val="4"/>
        <w:tblW w:w="10040" w:type="dxa"/>
        <w:tblInd w:w="-869" w:type="dxa"/>
        <w:tblLayout w:type="autofit"/>
        <w:tblCellMar>
          <w:top w:w="0" w:type="dxa"/>
          <w:left w:w="108" w:type="dxa"/>
          <w:bottom w:w="0" w:type="dxa"/>
          <w:right w:w="108" w:type="dxa"/>
        </w:tblCellMar>
      </w:tblPr>
      <w:tblGrid>
        <w:gridCol w:w="740"/>
        <w:gridCol w:w="1000"/>
        <w:gridCol w:w="2000"/>
        <w:gridCol w:w="1060"/>
        <w:gridCol w:w="1160"/>
        <w:gridCol w:w="1440"/>
        <w:gridCol w:w="980"/>
        <w:gridCol w:w="1660"/>
      </w:tblGrid>
      <w:tr>
        <w:tblPrEx>
          <w:tblCellMar>
            <w:top w:w="0" w:type="dxa"/>
            <w:left w:w="108" w:type="dxa"/>
            <w:bottom w:w="0" w:type="dxa"/>
            <w:right w:w="108" w:type="dxa"/>
          </w:tblCellMar>
        </w:tblPrEx>
        <w:trPr>
          <w:trHeight w:val="564" w:hRule="atLeast"/>
        </w:trPr>
        <w:tc>
          <w:tcPr>
            <w:tcW w:w="10040" w:type="dxa"/>
            <w:gridSpan w:val="8"/>
            <w:tcBorders>
              <w:top w:val="nil"/>
              <w:left w:val="nil"/>
              <w:bottom w:val="nil"/>
              <w:right w:val="nil"/>
            </w:tcBorders>
            <w:shd w:val="clear" w:color="auto" w:fill="auto"/>
            <w:vAlign w:val="center"/>
          </w:tcPr>
          <w:p>
            <w:pPr>
              <w:widowControl/>
              <w:jc w:val="center"/>
              <w:rPr>
                <w:rFonts w:ascii="宋体" w:hAnsi="宋体" w:cs="宋体"/>
                <w:b/>
                <w:bCs/>
                <w:kern w:val="0"/>
                <w:sz w:val="44"/>
                <w:szCs w:val="44"/>
              </w:rPr>
            </w:pPr>
            <w:r>
              <w:rPr>
                <w:rFonts w:hint="eastAsia" w:ascii="宋体" w:hAnsi="宋体" w:cs="宋体"/>
                <w:b/>
                <w:bCs/>
                <w:kern w:val="0"/>
                <w:sz w:val="44"/>
                <w:szCs w:val="44"/>
              </w:rPr>
              <w:t>部门预算一般公共预算财政拨款支出表</w:t>
            </w:r>
          </w:p>
        </w:tc>
      </w:tr>
      <w:tr>
        <w:tblPrEx>
          <w:tblCellMar>
            <w:top w:w="0" w:type="dxa"/>
            <w:left w:w="108" w:type="dxa"/>
            <w:bottom w:w="0" w:type="dxa"/>
            <w:right w:w="108" w:type="dxa"/>
          </w:tblCellMar>
        </w:tblPrEx>
        <w:trPr>
          <w:trHeight w:val="600" w:hRule="atLeast"/>
        </w:trPr>
        <w:tc>
          <w:tcPr>
            <w:tcW w:w="59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预算单位编码及名称：[975]供销合作社</w:t>
            </w:r>
          </w:p>
        </w:tc>
        <w:tc>
          <w:tcPr>
            <w:tcW w:w="2420"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预算年度：2023</w:t>
            </w:r>
          </w:p>
        </w:tc>
        <w:tc>
          <w:tcPr>
            <w:tcW w:w="166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金额单位：万元</w:t>
            </w:r>
          </w:p>
        </w:tc>
      </w:tr>
      <w:tr>
        <w:tblPrEx>
          <w:tblCellMar>
            <w:top w:w="0" w:type="dxa"/>
            <w:left w:w="108" w:type="dxa"/>
            <w:bottom w:w="0" w:type="dxa"/>
            <w:right w:w="108" w:type="dxa"/>
          </w:tblCellMar>
        </w:tblPrEx>
        <w:trPr>
          <w:trHeight w:val="288" w:hRule="atLeast"/>
        </w:trPr>
        <w:tc>
          <w:tcPr>
            <w:tcW w:w="7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序号</w:t>
            </w:r>
          </w:p>
        </w:tc>
        <w:tc>
          <w:tcPr>
            <w:tcW w:w="30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支出功能分类科目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合计</w:t>
            </w:r>
          </w:p>
        </w:tc>
        <w:tc>
          <w:tcPr>
            <w:tcW w:w="358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基本支出</w:t>
            </w:r>
          </w:p>
        </w:tc>
        <w:tc>
          <w:tcPr>
            <w:tcW w:w="16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项目支出</w:t>
            </w:r>
          </w:p>
        </w:tc>
      </w:tr>
      <w:tr>
        <w:tblPrEx>
          <w:tblCellMar>
            <w:top w:w="0" w:type="dxa"/>
            <w:left w:w="108" w:type="dxa"/>
            <w:bottom w:w="0" w:type="dxa"/>
            <w:right w:w="108" w:type="dxa"/>
          </w:tblCellMar>
        </w:tblPrEx>
        <w:trPr>
          <w:trHeight w:val="288" w:hRule="atLeast"/>
        </w:trPr>
        <w:tc>
          <w:tcPr>
            <w:tcW w:w="7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0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科目编码</w:t>
            </w:r>
          </w:p>
        </w:tc>
        <w:tc>
          <w:tcPr>
            <w:tcW w:w="20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科目名称</w:t>
            </w:r>
          </w:p>
        </w:tc>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1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小计</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人员经费</w:t>
            </w:r>
          </w:p>
        </w:tc>
        <w:tc>
          <w:tcPr>
            <w:tcW w:w="9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公用经费</w:t>
            </w:r>
          </w:p>
        </w:tc>
        <w:tc>
          <w:tcPr>
            <w:tcW w:w="16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r>
      <w:tr>
        <w:tblPrEx>
          <w:tblCellMar>
            <w:top w:w="0" w:type="dxa"/>
            <w:left w:w="108" w:type="dxa"/>
            <w:bottom w:w="0" w:type="dxa"/>
            <w:right w:w="108" w:type="dxa"/>
          </w:tblCellMar>
        </w:tblPrEx>
        <w:trPr>
          <w:trHeight w:val="765" w:hRule="atLeast"/>
        </w:trPr>
        <w:tc>
          <w:tcPr>
            <w:tcW w:w="7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栏次</w:t>
            </w:r>
          </w:p>
        </w:tc>
        <w:tc>
          <w:tcPr>
            <w:tcW w:w="10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20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10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11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c>
          <w:tcPr>
            <w:tcW w:w="9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6</w:t>
            </w:r>
          </w:p>
        </w:tc>
        <w:tc>
          <w:tcPr>
            <w:tcW w:w="16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7</w:t>
            </w:r>
          </w:p>
        </w:tc>
      </w:tr>
      <w:tr>
        <w:tblPrEx>
          <w:tblCellMar>
            <w:top w:w="0" w:type="dxa"/>
            <w:left w:w="108" w:type="dxa"/>
            <w:bottom w:w="0" w:type="dxa"/>
            <w:right w:w="108" w:type="dxa"/>
          </w:tblCellMar>
        </w:tblPrEx>
        <w:trPr>
          <w:trHeight w:val="765"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10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20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合计</w:t>
            </w:r>
          </w:p>
        </w:tc>
        <w:tc>
          <w:tcPr>
            <w:tcW w:w="10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1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4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84.87</w:t>
            </w:r>
          </w:p>
        </w:tc>
        <w:tc>
          <w:tcPr>
            <w:tcW w:w="9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49.64</w:t>
            </w:r>
          </w:p>
        </w:tc>
        <w:tc>
          <w:tcPr>
            <w:tcW w:w="16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765"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10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216</w:t>
            </w:r>
          </w:p>
        </w:tc>
        <w:tc>
          <w:tcPr>
            <w:tcW w:w="20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商业服务业等支出</w:t>
            </w:r>
          </w:p>
        </w:tc>
        <w:tc>
          <w:tcPr>
            <w:tcW w:w="10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1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4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84.87</w:t>
            </w:r>
          </w:p>
        </w:tc>
        <w:tc>
          <w:tcPr>
            <w:tcW w:w="9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49.64</w:t>
            </w:r>
          </w:p>
        </w:tc>
        <w:tc>
          <w:tcPr>
            <w:tcW w:w="16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765"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10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21602</w:t>
            </w:r>
          </w:p>
        </w:tc>
        <w:tc>
          <w:tcPr>
            <w:tcW w:w="20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商业流通事务</w:t>
            </w:r>
          </w:p>
        </w:tc>
        <w:tc>
          <w:tcPr>
            <w:tcW w:w="10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1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4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84.87</w:t>
            </w:r>
          </w:p>
        </w:tc>
        <w:tc>
          <w:tcPr>
            <w:tcW w:w="9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49.64</w:t>
            </w:r>
          </w:p>
        </w:tc>
        <w:tc>
          <w:tcPr>
            <w:tcW w:w="16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765"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0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2160202</w:t>
            </w:r>
          </w:p>
        </w:tc>
        <w:tc>
          <w:tcPr>
            <w:tcW w:w="20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一般行政管理事务</w:t>
            </w:r>
          </w:p>
        </w:tc>
        <w:tc>
          <w:tcPr>
            <w:tcW w:w="10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1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4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84.87</w:t>
            </w:r>
          </w:p>
        </w:tc>
        <w:tc>
          <w:tcPr>
            <w:tcW w:w="9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49.64</w:t>
            </w:r>
          </w:p>
        </w:tc>
        <w:tc>
          <w:tcPr>
            <w:tcW w:w="16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r>
    </w:tbl>
    <w:p/>
    <w:tbl>
      <w:tblPr>
        <w:tblStyle w:val="4"/>
        <w:tblW w:w="9851" w:type="dxa"/>
        <w:tblInd w:w="-767" w:type="dxa"/>
        <w:tblLayout w:type="autofit"/>
        <w:tblCellMar>
          <w:top w:w="0" w:type="dxa"/>
          <w:left w:w="108" w:type="dxa"/>
          <w:bottom w:w="0" w:type="dxa"/>
          <w:right w:w="108" w:type="dxa"/>
        </w:tblCellMar>
      </w:tblPr>
      <w:tblGrid>
        <w:gridCol w:w="1161"/>
        <w:gridCol w:w="1381"/>
        <w:gridCol w:w="2143"/>
        <w:gridCol w:w="1522"/>
        <w:gridCol w:w="1822"/>
        <w:gridCol w:w="1822"/>
      </w:tblGrid>
      <w:tr>
        <w:tblPrEx>
          <w:tblCellMar>
            <w:top w:w="0" w:type="dxa"/>
            <w:left w:w="108" w:type="dxa"/>
            <w:bottom w:w="0" w:type="dxa"/>
            <w:right w:w="108" w:type="dxa"/>
          </w:tblCellMar>
        </w:tblPrEx>
        <w:trPr>
          <w:trHeight w:val="665" w:hRule="atLeast"/>
        </w:trPr>
        <w:tc>
          <w:tcPr>
            <w:tcW w:w="9851" w:type="dxa"/>
            <w:gridSpan w:val="6"/>
            <w:tcBorders>
              <w:top w:val="nil"/>
              <w:left w:val="nil"/>
              <w:bottom w:val="nil"/>
              <w:right w:val="nil"/>
            </w:tcBorders>
            <w:shd w:val="clear" w:color="auto" w:fill="auto"/>
            <w:vAlign w:val="center"/>
          </w:tcPr>
          <w:p>
            <w:pPr>
              <w:widowControl/>
              <w:jc w:val="center"/>
              <w:rPr>
                <w:rFonts w:ascii="宋体" w:hAnsi="宋体" w:cs="宋体"/>
                <w:b/>
                <w:bCs/>
                <w:kern w:val="0"/>
                <w:sz w:val="44"/>
                <w:szCs w:val="44"/>
              </w:rPr>
            </w:pPr>
            <w:r>
              <w:rPr>
                <w:rFonts w:hint="eastAsia" w:ascii="宋体" w:hAnsi="宋体" w:cs="宋体"/>
                <w:b/>
                <w:bCs/>
                <w:kern w:val="0"/>
                <w:sz w:val="44"/>
                <w:szCs w:val="44"/>
              </w:rPr>
              <w:t>部门预算一般公共预算财政拨款基本支出表</w:t>
            </w:r>
          </w:p>
        </w:tc>
      </w:tr>
      <w:tr>
        <w:tblPrEx>
          <w:tblCellMar>
            <w:top w:w="0" w:type="dxa"/>
            <w:left w:w="108" w:type="dxa"/>
            <w:bottom w:w="0" w:type="dxa"/>
            <w:right w:w="108" w:type="dxa"/>
          </w:tblCellMar>
        </w:tblPrEx>
        <w:trPr>
          <w:trHeight w:val="692" w:hRule="atLeast"/>
        </w:trPr>
        <w:tc>
          <w:tcPr>
            <w:tcW w:w="6207"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预算单位编码及名称：[975]供销合作社</w:t>
            </w:r>
          </w:p>
        </w:tc>
        <w:tc>
          <w:tcPr>
            <w:tcW w:w="1822"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2"/>
                <w:szCs w:val="22"/>
              </w:rPr>
            </w:pPr>
            <w:r>
              <w:rPr>
                <w:rFonts w:hint="eastAsia" w:ascii="宋体" w:hAnsi="宋体" w:cs="宋体"/>
                <w:kern w:val="0"/>
                <w:sz w:val="22"/>
                <w:szCs w:val="22"/>
              </w:rPr>
              <w:t>预算年度：2023</w:t>
            </w:r>
          </w:p>
        </w:tc>
        <w:tc>
          <w:tcPr>
            <w:tcW w:w="1822"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2"/>
                <w:szCs w:val="22"/>
              </w:rPr>
            </w:pPr>
            <w:r>
              <w:rPr>
                <w:rFonts w:hint="eastAsia" w:ascii="宋体" w:hAnsi="宋体" w:cs="宋体"/>
                <w:kern w:val="0"/>
                <w:sz w:val="22"/>
                <w:szCs w:val="22"/>
              </w:rPr>
              <w:t>金额单位：万元</w:t>
            </w:r>
          </w:p>
        </w:tc>
      </w:tr>
      <w:tr>
        <w:tblPrEx>
          <w:tblCellMar>
            <w:top w:w="0" w:type="dxa"/>
            <w:left w:w="108" w:type="dxa"/>
            <w:bottom w:w="0" w:type="dxa"/>
            <w:right w:w="108" w:type="dxa"/>
          </w:tblCellMar>
        </w:tblPrEx>
        <w:trPr>
          <w:trHeight w:val="692" w:hRule="atLeast"/>
        </w:trPr>
        <w:tc>
          <w:tcPr>
            <w:tcW w:w="116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序号</w:t>
            </w:r>
          </w:p>
        </w:tc>
        <w:tc>
          <w:tcPr>
            <w:tcW w:w="3524"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支出部门经济分类科目</w:t>
            </w:r>
          </w:p>
        </w:tc>
        <w:tc>
          <w:tcPr>
            <w:tcW w:w="5166"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一般公共预算基本支出</w:t>
            </w:r>
          </w:p>
        </w:tc>
      </w:tr>
      <w:tr>
        <w:tblPrEx>
          <w:tblCellMar>
            <w:top w:w="0" w:type="dxa"/>
            <w:left w:w="108" w:type="dxa"/>
            <w:bottom w:w="0" w:type="dxa"/>
            <w:right w:w="108" w:type="dxa"/>
          </w:tblCellMar>
        </w:tblPrEx>
        <w:trPr>
          <w:trHeight w:val="692" w:hRule="atLeast"/>
        </w:trPr>
        <w:tc>
          <w:tcPr>
            <w:tcW w:w="116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38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科目编码</w:t>
            </w:r>
          </w:p>
        </w:tc>
        <w:tc>
          <w:tcPr>
            <w:tcW w:w="21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科目名称</w:t>
            </w:r>
          </w:p>
        </w:tc>
        <w:tc>
          <w:tcPr>
            <w:tcW w:w="15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合计</w:t>
            </w:r>
          </w:p>
        </w:tc>
        <w:tc>
          <w:tcPr>
            <w:tcW w:w="18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人员经费</w:t>
            </w:r>
          </w:p>
        </w:tc>
        <w:tc>
          <w:tcPr>
            <w:tcW w:w="18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公用经费</w:t>
            </w:r>
          </w:p>
        </w:tc>
      </w:tr>
      <w:tr>
        <w:tblPrEx>
          <w:tblCellMar>
            <w:top w:w="0" w:type="dxa"/>
            <w:left w:w="108" w:type="dxa"/>
            <w:bottom w:w="0" w:type="dxa"/>
            <w:right w:w="108" w:type="dxa"/>
          </w:tblCellMar>
        </w:tblPrEx>
        <w:trPr>
          <w:trHeight w:val="692" w:hRule="atLeast"/>
        </w:trPr>
        <w:tc>
          <w:tcPr>
            <w:tcW w:w="116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栏次</w:t>
            </w:r>
          </w:p>
        </w:tc>
        <w:tc>
          <w:tcPr>
            <w:tcW w:w="138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21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15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18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8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r>
      <w:tr>
        <w:tblPrEx>
          <w:tblCellMar>
            <w:top w:w="0" w:type="dxa"/>
            <w:left w:w="108" w:type="dxa"/>
            <w:bottom w:w="0" w:type="dxa"/>
            <w:right w:w="108" w:type="dxa"/>
          </w:tblCellMar>
        </w:tblPrEx>
        <w:trPr>
          <w:trHeight w:val="692" w:hRule="atLeast"/>
        </w:trPr>
        <w:tc>
          <w:tcPr>
            <w:tcW w:w="11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138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2143"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合计</w:t>
            </w:r>
          </w:p>
        </w:tc>
        <w:tc>
          <w:tcPr>
            <w:tcW w:w="15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134.51</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84.87</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49.64</w:t>
            </w:r>
          </w:p>
        </w:tc>
      </w:tr>
      <w:tr>
        <w:tblPrEx>
          <w:tblCellMar>
            <w:top w:w="0" w:type="dxa"/>
            <w:left w:w="108" w:type="dxa"/>
            <w:bottom w:w="0" w:type="dxa"/>
            <w:right w:w="108" w:type="dxa"/>
          </w:tblCellMar>
        </w:tblPrEx>
        <w:trPr>
          <w:trHeight w:val="692" w:hRule="atLeast"/>
        </w:trPr>
        <w:tc>
          <w:tcPr>
            <w:tcW w:w="11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138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xml:space="preserve">    30103</w:t>
            </w:r>
          </w:p>
        </w:tc>
        <w:tc>
          <w:tcPr>
            <w:tcW w:w="214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奖金</w:t>
            </w:r>
          </w:p>
        </w:tc>
        <w:tc>
          <w:tcPr>
            <w:tcW w:w="15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31.27</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692" w:hRule="atLeast"/>
        </w:trPr>
        <w:tc>
          <w:tcPr>
            <w:tcW w:w="11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38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xml:space="preserve">    30199</w:t>
            </w:r>
          </w:p>
        </w:tc>
        <w:tc>
          <w:tcPr>
            <w:tcW w:w="214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其他工资福利支出</w:t>
            </w:r>
          </w:p>
        </w:tc>
        <w:tc>
          <w:tcPr>
            <w:tcW w:w="15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48.32</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703" w:hRule="atLeast"/>
        </w:trPr>
        <w:tc>
          <w:tcPr>
            <w:tcW w:w="11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6</w:t>
            </w:r>
          </w:p>
        </w:tc>
        <w:tc>
          <w:tcPr>
            <w:tcW w:w="138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xml:space="preserve">    30305</w:t>
            </w:r>
          </w:p>
        </w:tc>
        <w:tc>
          <w:tcPr>
            <w:tcW w:w="214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生活补助</w:t>
            </w:r>
          </w:p>
        </w:tc>
        <w:tc>
          <w:tcPr>
            <w:tcW w:w="15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5.28</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703" w:hRule="atLeast"/>
        </w:trPr>
        <w:tc>
          <w:tcPr>
            <w:tcW w:w="116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8</w:t>
            </w:r>
          </w:p>
        </w:tc>
        <w:tc>
          <w:tcPr>
            <w:tcW w:w="138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xml:space="preserve">    30226</w:t>
            </w:r>
          </w:p>
        </w:tc>
        <w:tc>
          <w:tcPr>
            <w:tcW w:w="214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劳务费</w:t>
            </w:r>
          </w:p>
        </w:tc>
        <w:tc>
          <w:tcPr>
            <w:tcW w:w="15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w:t>
            </w:r>
          </w:p>
        </w:tc>
        <w:tc>
          <w:tcPr>
            <w:tcW w:w="182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49,64</w:t>
            </w:r>
          </w:p>
        </w:tc>
      </w:tr>
    </w:tbl>
    <w:tbl>
      <w:tblPr>
        <w:tblStyle w:val="4"/>
        <w:tblpPr w:leftFromText="180" w:rightFromText="180" w:vertAnchor="text" w:horzAnchor="margin" w:tblpY="73"/>
        <w:tblW w:w="9060" w:type="dxa"/>
        <w:tblInd w:w="0" w:type="dxa"/>
        <w:tblLayout w:type="autofit"/>
        <w:tblCellMar>
          <w:top w:w="0" w:type="dxa"/>
          <w:left w:w="108" w:type="dxa"/>
          <w:bottom w:w="0" w:type="dxa"/>
          <w:right w:w="108" w:type="dxa"/>
        </w:tblCellMar>
      </w:tblPr>
      <w:tblGrid>
        <w:gridCol w:w="740"/>
        <w:gridCol w:w="1240"/>
        <w:gridCol w:w="1760"/>
        <w:gridCol w:w="1540"/>
        <w:gridCol w:w="2080"/>
        <w:gridCol w:w="1700"/>
      </w:tblGrid>
      <w:tr>
        <w:tblPrEx>
          <w:tblCellMar>
            <w:top w:w="0" w:type="dxa"/>
            <w:left w:w="108" w:type="dxa"/>
            <w:bottom w:w="0" w:type="dxa"/>
            <w:right w:w="108" w:type="dxa"/>
          </w:tblCellMar>
        </w:tblPrEx>
        <w:trPr>
          <w:trHeight w:val="750" w:hRule="atLeast"/>
        </w:trPr>
        <w:tc>
          <w:tcPr>
            <w:tcW w:w="9060" w:type="dxa"/>
            <w:gridSpan w:val="6"/>
            <w:tcBorders>
              <w:top w:val="nil"/>
              <w:left w:val="nil"/>
              <w:bottom w:val="nil"/>
              <w:right w:val="nil"/>
            </w:tcBorders>
            <w:shd w:val="clear" w:color="auto" w:fill="auto"/>
            <w:vAlign w:val="center"/>
          </w:tcPr>
          <w:p>
            <w:pPr>
              <w:widowControl/>
              <w:jc w:val="center"/>
              <w:rPr>
                <w:rFonts w:ascii="宋体" w:hAnsi="宋体" w:cs="宋体"/>
                <w:b/>
                <w:bCs/>
                <w:kern w:val="0"/>
                <w:sz w:val="44"/>
                <w:szCs w:val="44"/>
              </w:rPr>
            </w:pPr>
          </w:p>
          <w:p>
            <w:pPr>
              <w:widowControl/>
              <w:jc w:val="center"/>
              <w:rPr>
                <w:rFonts w:ascii="宋体" w:hAnsi="宋体" w:cs="宋体"/>
                <w:b/>
                <w:bCs/>
                <w:kern w:val="0"/>
                <w:sz w:val="44"/>
                <w:szCs w:val="44"/>
              </w:rPr>
            </w:pPr>
            <w:r>
              <w:rPr>
                <w:rFonts w:hint="eastAsia" w:ascii="宋体" w:hAnsi="宋体" w:cs="宋体"/>
                <w:b/>
                <w:bCs/>
                <w:kern w:val="0"/>
                <w:sz w:val="44"/>
                <w:szCs w:val="44"/>
              </w:rPr>
              <w:t>部门预算政府基金预算财政拨款支出表</w:t>
            </w:r>
          </w:p>
        </w:tc>
      </w:tr>
      <w:tr>
        <w:tblPrEx>
          <w:tblCellMar>
            <w:top w:w="0" w:type="dxa"/>
            <w:left w:w="108" w:type="dxa"/>
            <w:bottom w:w="0" w:type="dxa"/>
            <w:right w:w="108" w:type="dxa"/>
          </w:tblCellMar>
        </w:tblPrEx>
        <w:trPr>
          <w:trHeight w:val="585" w:hRule="atLeast"/>
        </w:trPr>
        <w:tc>
          <w:tcPr>
            <w:tcW w:w="528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预算单位编码及名称：[975]供销合作社</w:t>
            </w:r>
          </w:p>
        </w:tc>
        <w:tc>
          <w:tcPr>
            <w:tcW w:w="208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预算年度：2023</w:t>
            </w:r>
          </w:p>
        </w:tc>
        <w:tc>
          <w:tcPr>
            <w:tcW w:w="170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2"/>
                <w:szCs w:val="22"/>
              </w:rPr>
            </w:pPr>
            <w:r>
              <w:rPr>
                <w:rFonts w:hint="eastAsia" w:ascii="宋体" w:hAnsi="宋体" w:cs="宋体"/>
                <w:kern w:val="0"/>
                <w:sz w:val="22"/>
                <w:szCs w:val="22"/>
              </w:rPr>
              <w:t>金额单位：万元</w:t>
            </w:r>
          </w:p>
        </w:tc>
      </w:tr>
      <w:tr>
        <w:tblPrEx>
          <w:tblCellMar>
            <w:top w:w="0" w:type="dxa"/>
            <w:left w:w="108" w:type="dxa"/>
            <w:bottom w:w="0" w:type="dxa"/>
            <w:right w:w="108" w:type="dxa"/>
          </w:tblCellMar>
        </w:tblPrEx>
        <w:trPr>
          <w:trHeight w:val="585" w:hRule="atLeast"/>
        </w:trPr>
        <w:tc>
          <w:tcPr>
            <w:tcW w:w="7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序号</w:t>
            </w:r>
          </w:p>
        </w:tc>
        <w:tc>
          <w:tcPr>
            <w:tcW w:w="30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支出功能分类科目</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合计</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基本支出</w:t>
            </w:r>
          </w:p>
        </w:tc>
        <w:tc>
          <w:tcPr>
            <w:tcW w:w="17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项目支出</w:t>
            </w:r>
          </w:p>
        </w:tc>
      </w:tr>
      <w:tr>
        <w:tblPrEx>
          <w:tblCellMar>
            <w:top w:w="0" w:type="dxa"/>
            <w:left w:w="108" w:type="dxa"/>
            <w:bottom w:w="0" w:type="dxa"/>
            <w:right w:w="108" w:type="dxa"/>
          </w:tblCellMar>
        </w:tblPrEx>
        <w:trPr>
          <w:trHeight w:val="585" w:hRule="atLeast"/>
        </w:trPr>
        <w:tc>
          <w:tcPr>
            <w:tcW w:w="7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2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科目编码</w:t>
            </w:r>
          </w:p>
        </w:tc>
        <w:tc>
          <w:tcPr>
            <w:tcW w:w="17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科目名称</w:t>
            </w: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2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7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r>
      <w:tr>
        <w:tblPrEx>
          <w:tblCellMar>
            <w:top w:w="0" w:type="dxa"/>
            <w:left w:w="108" w:type="dxa"/>
            <w:bottom w:w="0" w:type="dxa"/>
            <w:right w:w="108" w:type="dxa"/>
          </w:tblCellMar>
        </w:tblPrEx>
        <w:trPr>
          <w:trHeight w:val="585" w:hRule="atLeast"/>
        </w:trPr>
        <w:tc>
          <w:tcPr>
            <w:tcW w:w="7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栏次</w:t>
            </w:r>
          </w:p>
        </w:tc>
        <w:tc>
          <w:tcPr>
            <w:tcW w:w="12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17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15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20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7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r>
      <w:tr>
        <w:tblPrEx>
          <w:tblCellMar>
            <w:top w:w="0" w:type="dxa"/>
            <w:left w:w="108" w:type="dxa"/>
            <w:bottom w:w="0" w:type="dxa"/>
            <w:right w:w="108" w:type="dxa"/>
          </w:tblCellMar>
        </w:tblPrEx>
        <w:trPr>
          <w:trHeight w:val="585"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7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585"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7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585"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7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585"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7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570" w:hRule="atLeast"/>
        </w:trPr>
        <w:tc>
          <w:tcPr>
            <w:tcW w:w="5280" w:type="dxa"/>
            <w:gridSpan w:val="4"/>
            <w:tcBorders>
              <w:top w:val="nil"/>
              <w:left w:val="nil"/>
              <w:bottom w:val="nil"/>
              <w:right w:val="nil"/>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注：无政府基金预算财政拨款支出预算，空表列示。</w:t>
            </w:r>
          </w:p>
        </w:tc>
        <w:tc>
          <w:tcPr>
            <w:tcW w:w="2080" w:type="dxa"/>
            <w:tcBorders>
              <w:top w:val="nil"/>
              <w:left w:val="nil"/>
              <w:bottom w:val="nil"/>
              <w:right w:val="nil"/>
            </w:tcBorders>
            <w:shd w:val="clear" w:color="auto" w:fill="auto"/>
            <w:noWrap/>
            <w:vAlign w:val="center"/>
          </w:tcPr>
          <w:p>
            <w:pPr>
              <w:widowControl/>
              <w:jc w:val="left"/>
              <w:rPr>
                <w:rFonts w:ascii="宋体" w:hAnsi="宋体" w:cs="宋体"/>
                <w:kern w:val="0"/>
                <w:sz w:val="22"/>
                <w:szCs w:val="22"/>
              </w:rPr>
            </w:pPr>
          </w:p>
        </w:tc>
        <w:tc>
          <w:tcPr>
            <w:tcW w:w="1700" w:type="dxa"/>
            <w:tcBorders>
              <w:top w:val="nil"/>
              <w:left w:val="nil"/>
              <w:bottom w:val="nil"/>
              <w:right w:val="nil"/>
            </w:tcBorders>
            <w:shd w:val="clear" w:color="auto" w:fill="auto"/>
            <w:noWrap/>
            <w:vAlign w:val="center"/>
          </w:tcPr>
          <w:p>
            <w:pPr>
              <w:widowControl/>
              <w:jc w:val="left"/>
              <w:rPr>
                <w:rFonts w:eastAsia="Times New Roman"/>
                <w:kern w:val="0"/>
                <w:sz w:val="20"/>
                <w:szCs w:val="20"/>
              </w:rPr>
            </w:pPr>
          </w:p>
        </w:tc>
      </w:tr>
    </w:tbl>
    <w:p/>
    <w:tbl>
      <w:tblPr>
        <w:tblStyle w:val="4"/>
        <w:tblW w:w="10439" w:type="dxa"/>
        <w:tblInd w:w="-719" w:type="dxa"/>
        <w:tblLayout w:type="autofit"/>
        <w:tblCellMar>
          <w:top w:w="0" w:type="dxa"/>
          <w:left w:w="108" w:type="dxa"/>
          <w:bottom w:w="0" w:type="dxa"/>
          <w:right w:w="108" w:type="dxa"/>
        </w:tblCellMar>
      </w:tblPr>
      <w:tblGrid>
        <w:gridCol w:w="793"/>
        <w:gridCol w:w="1500"/>
        <w:gridCol w:w="2272"/>
        <w:gridCol w:w="1500"/>
        <w:gridCol w:w="2401"/>
        <w:gridCol w:w="1973"/>
      </w:tblGrid>
      <w:tr>
        <w:tblPrEx>
          <w:tblCellMar>
            <w:top w:w="0" w:type="dxa"/>
            <w:left w:w="108" w:type="dxa"/>
            <w:bottom w:w="0" w:type="dxa"/>
            <w:right w:w="108" w:type="dxa"/>
          </w:tblCellMar>
        </w:tblPrEx>
        <w:trPr>
          <w:trHeight w:val="750" w:hRule="atLeast"/>
        </w:trPr>
        <w:tc>
          <w:tcPr>
            <w:tcW w:w="9740" w:type="dxa"/>
            <w:gridSpan w:val="6"/>
            <w:tcBorders>
              <w:top w:val="nil"/>
              <w:left w:val="nil"/>
              <w:bottom w:val="nil"/>
              <w:right w:val="nil"/>
            </w:tcBorders>
            <w:shd w:val="clear" w:color="auto" w:fill="auto"/>
            <w:vAlign w:val="center"/>
          </w:tcPr>
          <w:p>
            <w:pPr>
              <w:widowControl/>
              <w:jc w:val="center"/>
              <w:rPr>
                <w:rFonts w:ascii="宋体" w:hAnsi="宋体" w:cs="宋体"/>
                <w:b/>
                <w:bCs/>
                <w:kern w:val="0"/>
                <w:sz w:val="44"/>
                <w:szCs w:val="44"/>
              </w:rPr>
            </w:pPr>
            <w:r>
              <w:rPr>
                <w:rFonts w:hint="eastAsia" w:ascii="宋体" w:hAnsi="宋体" w:cs="宋体"/>
                <w:b/>
                <w:bCs/>
                <w:kern w:val="0"/>
                <w:sz w:val="44"/>
                <w:szCs w:val="44"/>
              </w:rPr>
              <w:t>部门预算国有资本经营预算财政拨款支出表</w:t>
            </w:r>
          </w:p>
        </w:tc>
      </w:tr>
      <w:tr>
        <w:tblPrEx>
          <w:tblCellMar>
            <w:top w:w="0" w:type="dxa"/>
            <w:left w:w="108" w:type="dxa"/>
            <w:bottom w:w="0" w:type="dxa"/>
            <w:right w:w="108" w:type="dxa"/>
          </w:tblCellMar>
        </w:tblPrEx>
        <w:trPr>
          <w:trHeight w:val="555" w:hRule="atLeast"/>
        </w:trPr>
        <w:tc>
          <w:tcPr>
            <w:tcW w:w="566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预算单位编码及名称：[975]供销合作社</w:t>
            </w:r>
          </w:p>
        </w:tc>
        <w:tc>
          <w:tcPr>
            <w:tcW w:w="224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预算年度：2023</w:t>
            </w:r>
          </w:p>
        </w:tc>
        <w:tc>
          <w:tcPr>
            <w:tcW w:w="184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金额单位：万元</w:t>
            </w:r>
          </w:p>
        </w:tc>
      </w:tr>
      <w:tr>
        <w:tblPrEx>
          <w:tblCellMar>
            <w:top w:w="0" w:type="dxa"/>
            <w:left w:w="108" w:type="dxa"/>
            <w:bottom w:w="0" w:type="dxa"/>
            <w:right w:w="108" w:type="dxa"/>
          </w:tblCellMar>
        </w:tblPrEx>
        <w:trPr>
          <w:trHeight w:val="810" w:hRule="atLeast"/>
        </w:trPr>
        <w:tc>
          <w:tcPr>
            <w:tcW w:w="7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序号</w:t>
            </w:r>
          </w:p>
        </w:tc>
        <w:tc>
          <w:tcPr>
            <w:tcW w:w="35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支出功能分类科目</w:t>
            </w:r>
          </w:p>
        </w:tc>
        <w:tc>
          <w:tcPr>
            <w:tcW w:w="14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合计</w:t>
            </w:r>
          </w:p>
        </w:tc>
        <w:tc>
          <w:tcPr>
            <w:tcW w:w="22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基本支出</w:t>
            </w:r>
          </w:p>
        </w:tc>
        <w:tc>
          <w:tcPr>
            <w:tcW w:w="18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项目支出</w:t>
            </w:r>
          </w:p>
        </w:tc>
      </w:tr>
      <w:tr>
        <w:tblPrEx>
          <w:tblCellMar>
            <w:top w:w="0" w:type="dxa"/>
            <w:left w:w="108" w:type="dxa"/>
            <w:bottom w:w="0" w:type="dxa"/>
            <w:right w:w="108" w:type="dxa"/>
          </w:tblCellMar>
        </w:tblPrEx>
        <w:trPr>
          <w:trHeight w:val="810" w:hRule="atLeast"/>
        </w:trPr>
        <w:tc>
          <w:tcPr>
            <w:tcW w:w="7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4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科目编码</w:t>
            </w:r>
          </w:p>
        </w:tc>
        <w:tc>
          <w:tcPr>
            <w:tcW w:w="21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科目名称</w:t>
            </w:r>
          </w:p>
        </w:tc>
        <w:tc>
          <w:tcPr>
            <w:tcW w:w="14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2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18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r>
      <w:tr>
        <w:tblPrEx>
          <w:tblCellMar>
            <w:top w:w="0" w:type="dxa"/>
            <w:left w:w="108" w:type="dxa"/>
            <w:bottom w:w="0" w:type="dxa"/>
            <w:right w:w="108" w:type="dxa"/>
          </w:tblCellMar>
        </w:tblPrEx>
        <w:trPr>
          <w:trHeight w:val="630" w:hRule="atLeast"/>
        </w:trPr>
        <w:tc>
          <w:tcPr>
            <w:tcW w:w="7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栏次</w:t>
            </w:r>
          </w:p>
        </w:tc>
        <w:tc>
          <w:tcPr>
            <w:tcW w:w="14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21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14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22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8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r>
      <w:tr>
        <w:tblPrEx>
          <w:tblCellMar>
            <w:top w:w="0" w:type="dxa"/>
            <w:left w:w="108" w:type="dxa"/>
            <w:bottom w:w="0" w:type="dxa"/>
            <w:right w:w="108" w:type="dxa"/>
          </w:tblCellMar>
        </w:tblPrEx>
        <w:trPr>
          <w:trHeight w:val="630"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630"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630"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630"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630" w:hRule="atLeast"/>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18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630" w:hRule="atLeast"/>
        </w:trPr>
        <w:tc>
          <w:tcPr>
            <w:tcW w:w="5660" w:type="dxa"/>
            <w:gridSpan w:val="4"/>
            <w:tcBorders>
              <w:top w:val="nil"/>
              <w:left w:val="nil"/>
              <w:bottom w:val="nil"/>
              <w:right w:val="nil"/>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注：无国有资本经营预算财政拨款支出预算，空表示。</w:t>
            </w:r>
          </w:p>
        </w:tc>
        <w:tc>
          <w:tcPr>
            <w:tcW w:w="2240" w:type="dxa"/>
            <w:tcBorders>
              <w:top w:val="nil"/>
              <w:left w:val="nil"/>
              <w:bottom w:val="nil"/>
              <w:right w:val="nil"/>
            </w:tcBorders>
            <w:shd w:val="clear" w:color="auto" w:fill="auto"/>
            <w:noWrap/>
            <w:vAlign w:val="center"/>
          </w:tcPr>
          <w:p>
            <w:pPr>
              <w:widowControl/>
              <w:jc w:val="left"/>
              <w:rPr>
                <w:rFonts w:ascii="宋体" w:hAnsi="宋体" w:cs="宋体"/>
                <w:kern w:val="0"/>
                <w:sz w:val="22"/>
                <w:szCs w:val="22"/>
              </w:rPr>
            </w:pPr>
          </w:p>
        </w:tc>
        <w:tc>
          <w:tcPr>
            <w:tcW w:w="1840" w:type="dxa"/>
            <w:tcBorders>
              <w:top w:val="nil"/>
              <w:left w:val="nil"/>
              <w:bottom w:val="nil"/>
              <w:right w:val="nil"/>
            </w:tcBorders>
            <w:shd w:val="clear" w:color="auto" w:fill="auto"/>
            <w:noWrap/>
            <w:vAlign w:val="center"/>
          </w:tcPr>
          <w:p>
            <w:pPr>
              <w:widowControl/>
              <w:jc w:val="left"/>
              <w:rPr>
                <w:rFonts w:eastAsia="Times New Roman"/>
                <w:kern w:val="0"/>
                <w:sz w:val="20"/>
                <w:szCs w:val="20"/>
              </w:rPr>
            </w:pPr>
          </w:p>
        </w:tc>
      </w:tr>
    </w:tbl>
    <w:tbl>
      <w:tblPr>
        <w:tblStyle w:val="4"/>
        <w:tblpPr w:leftFromText="180" w:rightFromText="180" w:vertAnchor="text" w:horzAnchor="margin" w:tblpXSpec="center" w:tblpY="205"/>
        <w:tblW w:w="9720" w:type="dxa"/>
        <w:tblInd w:w="0" w:type="dxa"/>
        <w:tblLayout w:type="autofit"/>
        <w:tblCellMar>
          <w:top w:w="0" w:type="dxa"/>
          <w:left w:w="108" w:type="dxa"/>
          <w:bottom w:w="0" w:type="dxa"/>
          <w:right w:w="108" w:type="dxa"/>
        </w:tblCellMar>
      </w:tblPr>
      <w:tblGrid>
        <w:gridCol w:w="540"/>
        <w:gridCol w:w="720"/>
        <w:gridCol w:w="540"/>
        <w:gridCol w:w="2560"/>
        <w:gridCol w:w="2300"/>
        <w:gridCol w:w="3060"/>
      </w:tblGrid>
      <w:tr>
        <w:tblPrEx>
          <w:tblCellMar>
            <w:top w:w="0" w:type="dxa"/>
            <w:left w:w="108" w:type="dxa"/>
            <w:bottom w:w="0" w:type="dxa"/>
            <w:right w:w="108" w:type="dxa"/>
          </w:tblCellMar>
        </w:tblPrEx>
        <w:trPr>
          <w:trHeight w:val="750" w:hRule="atLeast"/>
        </w:trPr>
        <w:tc>
          <w:tcPr>
            <w:tcW w:w="9720" w:type="dxa"/>
            <w:gridSpan w:val="6"/>
            <w:tcBorders>
              <w:top w:val="nil"/>
              <w:left w:val="nil"/>
              <w:bottom w:val="nil"/>
              <w:right w:val="nil"/>
            </w:tcBorders>
            <w:shd w:val="clear" w:color="auto" w:fill="auto"/>
            <w:vAlign w:val="center"/>
          </w:tcPr>
          <w:p>
            <w:pPr>
              <w:widowControl/>
              <w:jc w:val="center"/>
              <w:rPr>
                <w:rFonts w:ascii="宋体" w:hAnsi="宋体" w:cs="宋体"/>
                <w:b/>
                <w:bCs/>
                <w:kern w:val="0"/>
                <w:sz w:val="44"/>
                <w:szCs w:val="44"/>
              </w:rPr>
            </w:pPr>
            <w:r>
              <w:rPr>
                <w:rFonts w:hint="eastAsia" w:ascii="宋体" w:hAnsi="宋体" w:cs="宋体"/>
                <w:b/>
                <w:bCs/>
                <w:kern w:val="0"/>
                <w:sz w:val="44"/>
                <w:szCs w:val="44"/>
              </w:rPr>
              <w:t>部门预算财政拨款“三公”经费支出表</w:t>
            </w:r>
          </w:p>
        </w:tc>
      </w:tr>
      <w:tr>
        <w:tblPrEx>
          <w:tblCellMar>
            <w:top w:w="0" w:type="dxa"/>
            <w:left w:w="108" w:type="dxa"/>
            <w:bottom w:w="0" w:type="dxa"/>
            <w:right w:w="108" w:type="dxa"/>
          </w:tblCellMar>
        </w:tblPrEx>
        <w:trPr>
          <w:trHeight w:val="300" w:hRule="atLeast"/>
        </w:trPr>
        <w:tc>
          <w:tcPr>
            <w:tcW w:w="436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预算单位编码及名称：[975]供销合作社</w:t>
            </w:r>
          </w:p>
        </w:tc>
        <w:tc>
          <w:tcPr>
            <w:tcW w:w="230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2"/>
                <w:szCs w:val="22"/>
              </w:rPr>
            </w:pPr>
            <w:r>
              <w:rPr>
                <w:rFonts w:hint="eastAsia" w:ascii="宋体" w:hAnsi="宋体" w:cs="宋体"/>
                <w:kern w:val="0"/>
                <w:sz w:val="22"/>
                <w:szCs w:val="22"/>
              </w:rPr>
              <w:t>预算年度：2023</w:t>
            </w:r>
          </w:p>
        </w:tc>
        <w:tc>
          <w:tcPr>
            <w:tcW w:w="306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22"/>
                <w:szCs w:val="22"/>
              </w:rPr>
            </w:pPr>
            <w:r>
              <w:rPr>
                <w:rFonts w:hint="eastAsia" w:ascii="宋体" w:hAnsi="宋体" w:cs="宋体"/>
                <w:kern w:val="0"/>
                <w:sz w:val="22"/>
                <w:szCs w:val="22"/>
              </w:rPr>
              <w:t>金额单位：万元</w:t>
            </w:r>
          </w:p>
        </w:tc>
      </w:tr>
      <w:tr>
        <w:tblPrEx>
          <w:tblCellMar>
            <w:top w:w="0" w:type="dxa"/>
            <w:left w:w="108" w:type="dxa"/>
            <w:bottom w:w="0" w:type="dxa"/>
            <w:right w:w="108" w:type="dxa"/>
          </w:tblCellMar>
        </w:tblPrEx>
        <w:trPr>
          <w:trHeight w:val="300" w:hRule="atLeast"/>
        </w:trPr>
        <w:tc>
          <w:tcPr>
            <w:tcW w:w="5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序号</w:t>
            </w:r>
          </w:p>
        </w:tc>
        <w:tc>
          <w:tcPr>
            <w:tcW w:w="7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项  目</w:t>
            </w:r>
          </w:p>
        </w:tc>
        <w:tc>
          <w:tcPr>
            <w:tcW w:w="8460"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资金性质</w:t>
            </w:r>
          </w:p>
        </w:tc>
      </w:tr>
      <w:tr>
        <w:tblPrEx>
          <w:tblCellMar>
            <w:top w:w="0" w:type="dxa"/>
            <w:left w:w="108" w:type="dxa"/>
            <w:bottom w:w="0" w:type="dxa"/>
            <w:right w:w="108" w:type="dxa"/>
          </w:tblCellMar>
        </w:tblPrEx>
        <w:trPr>
          <w:trHeight w:val="885" w:hRule="atLeast"/>
        </w:trPr>
        <w:tc>
          <w:tcPr>
            <w:tcW w:w="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7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szCs w:val="22"/>
              </w:rPr>
            </w:pPr>
          </w:p>
        </w:tc>
        <w:tc>
          <w:tcPr>
            <w:tcW w:w="5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合计</w:t>
            </w:r>
          </w:p>
        </w:tc>
        <w:tc>
          <w:tcPr>
            <w:tcW w:w="25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一般公共预算财政拨款</w:t>
            </w:r>
          </w:p>
        </w:tc>
        <w:tc>
          <w:tcPr>
            <w:tcW w:w="23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政府性基金财政拨款</w:t>
            </w:r>
          </w:p>
        </w:tc>
        <w:tc>
          <w:tcPr>
            <w:tcW w:w="30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国有资本经营预算财政拨款</w:t>
            </w:r>
          </w:p>
        </w:tc>
      </w:tr>
      <w:tr>
        <w:tblPrEx>
          <w:tblCellMar>
            <w:top w:w="0" w:type="dxa"/>
            <w:left w:w="108" w:type="dxa"/>
            <w:bottom w:w="0" w:type="dxa"/>
            <w:right w:w="108" w:type="dxa"/>
          </w:tblCellMar>
        </w:tblPrEx>
        <w:trPr>
          <w:trHeight w:val="885" w:hRule="atLeast"/>
        </w:trPr>
        <w:tc>
          <w:tcPr>
            <w:tcW w:w="5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栏次</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5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25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23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30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r>
      <w:tr>
        <w:tblPrEx>
          <w:tblCellMar>
            <w:top w:w="0" w:type="dxa"/>
            <w:left w:w="108" w:type="dxa"/>
            <w:bottom w:w="0" w:type="dxa"/>
            <w:right w:w="108" w:type="dxa"/>
          </w:tblCellMar>
        </w:tblPrEx>
        <w:trPr>
          <w:trHeight w:val="885" w:hRule="atLeast"/>
        </w:trPr>
        <w:tc>
          <w:tcPr>
            <w:tcW w:w="5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7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5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3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3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885" w:hRule="atLeast"/>
        </w:trPr>
        <w:tc>
          <w:tcPr>
            <w:tcW w:w="5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7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5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3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3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885" w:hRule="atLeast"/>
        </w:trPr>
        <w:tc>
          <w:tcPr>
            <w:tcW w:w="5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7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5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3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3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885" w:hRule="atLeast"/>
        </w:trPr>
        <w:tc>
          <w:tcPr>
            <w:tcW w:w="5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7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5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3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3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885" w:hRule="atLeast"/>
        </w:trPr>
        <w:tc>
          <w:tcPr>
            <w:tcW w:w="5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c>
          <w:tcPr>
            <w:tcW w:w="7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5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23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3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r>
      <w:tr>
        <w:tblPrEx>
          <w:tblCellMar>
            <w:top w:w="0" w:type="dxa"/>
            <w:left w:w="108" w:type="dxa"/>
            <w:bottom w:w="0" w:type="dxa"/>
            <w:right w:w="108" w:type="dxa"/>
          </w:tblCellMar>
        </w:tblPrEx>
        <w:trPr>
          <w:trHeight w:val="498" w:hRule="atLeast"/>
        </w:trPr>
        <w:tc>
          <w:tcPr>
            <w:tcW w:w="6660" w:type="dxa"/>
            <w:gridSpan w:val="5"/>
            <w:tcBorders>
              <w:top w:val="nil"/>
              <w:left w:val="nil"/>
              <w:bottom w:val="nil"/>
              <w:right w:val="nil"/>
            </w:tcBorders>
            <w:shd w:val="clear" w:color="auto" w:fill="auto"/>
            <w:noWrap/>
            <w:vAlign w:val="center"/>
          </w:tcPr>
          <w:p>
            <w:pPr>
              <w:widowControl/>
              <w:jc w:val="left"/>
              <w:rPr>
                <w:rFonts w:ascii="宋体" w:hAnsi="宋体" w:cs="宋体"/>
                <w:kern w:val="0"/>
                <w:sz w:val="22"/>
                <w:szCs w:val="22"/>
              </w:rPr>
            </w:pPr>
            <w:r>
              <w:rPr>
                <w:rFonts w:hint="eastAsia" w:ascii="宋体" w:hAnsi="宋体" w:cs="宋体"/>
                <w:kern w:val="0"/>
                <w:sz w:val="22"/>
                <w:szCs w:val="22"/>
              </w:rPr>
              <w:t>注：无财政拨款“三公”经费支出预算，空表列示。</w:t>
            </w:r>
          </w:p>
        </w:tc>
        <w:tc>
          <w:tcPr>
            <w:tcW w:w="3060" w:type="dxa"/>
            <w:tcBorders>
              <w:top w:val="nil"/>
              <w:left w:val="nil"/>
              <w:bottom w:val="nil"/>
              <w:right w:val="nil"/>
            </w:tcBorders>
            <w:shd w:val="clear" w:color="auto" w:fill="auto"/>
            <w:noWrap/>
            <w:vAlign w:val="bottom"/>
          </w:tcPr>
          <w:p>
            <w:pPr>
              <w:widowControl/>
              <w:jc w:val="left"/>
              <w:rPr>
                <w:rFonts w:ascii="宋体" w:hAnsi="宋体" w:cs="宋体"/>
                <w:kern w:val="0"/>
                <w:sz w:val="22"/>
                <w:szCs w:val="22"/>
              </w:rPr>
            </w:pPr>
          </w:p>
        </w:tc>
      </w:tr>
    </w:tbl>
    <w:p/>
    <w:p/>
    <w:p/>
    <w:p/>
    <w:p/>
    <w:p/>
    <w:p/>
    <w:p/>
    <w:p/>
    <w:p/>
    <w:p/>
    <w:p/>
    <w:p/>
    <w:p/>
    <w:p/>
    <w:p/>
    <w:p/>
    <w:p/>
    <w:p>
      <w:pPr>
        <w:jc w:val="center"/>
        <w:rPr>
          <w:rFonts w:cs="宋体" w:asciiTheme="majorEastAsia" w:hAnsiTheme="majorEastAsia" w:eastAsiaTheme="majorEastAsia"/>
          <w:b/>
          <w:sz w:val="44"/>
          <w:szCs w:val="44"/>
        </w:rPr>
      </w:pPr>
      <w:r>
        <w:rPr>
          <w:rFonts w:hint="eastAsia" w:cs="宋体" w:asciiTheme="majorEastAsia" w:hAnsiTheme="majorEastAsia" w:eastAsiaTheme="majorEastAsia"/>
          <w:b/>
          <w:sz w:val="44"/>
          <w:szCs w:val="44"/>
        </w:rPr>
        <w:t>赞皇县供销社</w:t>
      </w:r>
    </w:p>
    <w:p>
      <w:pPr>
        <w:jc w:val="center"/>
        <w:rPr>
          <w:rFonts w:asciiTheme="majorEastAsia" w:hAnsiTheme="majorEastAsia" w:eastAsiaTheme="majorEastAsia"/>
          <w:b/>
          <w:sz w:val="44"/>
          <w:szCs w:val="44"/>
        </w:rPr>
      </w:pPr>
      <w:r>
        <w:rPr>
          <w:rFonts w:asciiTheme="majorEastAsia" w:hAnsiTheme="majorEastAsia" w:eastAsiaTheme="majorEastAsia"/>
          <w:b/>
          <w:sz w:val="44"/>
          <w:szCs w:val="44"/>
        </w:rPr>
        <w:t>202</w:t>
      </w:r>
      <w:r>
        <w:rPr>
          <w:rFonts w:hint="eastAsia" w:asciiTheme="majorEastAsia" w:hAnsiTheme="majorEastAsia" w:eastAsiaTheme="majorEastAsia"/>
          <w:b/>
          <w:sz w:val="44"/>
          <w:szCs w:val="44"/>
        </w:rPr>
        <w:t>3</w:t>
      </w:r>
      <w:r>
        <w:rPr>
          <w:rFonts w:hint="eastAsia" w:cs="宋体" w:asciiTheme="majorEastAsia" w:hAnsiTheme="majorEastAsia" w:eastAsiaTheme="majorEastAsia"/>
          <w:b/>
          <w:sz w:val="44"/>
          <w:szCs w:val="44"/>
        </w:rPr>
        <w:t>年部门预算信息公开情况说明</w:t>
      </w:r>
    </w:p>
    <w:p>
      <w:pPr>
        <w:ind w:firstLine="600" w:firstLineChars="200"/>
        <w:rPr>
          <w:rFonts w:asciiTheme="majorEastAsia" w:hAnsiTheme="majorEastAsia" w:eastAsiaTheme="majorEastAsia"/>
          <w:sz w:val="30"/>
          <w:szCs w:val="30"/>
        </w:rPr>
      </w:pPr>
      <w:r>
        <w:rPr>
          <w:rFonts w:hint="eastAsia" w:asciiTheme="majorEastAsia" w:hAnsiTheme="majorEastAsia" w:eastAsiaTheme="majorEastAsia"/>
          <w:sz w:val="30"/>
          <w:szCs w:val="30"/>
        </w:rPr>
        <w:t>按照《</w:t>
      </w:r>
      <w:r>
        <w:rPr>
          <w:rFonts w:hint="eastAsia" w:asciiTheme="majorEastAsia" w:hAnsiTheme="majorEastAsia" w:eastAsiaTheme="majorEastAsia"/>
          <w:sz w:val="30"/>
          <w:szCs w:val="30"/>
          <w:lang w:val="en-US" w:eastAsia="zh-CN"/>
        </w:rPr>
        <w:t>中华人民共和国</w:t>
      </w:r>
      <w:r>
        <w:rPr>
          <w:rFonts w:hint="eastAsia" w:asciiTheme="majorEastAsia" w:hAnsiTheme="majorEastAsia" w:eastAsiaTheme="majorEastAsia"/>
          <w:sz w:val="30"/>
          <w:szCs w:val="30"/>
        </w:rPr>
        <w:t>预算法》、《地方预决算公开操作规程》</w:t>
      </w:r>
      <w:bookmarkStart w:id="1" w:name="_GoBack"/>
      <w:bookmarkEnd w:id="1"/>
      <w:r>
        <w:rPr>
          <w:rFonts w:hint="eastAsia" w:asciiTheme="majorEastAsia" w:hAnsiTheme="majorEastAsia" w:eastAsiaTheme="majorEastAsia"/>
          <w:sz w:val="30"/>
          <w:szCs w:val="30"/>
        </w:rPr>
        <w:t>和《县级预算公开办法》规定，现将赞皇县供销社</w:t>
      </w:r>
      <w:r>
        <w:rPr>
          <w:rFonts w:asciiTheme="majorEastAsia" w:hAnsiTheme="majorEastAsia" w:eastAsiaTheme="majorEastAsia"/>
          <w:sz w:val="30"/>
          <w:szCs w:val="30"/>
        </w:rPr>
        <w:t>202</w:t>
      </w:r>
      <w:r>
        <w:rPr>
          <w:rFonts w:hint="eastAsia" w:asciiTheme="majorEastAsia" w:hAnsiTheme="majorEastAsia" w:eastAsiaTheme="majorEastAsia"/>
          <w:sz w:val="30"/>
          <w:szCs w:val="30"/>
        </w:rPr>
        <w:t>3年部门预算公开如下：</w:t>
      </w:r>
    </w:p>
    <w:p>
      <w:pPr>
        <w:ind w:firstLine="753" w:firstLineChars="250"/>
        <w:rPr>
          <w:rFonts w:asciiTheme="majorEastAsia" w:hAnsiTheme="majorEastAsia" w:eastAsiaTheme="majorEastAsia"/>
          <w:b/>
          <w:bCs/>
          <w:sz w:val="30"/>
          <w:szCs w:val="30"/>
        </w:rPr>
      </w:pPr>
      <w:r>
        <w:rPr>
          <w:rFonts w:hint="eastAsia" w:asciiTheme="majorEastAsia" w:hAnsiTheme="majorEastAsia" w:eastAsiaTheme="majorEastAsia"/>
          <w:b/>
          <w:bCs/>
          <w:sz w:val="30"/>
          <w:szCs w:val="30"/>
        </w:rPr>
        <w:t>一、部门职责及机构设置情况</w:t>
      </w:r>
    </w:p>
    <w:p>
      <w:pPr>
        <w:spacing w:line="500" w:lineRule="exact"/>
        <w:ind w:firstLine="560"/>
        <w:rPr>
          <w:rFonts w:asciiTheme="majorEastAsia" w:hAnsiTheme="majorEastAsia" w:eastAsiaTheme="majorEastAsia"/>
          <w:b/>
          <w:sz w:val="30"/>
          <w:szCs w:val="30"/>
        </w:rPr>
      </w:pPr>
      <w:r>
        <w:rPr>
          <w:rFonts w:asciiTheme="majorEastAsia" w:hAnsiTheme="majorEastAsia" w:eastAsiaTheme="majorEastAsia"/>
          <w:b/>
          <w:sz w:val="30"/>
          <w:szCs w:val="30"/>
        </w:rPr>
        <w:t xml:space="preserve"> </w:t>
      </w:r>
      <w:r>
        <w:rPr>
          <w:rFonts w:hint="eastAsia" w:asciiTheme="majorEastAsia" w:hAnsiTheme="majorEastAsia" w:eastAsiaTheme="majorEastAsia"/>
          <w:sz w:val="30"/>
          <w:szCs w:val="30"/>
        </w:rPr>
        <w:t>（一）</w:t>
      </w:r>
      <w:r>
        <w:rPr>
          <w:rFonts w:hint="eastAsia" w:asciiTheme="majorEastAsia" w:hAnsiTheme="majorEastAsia" w:eastAsiaTheme="majorEastAsia"/>
          <w:b/>
          <w:sz w:val="30"/>
          <w:szCs w:val="30"/>
        </w:rPr>
        <w:t>部门职责：</w:t>
      </w:r>
    </w:p>
    <w:p>
      <w:pPr>
        <w:spacing w:line="500" w:lineRule="exact"/>
        <w:ind w:firstLine="560"/>
        <w:rPr>
          <w:rFonts w:asciiTheme="majorEastAsia" w:hAnsiTheme="majorEastAsia" w:eastAsiaTheme="majorEastAsia"/>
          <w:sz w:val="30"/>
          <w:szCs w:val="30"/>
        </w:rPr>
      </w:pPr>
      <w:r>
        <w:rPr>
          <w:rFonts w:hint="eastAsia" w:asciiTheme="majorEastAsia" w:hAnsiTheme="majorEastAsia" w:eastAsiaTheme="majorEastAsia"/>
          <w:sz w:val="30"/>
          <w:szCs w:val="30"/>
        </w:rPr>
        <w:t>1、组织指导行业改革发展，负责行业管理，开展教育培训，维护合法权益。贯彻上级方针政策，管理运营县级社有资产、行使出资人职能。指导系统流通网络建设、发挥供销社连接城乡、农村的桥梁作用，建设商流、物流、信息流相统一的城乡双向流通网。</w:t>
      </w:r>
    </w:p>
    <w:p>
      <w:pPr>
        <w:spacing w:line="500" w:lineRule="exact"/>
        <w:ind w:firstLine="560"/>
        <w:rPr>
          <w:rFonts w:asciiTheme="majorEastAsia" w:hAnsiTheme="majorEastAsia" w:eastAsiaTheme="majorEastAsia"/>
          <w:sz w:val="30"/>
          <w:szCs w:val="30"/>
        </w:rPr>
      </w:pPr>
      <w:r>
        <w:rPr>
          <w:rFonts w:hint="eastAsia" w:asciiTheme="majorEastAsia" w:hAnsiTheme="majorEastAsia" w:eastAsiaTheme="majorEastAsia"/>
          <w:sz w:val="30"/>
          <w:szCs w:val="30"/>
        </w:rPr>
        <w:t>2、以供销合作社体系为依托，自下而上组建农民合作社联合社、创新组织体系、服务体系和农村金融体系。紧紧围绕“三农”工作大局</w:t>
      </w:r>
      <w:r>
        <w:rPr>
          <w:rFonts w:asciiTheme="majorEastAsia" w:hAnsiTheme="majorEastAsia" w:eastAsiaTheme="majorEastAsia"/>
          <w:sz w:val="30"/>
          <w:szCs w:val="30"/>
        </w:rPr>
        <w:t>,</w:t>
      </w:r>
      <w:r>
        <w:rPr>
          <w:rFonts w:hint="eastAsia" w:asciiTheme="majorEastAsia" w:hAnsiTheme="majorEastAsia" w:eastAsiaTheme="majorEastAsia"/>
          <w:sz w:val="30"/>
          <w:szCs w:val="30"/>
        </w:rPr>
        <w:t>推进体制改革和机制创新，加快建成适应市场经济需要、适应城乡发展一体化需要、适应中国特色农业现代化需要的组织体系和服务机制。</w:t>
      </w:r>
    </w:p>
    <w:p>
      <w:pPr>
        <w:spacing w:line="500" w:lineRule="exact"/>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3</w:t>
      </w:r>
      <w:r>
        <w:rPr>
          <w:rFonts w:hint="eastAsia" w:asciiTheme="majorEastAsia" w:hAnsiTheme="majorEastAsia" w:eastAsiaTheme="majorEastAsia"/>
          <w:sz w:val="30"/>
          <w:szCs w:val="30"/>
        </w:rPr>
        <w:t>、负责重要物资的储备工作。调节商品供求关系，稳定物价、保障市场供应、保证防汛救灾的需要、增强政府对市场的宏观调控能力。</w:t>
      </w:r>
    </w:p>
    <w:p>
      <w:pPr>
        <w:spacing w:line="500" w:lineRule="exact"/>
        <w:ind w:firstLine="560"/>
        <w:rPr>
          <w:rFonts w:asciiTheme="majorEastAsia" w:hAnsiTheme="majorEastAsia" w:eastAsiaTheme="majorEastAsia"/>
          <w:sz w:val="30"/>
          <w:szCs w:val="30"/>
        </w:rPr>
      </w:pPr>
      <w:r>
        <w:rPr>
          <w:rFonts w:hint="eastAsia" w:asciiTheme="majorEastAsia" w:hAnsiTheme="majorEastAsia" w:eastAsiaTheme="majorEastAsia"/>
          <w:sz w:val="30"/>
          <w:szCs w:val="30"/>
        </w:rPr>
        <w:t>4、组织开展全县盐业行政执法活动，打击盐业违法行为。组织开展全县盐业行政执法活动，打击盐业违法行为，查处重大盐业违法案件。规范盐业行政执法案件程序和执法案卷；追究执法过错责任，纠正违法执法行为；盐业企业体制改革工作。</w:t>
      </w:r>
    </w:p>
    <w:p>
      <w:pPr>
        <w:autoSpaceDE w:val="0"/>
        <w:autoSpaceDN w:val="0"/>
        <w:adjustRightInd w:val="0"/>
        <w:ind w:left="198" w:firstLine="602" w:firstLineChars="200"/>
        <w:jc w:val="left"/>
        <w:rPr>
          <w:rFonts w:asciiTheme="majorEastAsia" w:hAnsiTheme="majorEastAsia" w:eastAsiaTheme="majorEastAsia"/>
          <w:b/>
          <w:sz w:val="30"/>
          <w:szCs w:val="30"/>
        </w:rPr>
      </w:pPr>
    </w:p>
    <w:p>
      <w:pPr>
        <w:autoSpaceDE w:val="0"/>
        <w:autoSpaceDN w:val="0"/>
        <w:adjustRightInd w:val="0"/>
        <w:ind w:left="198" w:firstLine="602" w:firstLineChars="200"/>
        <w:jc w:val="left"/>
        <w:rPr>
          <w:rFonts w:asciiTheme="majorEastAsia" w:hAnsiTheme="majorEastAsia" w:eastAsiaTheme="majorEastAsia"/>
          <w:b/>
          <w:sz w:val="30"/>
          <w:szCs w:val="30"/>
        </w:rPr>
      </w:pPr>
      <w:r>
        <w:rPr>
          <w:rFonts w:hint="eastAsia" w:asciiTheme="majorEastAsia" w:hAnsiTheme="majorEastAsia" w:eastAsiaTheme="majorEastAsia"/>
          <w:b/>
          <w:bCs/>
          <w:sz w:val="30"/>
          <w:szCs w:val="30"/>
        </w:rPr>
        <w:t>（二）</w:t>
      </w:r>
      <w:r>
        <w:rPr>
          <w:rFonts w:hint="eastAsia" w:asciiTheme="majorEastAsia" w:hAnsiTheme="majorEastAsia" w:eastAsiaTheme="majorEastAsia"/>
          <w:b/>
          <w:sz w:val="30"/>
          <w:szCs w:val="30"/>
        </w:rPr>
        <w:t>机构设置：</w:t>
      </w:r>
    </w:p>
    <w:p>
      <w:pPr>
        <w:jc w:val="center"/>
        <w:outlineLvl w:val="0"/>
        <w:rPr>
          <w:rFonts w:asciiTheme="majorEastAsia" w:hAnsiTheme="majorEastAsia" w:eastAsiaTheme="majorEastAsia"/>
          <w:sz w:val="32"/>
        </w:rPr>
      </w:pPr>
      <w:r>
        <w:rPr>
          <w:rFonts w:hint="eastAsia" w:asciiTheme="majorEastAsia" w:hAnsiTheme="majorEastAsia" w:eastAsiaTheme="majorEastAsia"/>
          <w:sz w:val="32"/>
        </w:rPr>
        <w:t>部门机构设置情况</w:t>
      </w:r>
    </w:p>
    <w:tbl>
      <w:tblPr>
        <w:tblStyle w:val="4"/>
        <w:tblpPr w:leftFromText="180" w:rightFromText="180" w:vertAnchor="text" w:horzAnchor="margin" w:tblpY="218"/>
        <w:tblOverlap w:val="never"/>
        <w:tblW w:w="9054"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3"/>
        <w:gridCol w:w="1490"/>
        <w:gridCol w:w="2399"/>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263"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部门名称</w:t>
            </w:r>
          </w:p>
        </w:tc>
        <w:tc>
          <w:tcPr>
            <w:tcW w:w="1490"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部门性质</w:t>
            </w:r>
          </w:p>
        </w:tc>
        <w:tc>
          <w:tcPr>
            <w:tcW w:w="2399"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部门规格</w:t>
            </w:r>
          </w:p>
        </w:tc>
        <w:tc>
          <w:tcPr>
            <w:tcW w:w="2902"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263" w:type="dxa"/>
            <w:vMerge w:val="continue"/>
            <w:vAlign w:val="center"/>
          </w:tcPr>
          <w:p>
            <w:pPr>
              <w:spacing w:line="300" w:lineRule="exact"/>
              <w:jc w:val="center"/>
              <w:outlineLvl w:val="0"/>
              <w:rPr>
                <w:rFonts w:asciiTheme="majorEastAsia" w:hAnsiTheme="majorEastAsia" w:eastAsiaTheme="majorEastAsia"/>
              </w:rPr>
            </w:pPr>
          </w:p>
        </w:tc>
        <w:tc>
          <w:tcPr>
            <w:tcW w:w="1490" w:type="dxa"/>
            <w:vMerge w:val="continue"/>
            <w:vAlign w:val="center"/>
          </w:tcPr>
          <w:p>
            <w:pPr>
              <w:spacing w:line="300" w:lineRule="exact"/>
              <w:jc w:val="center"/>
              <w:outlineLvl w:val="0"/>
              <w:rPr>
                <w:rFonts w:asciiTheme="majorEastAsia" w:hAnsiTheme="majorEastAsia" w:eastAsiaTheme="majorEastAsia"/>
              </w:rPr>
            </w:pPr>
          </w:p>
        </w:tc>
        <w:tc>
          <w:tcPr>
            <w:tcW w:w="2399" w:type="dxa"/>
            <w:vMerge w:val="continue"/>
            <w:vAlign w:val="center"/>
          </w:tcPr>
          <w:p>
            <w:pPr>
              <w:spacing w:line="300" w:lineRule="exact"/>
              <w:jc w:val="center"/>
              <w:outlineLvl w:val="0"/>
              <w:rPr>
                <w:rFonts w:asciiTheme="majorEastAsia" w:hAnsiTheme="majorEastAsia" w:eastAsiaTheme="majorEastAsia"/>
              </w:rPr>
            </w:pPr>
          </w:p>
        </w:tc>
        <w:tc>
          <w:tcPr>
            <w:tcW w:w="2902" w:type="dxa"/>
            <w:vMerge w:val="continue"/>
            <w:vAlign w:val="center"/>
          </w:tcPr>
          <w:p>
            <w:pPr>
              <w:spacing w:line="300" w:lineRule="exact"/>
              <w:jc w:val="center"/>
              <w:outlineLvl w:val="0"/>
              <w:rPr>
                <w:rFonts w:asciiTheme="majorEastAsia" w:hAnsiTheme="majorEastAsia" w:eastAsiaTheme="maj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trPr>
        <w:tc>
          <w:tcPr>
            <w:tcW w:w="2263" w:type="dxa"/>
            <w:vAlign w:val="center"/>
          </w:tcPr>
          <w:p>
            <w:pPr>
              <w:spacing w:line="300" w:lineRule="exact"/>
              <w:jc w:val="center"/>
              <w:rPr>
                <w:rFonts w:cs="黑体" w:asciiTheme="majorEastAsia" w:hAnsiTheme="majorEastAsia" w:eastAsiaTheme="majorEastAsia"/>
              </w:rPr>
            </w:pPr>
            <w:r>
              <w:rPr>
                <w:rFonts w:hint="eastAsia" w:cs="黑体" w:asciiTheme="majorEastAsia" w:hAnsiTheme="majorEastAsia" w:eastAsiaTheme="majorEastAsia"/>
              </w:rPr>
              <w:t>供销合作社</w:t>
            </w:r>
          </w:p>
        </w:tc>
        <w:tc>
          <w:tcPr>
            <w:tcW w:w="1490" w:type="dxa"/>
            <w:vAlign w:val="center"/>
          </w:tcPr>
          <w:p>
            <w:pPr>
              <w:spacing w:line="300" w:lineRule="exact"/>
              <w:jc w:val="center"/>
              <w:rPr>
                <w:rFonts w:cs="黑体" w:asciiTheme="majorEastAsia" w:hAnsiTheme="majorEastAsia" w:eastAsiaTheme="majorEastAsia"/>
              </w:rPr>
            </w:pPr>
            <w:r>
              <w:rPr>
                <w:rFonts w:hint="eastAsia" w:cs="黑体" w:asciiTheme="majorEastAsia" w:hAnsiTheme="majorEastAsia" w:eastAsiaTheme="majorEastAsia"/>
              </w:rPr>
              <w:t>事业</w:t>
            </w:r>
          </w:p>
        </w:tc>
        <w:tc>
          <w:tcPr>
            <w:tcW w:w="2399" w:type="dxa"/>
            <w:vAlign w:val="center"/>
          </w:tcPr>
          <w:p>
            <w:pPr>
              <w:spacing w:line="300" w:lineRule="exact"/>
              <w:jc w:val="center"/>
              <w:rPr>
                <w:rFonts w:cs="黑体" w:asciiTheme="majorEastAsia" w:hAnsiTheme="majorEastAsia" w:eastAsiaTheme="majorEastAsia"/>
              </w:rPr>
            </w:pPr>
            <w:r>
              <w:rPr>
                <w:rFonts w:hint="eastAsia" w:cs="黑体" w:asciiTheme="majorEastAsia" w:hAnsiTheme="majorEastAsia" w:eastAsiaTheme="majorEastAsia"/>
              </w:rPr>
              <w:t>正科级</w:t>
            </w:r>
          </w:p>
        </w:tc>
        <w:tc>
          <w:tcPr>
            <w:tcW w:w="2902" w:type="dxa"/>
            <w:vAlign w:val="center"/>
          </w:tcPr>
          <w:p>
            <w:pPr>
              <w:spacing w:line="300" w:lineRule="exact"/>
              <w:jc w:val="center"/>
              <w:rPr>
                <w:rFonts w:cs="黑体" w:asciiTheme="majorEastAsia" w:hAnsiTheme="majorEastAsia" w:eastAsiaTheme="majorEastAsia"/>
              </w:rPr>
            </w:pPr>
            <w:r>
              <w:rPr>
                <w:rFonts w:hint="eastAsia" w:cs="黑体" w:asciiTheme="majorEastAsia" w:hAnsiTheme="majorEastAsia" w:eastAsiaTheme="majorEastAsia"/>
              </w:rPr>
              <w:t>财政性资金基本保证</w:t>
            </w:r>
          </w:p>
        </w:tc>
      </w:tr>
    </w:tbl>
    <w:p>
      <w:pPr>
        <w:ind w:firstLine="753" w:firstLineChars="250"/>
        <w:rPr>
          <w:rFonts w:asciiTheme="majorEastAsia" w:hAnsiTheme="majorEastAsia" w:eastAsiaTheme="majorEastAsia"/>
          <w:b/>
          <w:bCs/>
          <w:sz w:val="30"/>
          <w:szCs w:val="30"/>
        </w:rPr>
      </w:pPr>
      <w:r>
        <w:rPr>
          <w:rFonts w:hint="eastAsia" w:asciiTheme="majorEastAsia" w:hAnsiTheme="majorEastAsia" w:eastAsiaTheme="majorEastAsia"/>
          <w:b/>
          <w:bCs/>
          <w:sz w:val="30"/>
          <w:szCs w:val="30"/>
        </w:rPr>
        <w:t>二、部门预算安排的总体情况</w:t>
      </w:r>
    </w:p>
    <w:p>
      <w:pPr>
        <w:ind w:firstLine="600" w:firstLineChars="200"/>
        <w:rPr>
          <w:rFonts w:asciiTheme="majorEastAsia" w:hAnsiTheme="majorEastAsia" w:eastAsiaTheme="majorEastAsia"/>
          <w:sz w:val="30"/>
          <w:szCs w:val="30"/>
        </w:rPr>
      </w:pPr>
      <w:r>
        <w:rPr>
          <w:rFonts w:hint="eastAsia" w:asciiTheme="majorEastAsia" w:hAnsiTheme="majorEastAsia" w:eastAsiaTheme="majorEastAsia"/>
          <w:sz w:val="30"/>
          <w:szCs w:val="30"/>
        </w:rPr>
        <w:t>按照预算管理有关规定，我部门实行综合预算，即全部收入和支出都反映在部门预算中。具体情况如下：</w:t>
      </w:r>
    </w:p>
    <w:p>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1</w:t>
      </w:r>
      <w:r>
        <w:rPr>
          <w:rFonts w:hint="eastAsia" w:asciiTheme="majorEastAsia" w:hAnsiTheme="majorEastAsia" w:eastAsiaTheme="majorEastAsia"/>
          <w:sz w:val="30"/>
          <w:szCs w:val="30"/>
        </w:rPr>
        <w:t>、收入说明</w:t>
      </w:r>
    </w:p>
    <w:p>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202</w:t>
      </w:r>
      <w:r>
        <w:rPr>
          <w:rFonts w:hint="eastAsia" w:asciiTheme="majorEastAsia" w:hAnsiTheme="majorEastAsia" w:eastAsiaTheme="majorEastAsia"/>
          <w:sz w:val="30"/>
          <w:szCs w:val="30"/>
        </w:rPr>
        <w:t>3年预算收入134.51万元</w:t>
      </w:r>
      <w:r>
        <w:rPr>
          <w:rFonts w:asciiTheme="majorEastAsia" w:hAnsiTheme="majorEastAsia" w:eastAsiaTheme="majorEastAsia"/>
          <w:sz w:val="30"/>
          <w:szCs w:val="30"/>
        </w:rPr>
        <w:t>,</w:t>
      </w:r>
      <w:r>
        <w:rPr>
          <w:rFonts w:hint="eastAsia" w:asciiTheme="majorEastAsia" w:hAnsiTheme="majorEastAsia" w:eastAsiaTheme="majorEastAsia"/>
          <w:sz w:val="30"/>
          <w:szCs w:val="30"/>
        </w:rPr>
        <w:t>其中一般公共预算收入134.51万元，基金预算收入</w:t>
      </w:r>
      <w:r>
        <w:rPr>
          <w:rFonts w:asciiTheme="majorEastAsia" w:hAnsiTheme="majorEastAsia" w:eastAsiaTheme="majorEastAsia"/>
          <w:sz w:val="30"/>
          <w:szCs w:val="30"/>
        </w:rPr>
        <w:t>0</w:t>
      </w:r>
      <w:r>
        <w:rPr>
          <w:rFonts w:hint="eastAsia" w:asciiTheme="majorEastAsia" w:hAnsiTheme="majorEastAsia" w:eastAsiaTheme="majorEastAsia"/>
          <w:sz w:val="30"/>
          <w:szCs w:val="30"/>
        </w:rPr>
        <w:t>万元、财政专户核拨收入</w:t>
      </w:r>
      <w:r>
        <w:rPr>
          <w:rFonts w:asciiTheme="majorEastAsia" w:hAnsiTheme="majorEastAsia" w:eastAsiaTheme="majorEastAsia"/>
          <w:sz w:val="30"/>
          <w:szCs w:val="30"/>
        </w:rPr>
        <w:t>0</w:t>
      </w:r>
      <w:r>
        <w:rPr>
          <w:rFonts w:hint="eastAsia" w:asciiTheme="majorEastAsia" w:hAnsiTheme="majorEastAsia" w:eastAsiaTheme="majorEastAsia"/>
          <w:sz w:val="30"/>
          <w:szCs w:val="30"/>
        </w:rPr>
        <w:t>万元，其他收入</w:t>
      </w:r>
      <w:r>
        <w:rPr>
          <w:rFonts w:asciiTheme="majorEastAsia" w:hAnsiTheme="majorEastAsia" w:eastAsiaTheme="majorEastAsia"/>
          <w:sz w:val="30"/>
          <w:szCs w:val="30"/>
        </w:rPr>
        <w:t>0</w:t>
      </w:r>
      <w:r>
        <w:rPr>
          <w:rFonts w:hint="eastAsia" w:asciiTheme="majorEastAsia" w:hAnsiTheme="majorEastAsia" w:eastAsiaTheme="majorEastAsia"/>
          <w:sz w:val="30"/>
          <w:szCs w:val="30"/>
        </w:rPr>
        <w:t>万元。</w:t>
      </w:r>
    </w:p>
    <w:p>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2</w:t>
      </w:r>
      <w:r>
        <w:rPr>
          <w:rFonts w:hint="eastAsia" w:asciiTheme="majorEastAsia" w:hAnsiTheme="majorEastAsia" w:eastAsiaTheme="majorEastAsia"/>
          <w:sz w:val="30"/>
          <w:szCs w:val="30"/>
        </w:rPr>
        <w:t>、支出说明</w:t>
      </w:r>
    </w:p>
    <w:p>
      <w:pPr>
        <w:ind w:firstLine="600" w:firstLineChars="200"/>
        <w:rPr>
          <w:rFonts w:cs="仿宋_GB2312" w:asciiTheme="majorEastAsia" w:hAnsiTheme="majorEastAsia" w:eastAsiaTheme="majorEastAsia"/>
          <w:sz w:val="30"/>
          <w:szCs w:val="30"/>
        </w:rPr>
      </w:pPr>
      <w:r>
        <w:rPr>
          <w:rFonts w:hint="eastAsia" w:cs="仿宋_GB2312" w:asciiTheme="majorEastAsia" w:hAnsiTheme="majorEastAsia" w:eastAsiaTheme="majorEastAsia"/>
          <w:sz w:val="30"/>
          <w:szCs w:val="30"/>
        </w:rPr>
        <w:t>收支预算总表支出栏、基本支出表、项目支出表按经济分类和支出功能分类科目编制，反映我部门年度部门预算中支出预算的总体情况。</w:t>
      </w:r>
      <w:r>
        <w:rPr>
          <w:rFonts w:cs="仿宋_GB2312" w:asciiTheme="majorEastAsia" w:hAnsiTheme="majorEastAsia" w:eastAsiaTheme="majorEastAsia"/>
          <w:sz w:val="30"/>
          <w:szCs w:val="30"/>
        </w:rPr>
        <w:t>202</w:t>
      </w:r>
      <w:r>
        <w:rPr>
          <w:rFonts w:hint="eastAsia" w:cs="仿宋_GB2312" w:asciiTheme="majorEastAsia" w:hAnsiTheme="majorEastAsia" w:eastAsiaTheme="majorEastAsia"/>
          <w:sz w:val="30"/>
          <w:szCs w:val="30"/>
        </w:rPr>
        <w:t>3年部门支出预算为134.51万元，其中人员经费84.87万元，公用经费49.64万元，全部为本级支出。</w:t>
      </w:r>
    </w:p>
    <w:p>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3</w:t>
      </w:r>
      <w:r>
        <w:rPr>
          <w:rFonts w:hint="eastAsia" w:asciiTheme="majorEastAsia" w:hAnsiTheme="majorEastAsia" w:eastAsiaTheme="majorEastAsia"/>
          <w:sz w:val="30"/>
          <w:szCs w:val="30"/>
        </w:rPr>
        <w:t>、比上年增减情况</w:t>
      </w:r>
    </w:p>
    <w:p>
      <w:pPr>
        <w:ind w:firstLine="600" w:firstLineChars="200"/>
        <w:rPr>
          <w:rFonts w:cs="仿宋_GB2312" w:asciiTheme="majorEastAsia" w:hAnsiTheme="majorEastAsia" w:eastAsiaTheme="majorEastAsia"/>
          <w:sz w:val="30"/>
          <w:szCs w:val="30"/>
        </w:rPr>
      </w:pPr>
      <w:r>
        <w:rPr>
          <w:rFonts w:cs="仿宋_GB2312" w:asciiTheme="majorEastAsia" w:hAnsiTheme="majorEastAsia" w:eastAsiaTheme="majorEastAsia"/>
          <w:sz w:val="30"/>
          <w:szCs w:val="30"/>
        </w:rPr>
        <w:t>202</w:t>
      </w:r>
      <w:r>
        <w:rPr>
          <w:rFonts w:hint="eastAsia" w:cs="仿宋_GB2312" w:asciiTheme="majorEastAsia" w:hAnsiTheme="majorEastAsia" w:eastAsiaTheme="majorEastAsia"/>
          <w:sz w:val="30"/>
          <w:szCs w:val="30"/>
        </w:rPr>
        <w:t>3年部门预算较2022年增加82.53万元，是因为2023年增加劳务派遣人员公用经费，及增加人员经费绩效奖金。</w:t>
      </w:r>
    </w:p>
    <w:p>
      <w:pPr>
        <w:ind w:firstLine="753" w:firstLineChars="250"/>
        <w:rPr>
          <w:rFonts w:asciiTheme="majorEastAsia" w:hAnsiTheme="majorEastAsia" w:eastAsiaTheme="majorEastAsia"/>
          <w:b/>
          <w:bCs/>
          <w:sz w:val="30"/>
          <w:szCs w:val="30"/>
        </w:rPr>
      </w:pPr>
      <w:r>
        <w:rPr>
          <w:rFonts w:hint="eastAsia" w:asciiTheme="majorEastAsia" w:hAnsiTheme="majorEastAsia" w:eastAsiaTheme="majorEastAsia"/>
          <w:b/>
          <w:bCs/>
          <w:sz w:val="30"/>
          <w:szCs w:val="30"/>
        </w:rPr>
        <w:t>三、机关运行经费安排情况</w:t>
      </w:r>
    </w:p>
    <w:p>
      <w:pPr>
        <w:ind w:firstLine="900" w:firstLineChars="300"/>
        <w:rPr>
          <w:rFonts w:cs="仿宋" w:asciiTheme="majorEastAsia" w:hAnsiTheme="majorEastAsia" w:eastAsiaTheme="majorEastAsia"/>
          <w:sz w:val="30"/>
          <w:szCs w:val="30"/>
        </w:rPr>
      </w:pPr>
      <w:r>
        <w:rPr>
          <w:rFonts w:cs="仿宋" w:asciiTheme="majorEastAsia" w:hAnsiTheme="majorEastAsia" w:eastAsiaTheme="majorEastAsia"/>
          <w:sz w:val="30"/>
          <w:szCs w:val="30"/>
        </w:rPr>
        <w:t>2023</w:t>
      </w:r>
      <w:r>
        <w:rPr>
          <w:rFonts w:hint="eastAsia" w:cs="仿宋" w:asciiTheme="majorEastAsia" w:hAnsiTheme="majorEastAsia" w:eastAsiaTheme="majorEastAsia"/>
          <w:sz w:val="30"/>
          <w:szCs w:val="30"/>
        </w:rPr>
        <w:t>年，我部门机关运行经费共安排</w:t>
      </w:r>
      <w:r>
        <w:rPr>
          <w:sz w:val="30"/>
          <w:szCs w:val="30"/>
        </w:rPr>
        <w:t xml:space="preserve"> 49.64 万元</w:t>
      </w:r>
      <w:r>
        <w:rPr>
          <w:rFonts w:hint="eastAsia"/>
          <w:sz w:val="30"/>
          <w:szCs w:val="30"/>
        </w:rPr>
        <w:t>，主要用于劳务费支出。</w:t>
      </w:r>
    </w:p>
    <w:p>
      <w:pPr>
        <w:ind w:firstLine="753" w:firstLineChars="250"/>
        <w:rPr>
          <w:rFonts w:asciiTheme="majorEastAsia" w:hAnsiTheme="majorEastAsia" w:eastAsiaTheme="majorEastAsia"/>
          <w:b/>
          <w:bCs/>
          <w:sz w:val="30"/>
          <w:szCs w:val="30"/>
        </w:rPr>
      </w:pPr>
      <w:r>
        <w:rPr>
          <w:rFonts w:hint="eastAsia" w:asciiTheme="majorEastAsia" w:hAnsiTheme="majorEastAsia" w:eastAsiaTheme="majorEastAsia"/>
          <w:b/>
          <w:bCs/>
          <w:sz w:val="30"/>
          <w:szCs w:val="30"/>
        </w:rPr>
        <w:t>四、财政拨款“三公”经费预算情况及增减变化原因</w:t>
      </w:r>
    </w:p>
    <w:p>
      <w:pPr>
        <w:autoSpaceDE w:val="0"/>
        <w:autoSpaceDN w:val="0"/>
        <w:adjustRightInd w:val="0"/>
        <w:ind w:left="198" w:firstLine="600" w:firstLineChars="200"/>
        <w:jc w:val="left"/>
        <w:rPr>
          <w:rFonts w:cs="仿宋_GB2312" w:asciiTheme="majorEastAsia" w:hAnsiTheme="majorEastAsia" w:eastAsiaTheme="majorEastAsia"/>
          <w:sz w:val="30"/>
          <w:szCs w:val="30"/>
        </w:rPr>
      </w:pPr>
      <w:r>
        <w:rPr>
          <w:rFonts w:cs="仿宋_GB2312" w:asciiTheme="majorEastAsia" w:hAnsiTheme="majorEastAsia" w:eastAsiaTheme="majorEastAsia"/>
          <w:sz w:val="30"/>
          <w:szCs w:val="30"/>
        </w:rPr>
        <w:t>202</w:t>
      </w:r>
      <w:r>
        <w:rPr>
          <w:rFonts w:hint="eastAsia" w:cs="仿宋_GB2312" w:asciiTheme="majorEastAsia" w:hAnsiTheme="majorEastAsia" w:eastAsiaTheme="majorEastAsia"/>
          <w:sz w:val="30"/>
          <w:szCs w:val="30"/>
        </w:rPr>
        <w:t>3年，财政拨款“三公”预算安排</w:t>
      </w:r>
      <w:r>
        <w:rPr>
          <w:rFonts w:cs="仿宋_GB2312" w:asciiTheme="majorEastAsia" w:hAnsiTheme="majorEastAsia" w:eastAsiaTheme="majorEastAsia"/>
          <w:sz w:val="30"/>
          <w:szCs w:val="30"/>
        </w:rPr>
        <w:t>0</w:t>
      </w:r>
      <w:r>
        <w:rPr>
          <w:rFonts w:hint="eastAsia" w:cs="仿宋_GB2312" w:asciiTheme="majorEastAsia" w:hAnsiTheme="majorEastAsia" w:eastAsiaTheme="majorEastAsia"/>
          <w:sz w:val="30"/>
          <w:szCs w:val="30"/>
        </w:rPr>
        <w:t>万元，其中</w:t>
      </w:r>
      <w:r>
        <w:rPr>
          <w:rFonts w:cs="仿宋_GB2312" w:asciiTheme="majorEastAsia" w:hAnsiTheme="majorEastAsia" w:eastAsiaTheme="majorEastAsia"/>
          <w:sz w:val="30"/>
          <w:szCs w:val="30"/>
        </w:rPr>
        <w:t>:</w:t>
      </w:r>
      <w:r>
        <w:rPr>
          <w:rFonts w:hint="eastAsia" w:cs="仿宋_GB2312" w:asciiTheme="majorEastAsia" w:hAnsiTheme="majorEastAsia" w:eastAsiaTheme="majorEastAsia"/>
          <w:sz w:val="30"/>
          <w:szCs w:val="30"/>
        </w:rPr>
        <w:t>因公出国（境）费</w:t>
      </w:r>
      <w:r>
        <w:rPr>
          <w:rFonts w:cs="仿宋_GB2312" w:asciiTheme="majorEastAsia" w:hAnsiTheme="majorEastAsia" w:eastAsiaTheme="majorEastAsia"/>
          <w:sz w:val="30"/>
          <w:szCs w:val="30"/>
        </w:rPr>
        <w:t>0</w:t>
      </w:r>
      <w:r>
        <w:rPr>
          <w:rFonts w:hint="eastAsia" w:cs="仿宋_GB2312" w:asciiTheme="majorEastAsia" w:hAnsiTheme="majorEastAsia" w:eastAsiaTheme="majorEastAsia"/>
          <w:sz w:val="30"/>
          <w:szCs w:val="30"/>
        </w:rPr>
        <w:t>万元，与去年持平，无增减变化；公务用车购置及运维费</w:t>
      </w:r>
      <w:r>
        <w:rPr>
          <w:rFonts w:cs="仿宋_GB2312" w:asciiTheme="majorEastAsia" w:hAnsiTheme="majorEastAsia" w:eastAsiaTheme="majorEastAsia"/>
          <w:sz w:val="30"/>
          <w:szCs w:val="30"/>
        </w:rPr>
        <w:t>0</w:t>
      </w:r>
      <w:r>
        <w:rPr>
          <w:rFonts w:hint="eastAsia" w:cs="仿宋_GB2312" w:asciiTheme="majorEastAsia" w:hAnsiTheme="majorEastAsia" w:eastAsiaTheme="majorEastAsia"/>
          <w:sz w:val="30"/>
          <w:szCs w:val="30"/>
        </w:rPr>
        <w:t>万元（其中：公务用车运行费</w:t>
      </w:r>
      <w:r>
        <w:rPr>
          <w:rFonts w:cs="仿宋_GB2312" w:asciiTheme="majorEastAsia" w:hAnsiTheme="majorEastAsia" w:eastAsiaTheme="majorEastAsia"/>
          <w:sz w:val="30"/>
          <w:szCs w:val="30"/>
        </w:rPr>
        <w:t>0</w:t>
      </w:r>
      <w:r>
        <w:rPr>
          <w:rFonts w:hint="eastAsia" w:cs="仿宋_GB2312" w:asciiTheme="majorEastAsia" w:hAnsiTheme="majorEastAsia" w:eastAsiaTheme="majorEastAsia"/>
          <w:sz w:val="30"/>
          <w:szCs w:val="30"/>
        </w:rPr>
        <w:t>万元、车辆购置费</w:t>
      </w:r>
      <w:r>
        <w:rPr>
          <w:rFonts w:cs="仿宋_GB2312" w:asciiTheme="majorEastAsia" w:hAnsiTheme="majorEastAsia" w:eastAsiaTheme="majorEastAsia"/>
          <w:sz w:val="30"/>
          <w:szCs w:val="30"/>
        </w:rPr>
        <w:t>0</w:t>
      </w:r>
      <w:r>
        <w:rPr>
          <w:rFonts w:hint="eastAsia" w:cs="仿宋_GB2312" w:asciiTheme="majorEastAsia" w:hAnsiTheme="majorEastAsia" w:eastAsiaTheme="majorEastAsia"/>
          <w:sz w:val="30"/>
          <w:szCs w:val="30"/>
        </w:rPr>
        <w:t>万元），与去年持平，无增减变化；公务接待费</w:t>
      </w:r>
      <w:r>
        <w:rPr>
          <w:rFonts w:cs="仿宋_GB2312" w:asciiTheme="majorEastAsia" w:hAnsiTheme="majorEastAsia" w:eastAsiaTheme="majorEastAsia"/>
          <w:sz w:val="30"/>
          <w:szCs w:val="30"/>
        </w:rPr>
        <w:t>0</w:t>
      </w:r>
      <w:r>
        <w:rPr>
          <w:rFonts w:hint="eastAsia" w:cs="仿宋_GB2312" w:asciiTheme="majorEastAsia" w:hAnsiTheme="majorEastAsia" w:eastAsiaTheme="majorEastAsia"/>
          <w:sz w:val="30"/>
          <w:szCs w:val="30"/>
        </w:rPr>
        <w:t>万元，与</w:t>
      </w:r>
      <w:r>
        <w:rPr>
          <w:rFonts w:cs="仿宋_GB2312" w:asciiTheme="majorEastAsia" w:hAnsiTheme="majorEastAsia" w:eastAsiaTheme="majorEastAsia"/>
          <w:sz w:val="30"/>
          <w:szCs w:val="30"/>
        </w:rPr>
        <w:t>202</w:t>
      </w:r>
      <w:r>
        <w:rPr>
          <w:rFonts w:hint="eastAsia" w:cs="仿宋_GB2312" w:asciiTheme="majorEastAsia" w:hAnsiTheme="majorEastAsia" w:eastAsiaTheme="majorEastAsia"/>
          <w:sz w:val="30"/>
          <w:szCs w:val="30"/>
        </w:rPr>
        <w:t>2年持平，无增减变化。</w:t>
      </w:r>
    </w:p>
    <w:p>
      <w:pPr>
        <w:ind w:firstLine="753" w:firstLineChars="250"/>
        <w:rPr>
          <w:rFonts w:asciiTheme="majorEastAsia" w:hAnsiTheme="majorEastAsia" w:eastAsiaTheme="majorEastAsia"/>
          <w:b/>
          <w:bCs/>
          <w:sz w:val="30"/>
          <w:szCs w:val="30"/>
        </w:rPr>
      </w:pPr>
    </w:p>
    <w:p>
      <w:pPr>
        <w:ind w:firstLine="753" w:firstLineChars="250"/>
        <w:rPr>
          <w:rFonts w:asciiTheme="majorEastAsia" w:hAnsiTheme="majorEastAsia" w:eastAsiaTheme="majorEastAsia"/>
          <w:b/>
          <w:bCs/>
          <w:sz w:val="30"/>
          <w:szCs w:val="30"/>
        </w:rPr>
      </w:pPr>
      <w:r>
        <w:rPr>
          <w:rFonts w:hint="eastAsia" w:asciiTheme="majorEastAsia" w:hAnsiTheme="majorEastAsia" w:eastAsiaTheme="majorEastAsia"/>
          <w:b/>
          <w:bCs/>
          <w:sz w:val="30"/>
          <w:szCs w:val="30"/>
        </w:rPr>
        <w:t>五、绩效预算信息</w:t>
      </w:r>
    </w:p>
    <w:p>
      <w:pPr>
        <w:ind w:firstLine="602" w:firstLineChars="200"/>
        <w:jc w:val="left"/>
        <w:rPr>
          <w:rFonts w:asciiTheme="majorEastAsia" w:hAnsiTheme="majorEastAsia" w:eastAsiaTheme="majorEastAsia"/>
          <w:b/>
          <w:sz w:val="30"/>
          <w:szCs w:val="30"/>
        </w:rPr>
      </w:pPr>
      <w:bookmarkStart w:id="0" w:name="_Toc471398463"/>
      <w:r>
        <w:rPr>
          <w:rFonts w:hint="eastAsia" w:asciiTheme="majorEastAsia" w:hAnsiTheme="majorEastAsia" w:eastAsiaTheme="majorEastAsia"/>
          <w:b/>
          <w:sz w:val="30"/>
          <w:szCs w:val="30"/>
        </w:rPr>
        <w:t>第一部分</w:t>
      </w:r>
      <w:r>
        <w:rPr>
          <w:rFonts w:asciiTheme="majorEastAsia" w:hAnsiTheme="majorEastAsia" w:eastAsiaTheme="majorEastAsia"/>
          <w:b/>
          <w:sz w:val="30"/>
          <w:szCs w:val="30"/>
        </w:rPr>
        <w:t xml:space="preserve"> </w:t>
      </w:r>
      <w:r>
        <w:rPr>
          <w:rFonts w:hint="eastAsia" w:asciiTheme="majorEastAsia" w:hAnsiTheme="majorEastAsia" w:eastAsiaTheme="majorEastAsia"/>
          <w:b/>
          <w:sz w:val="30"/>
          <w:szCs w:val="30"/>
        </w:rPr>
        <w:t>部门整体绩效目标</w:t>
      </w:r>
    </w:p>
    <w:p>
      <w:pPr>
        <w:ind w:firstLine="301" w:firstLineChars="100"/>
        <w:jc w:val="left"/>
        <w:rPr>
          <w:rFonts w:asciiTheme="majorEastAsia" w:hAnsiTheme="majorEastAsia" w:eastAsiaTheme="majorEastAsia"/>
          <w:b/>
          <w:sz w:val="30"/>
          <w:szCs w:val="30"/>
        </w:rPr>
      </w:pPr>
      <w:r>
        <w:rPr>
          <w:rFonts w:hint="eastAsia" w:asciiTheme="majorEastAsia" w:hAnsiTheme="majorEastAsia" w:eastAsiaTheme="majorEastAsia"/>
          <w:b/>
          <w:sz w:val="30"/>
          <w:szCs w:val="30"/>
        </w:rPr>
        <w:t>（一）总体绩效目标：</w:t>
      </w:r>
    </w:p>
    <w:p>
      <w:pPr>
        <w:ind w:firstLine="600" w:firstLineChars="200"/>
        <w:jc w:val="left"/>
        <w:rPr>
          <w:rFonts w:cs="仿宋_GB2312" w:asciiTheme="majorEastAsia" w:hAnsiTheme="majorEastAsia" w:eastAsiaTheme="majorEastAsia"/>
          <w:sz w:val="30"/>
          <w:szCs w:val="30"/>
        </w:rPr>
      </w:pPr>
      <w:r>
        <w:rPr>
          <w:rFonts w:cs="仿宋_GB2312" w:asciiTheme="majorEastAsia" w:hAnsiTheme="majorEastAsia" w:eastAsiaTheme="majorEastAsia"/>
          <w:sz w:val="30"/>
          <w:szCs w:val="30"/>
        </w:rPr>
        <w:t>202</w:t>
      </w:r>
      <w:r>
        <w:rPr>
          <w:rFonts w:hint="eastAsia" w:cs="仿宋_GB2312" w:asciiTheme="majorEastAsia" w:hAnsiTheme="majorEastAsia" w:eastAsiaTheme="majorEastAsia"/>
          <w:sz w:val="30"/>
          <w:szCs w:val="30"/>
        </w:rPr>
        <w:t>3年，我社以省、市社下达的目标任务为指导，结合我县实际，构建起具有赞皇特色、上下贯通、规范运行的农业社会化服务体系。以合作社联合社体系</w:t>
      </w:r>
      <w:r>
        <w:rPr>
          <w:rFonts w:cs="仿宋_GB2312" w:asciiTheme="majorEastAsia" w:hAnsiTheme="majorEastAsia" w:eastAsiaTheme="majorEastAsia"/>
          <w:sz w:val="30"/>
          <w:szCs w:val="30"/>
        </w:rPr>
        <w:t>+</w:t>
      </w:r>
      <w:r>
        <w:rPr>
          <w:rFonts w:hint="eastAsia" w:cs="仿宋_GB2312" w:asciiTheme="majorEastAsia" w:hAnsiTheme="majorEastAsia" w:eastAsiaTheme="majorEastAsia"/>
          <w:sz w:val="30"/>
          <w:szCs w:val="30"/>
        </w:rPr>
        <w:t>现代服务网络体系</w:t>
      </w:r>
      <w:r>
        <w:rPr>
          <w:rFonts w:cs="仿宋_GB2312" w:asciiTheme="majorEastAsia" w:hAnsiTheme="majorEastAsia" w:eastAsiaTheme="majorEastAsia"/>
          <w:sz w:val="30"/>
          <w:szCs w:val="30"/>
        </w:rPr>
        <w:t>+</w:t>
      </w:r>
      <w:r>
        <w:rPr>
          <w:rFonts w:hint="eastAsia" w:cs="仿宋_GB2312" w:asciiTheme="majorEastAsia" w:hAnsiTheme="majorEastAsia" w:eastAsiaTheme="majorEastAsia"/>
          <w:sz w:val="30"/>
          <w:szCs w:val="30"/>
        </w:rPr>
        <w:t>农村合作金融体系“三位一体”为支撑，构建新型供销合作社体制架构。以服务新型农业经营主体、服务农村生产生活、服务新型农民为着力点，构建覆盖全程、综合配套、便捷高效的新型服务体系。以供销社网络龙头企业为依托，以信息网络技术为支撑，构建连接县、乡、村的农资、日用消费品、农副产品、再生资源回收利用和盐业经营五大现代流通网络。以新型农村金融组织、投融资担保平台、农业合作保险公司、农村产权交易中心等为依托，构建农村合作金融服务新体系。</w:t>
      </w:r>
    </w:p>
    <w:p>
      <w:pPr>
        <w:spacing w:line="500" w:lineRule="exact"/>
        <w:ind w:firstLine="602" w:firstLineChars="200"/>
        <w:jc w:val="left"/>
        <w:rPr>
          <w:rFonts w:asciiTheme="majorEastAsia" w:hAnsiTheme="majorEastAsia" w:eastAsiaTheme="majorEastAsia"/>
          <w:b/>
          <w:sz w:val="30"/>
          <w:szCs w:val="30"/>
        </w:rPr>
      </w:pPr>
    </w:p>
    <w:p>
      <w:pPr>
        <w:spacing w:line="500" w:lineRule="exact"/>
        <w:ind w:firstLine="602" w:firstLineChars="200"/>
        <w:jc w:val="left"/>
        <w:rPr>
          <w:rFonts w:asciiTheme="majorEastAsia" w:hAnsiTheme="majorEastAsia" w:eastAsiaTheme="majorEastAsia"/>
          <w:b/>
          <w:sz w:val="30"/>
          <w:szCs w:val="30"/>
        </w:rPr>
      </w:pPr>
      <w:r>
        <w:rPr>
          <w:rFonts w:asciiTheme="majorEastAsia" w:hAnsiTheme="majorEastAsia" w:eastAsiaTheme="majorEastAsia"/>
          <w:b/>
          <w:sz w:val="30"/>
          <w:szCs w:val="30"/>
        </w:rPr>
        <w:t>(</w:t>
      </w:r>
      <w:r>
        <w:rPr>
          <w:rFonts w:hint="eastAsia" w:asciiTheme="majorEastAsia" w:hAnsiTheme="majorEastAsia" w:eastAsiaTheme="majorEastAsia"/>
          <w:b/>
          <w:sz w:val="30"/>
          <w:szCs w:val="30"/>
        </w:rPr>
        <w:t>二</w:t>
      </w:r>
      <w:r>
        <w:rPr>
          <w:rFonts w:asciiTheme="majorEastAsia" w:hAnsiTheme="majorEastAsia" w:eastAsiaTheme="majorEastAsia"/>
          <w:b/>
          <w:sz w:val="30"/>
          <w:szCs w:val="30"/>
        </w:rPr>
        <w:t>)</w:t>
      </w:r>
      <w:r>
        <w:rPr>
          <w:rFonts w:hint="eastAsia" w:asciiTheme="majorEastAsia" w:hAnsiTheme="majorEastAsia" w:eastAsiaTheme="majorEastAsia"/>
          <w:b/>
          <w:sz w:val="30"/>
          <w:szCs w:val="30"/>
        </w:rPr>
        <w:t>分项绩效目标：</w:t>
      </w:r>
    </w:p>
    <w:p>
      <w:pPr>
        <w:spacing w:line="500" w:lineRule="exact"/>
        <w:ind w:firstLine="600" w:firstLineChars="200"/>
        <w:jc w:val="left"/>
        <w:rPr>
          <w:rFonts w:asciiTheme="majorEastAsia" w:hAnsiTheme="majorEastAsia" w:eastAsiaTheme="majorEastAsia"/>
          <w:sz w:val="30"/>
          <w:szCs w:val="30"/>
        </w:rPr>
      </w:pPr>
      <w:r>
        <w:rPr>
          <w:rFonts w:asciiTheme="majorEastAsia" w:hAnsiTheme="majorEastAsia" w:eastAsiaTheme="majorEastAsia"/>
          <w:sz w:val="30"/>
          <w:szCs w:val="30"/>
        </w:rPr>
        <w:t>1</w:t>
      </w:r>
      <w:r>
        <w:rPr>
          <w:rFonts w:hint="eastAsia" w:asciiTheme="majorEastAsia" w:hAnsiTheme="majorEastAsia" w:eastAsiaTheme="majorEastAsia"/>
          <w:sz w:val="30"/>
          <w:szCs w:val="30"/>
        </w:rPr>
        <w:t>、供销流通管理方面</w:t>
      </w:r>
    </w:p>
    <w:p>
      <w:pPr>
        <w:spacing w:line="500" w:lineRule="exact"/>
        <w:ind w:firstLine="600" w:firstLineChars="200"/>
        <w:jc w:val="left"/>
        <w:rPr>
          <w:rFonts w:asciiTheme="majorEastAsia" w:hAnsiTheme="majorEastAsia" w:eastAsiaTheme="majorEastAsia"/>
          <w:sz w:val="30"/>
          <w:szCs w:val="30"/>
        </w:rPr>
      </w:pPr>
      <w:r>
        <w:rPr>
          <w:rFonts w:hint="eastAsia" w:asciiTheme="majorEastAsia" w:hAnsiTheme="majorEastAsia" w:eastAsiaTheme="majorEastAsia"/>
          <w:sz w:val="30"/>
          <w:szCs w:val="30"/>
        </w:rPr>
        <w:t>绩效目标：确保供销社事业改革、发展和壮大、发挥供销社在商业流通服务的作。组织指导行业改革发展，负责行业管理，开展教育培训，维护合法权益。贯彻上级方针政策，管理运营县级社有资产、行使出资人职能。指导系统流通网络建设、发挥供销社连接城乡、农村的桥梁作用，建设商流、物流、信息流相统一的城乡双向流通网。</w:t>
      </w:r>
    </w:p>
    <w:p>
      <w:pPr>
        <w:spacing w:line="500" w:lineRule="exact"/>
        <w:ind w:firstLine="600" w:firstLineChars="200"/>
        <w:jc w:val="left"/>
        <w:rPr>
          <w:rFonts w:asciiTheme="majorEastAsia" w:hAnsiTheme="majorEastAsia" w:eastAsiaTheme="majorEastAsia"/>
          <w:sz w:val="30"/>
          <w:szCs w:val="30"/>
        </w:rPr>
      </w:pPr>
      <w:r>
        <w:rPr>
          <w:rFonts w:hint="eastAsia" w:asciiTheme="majorEastAsia" w:hAnsiTheme="majorEastAsia" w:eastAsiaTheme="majorEastAsia"/>
          <w:sz w:val="30"/>
          <w:szCs w:val="30"/>
        </w:rPr>
        <w:t>绩效指标</w:t>
      </w:r>
      <w:r>
        <w:rPr>
          <w:rFonts w:asciiTheme="majorEastAsia" w:hAnsiTheme="majorEastAsia" w:eastAsiaTheme="majorEastAsia"/>
          <w:sz w:val="30"/>
          <w:szCs w:val="30"/>
        </w:rPr>
        <w:t>:</w:t>
      </w:r>
      <w:r>
        <w:rPr>
          <w:rFonts w:hint="eastAsia" w:asciiTheme="majorEastAsia" w:hAnsiTheme="majorEastAsia" w:eastAsiaTheme="majorEastAsia"/>
          <w:sz w:val="30"/>
          <w:szCs w:val="30"/>
        </w:rPr>
        <w:t>在全县</w:t>
      </w:r>
      <w:r>
        <w:rPr>
          <w:rFonts w:asciiTheme="majorEastAsia" w:hAnsiTheme="majorEastAsia" w:eastAsiaTheme="majorEastAsia"/>
          <w:sz w:val="30"/>
          <w:szCs w:val="30"/>
        </w:rPr>
        <w:t>11</w:t>
      </w:r>
      <w:r>
        <w:rPr>
          <w:rFonts w:hint="eastAsia" w:asciiTheme="majorEastAsia" w:hAnsiTheme="majorEastAsia" w:eastAsiaTheme="majorEastAsia"/>
          <w:sz w:val="30"/>
          <w:szCs w:val="30"/>
        </w:rPr>
        <w:t>个乡镇建立网络体系，</w:t>
      </w:r>
      <w:r>
        <w:rPr>
          <w:rFonts w:asciiTheme="majorEastAsia" w:hAnsiTheme="majorEastAsia" w:eastAsiaTheme="majorEastAsia"/>
          <w:sz w:val="30"/>
          <w:szCs w:val="30"/>
        </w:rPr>
        <w:t xml:space="preserve"> </w:t>
      </w:r>
      <w:r>
        <w:rPr>
          <w:rFonts w:hint="eastAsia" w:asciiTheme="majorEastAsia" w:hAnsiTheme="majorEastAsia" w:eastAsiaTheme="majorEastAsia"/>
          <w:sz w:val="30"/>
          <w:szCs w:val="30"/>
        </w:rPr>
        <w:t>成为农村现代流通的主导力。建立日用消费品网络</w:t>
      </w:r>
      <w:r>
        <w:rPr>
          <w:rFonts w:asciiTheme="majorEastAsia" w:hAnsiTheme="majorEastAsia" w:eastAsiaTheme="majorEastAsia"/>
          <w:sz w:val="30"/>
          <w:szCs w:val="30"/>
        </w:rPr>
        <w:t>160</w:t>
      </w:r>
      <w:r>
        <w:rPr>
          <w:rFonts w:hint="eastAsia" w:asciiTheme="majorEastAsia" w:hAnsiTheme="majorEastAsia" w:eastAsiaTheme="majorEastAsia"/>
          <w:sz w:val="30"/>
          <w:szCs w:val="30"/>
        </w:rPr>
        <w:t>个，建立再生资源网络</w:t>
      </w:r>
      <w:r>
        <w:rPr>
          <w:rFonts w:asciiTheme="majorEastAsia" w:hAnsiTheme="majorEastAsia" w:eastAsiaTheme="majorEastAsia"/>
          <w:sz w:val="30"/>
          <w:szCs w:val="30"/>
        </w:rPr>
        <w:t>30</w:t>
      </w:r>
      <w:r>
        <w:rPr>
          <w:rFonts w:hint="eastAsia" w:asciiTheme="majorEastAsia" w:hAnsiTheme="majorEastAsia" w:eastAsiaTheme="majorEastAsia"/>
          <w:sz w:val="30"/>
          <w:szCs w:val="30"/>
        </w:rPr>
        <w:t>，全县</w:t>
      </w:r>
      <w:r>
        <w:rPr>
          <w:rFonts w:asciiTheme="majorEastAsia" w:hAnsiTheme="majorEastAsia" w:eastAsiaTheme="majorEastAsia"/>
          <w:sz w:val="30"/>
          <w:szCs w:val="30"/>
        </w:rPr>
        <w:t>11</w:t>
      </w:r>
      <w:r>
        <w:rPr>
          <w:rFonts w:hint="eastAsia" w:asciiTheme="majorEastAsia" w:hAnsiTheme="majorEastAsia" w:eastAsiaTheme="majorEastAsia"/>
          <w:sz w:val="30"/>
          <w:szCs w:val="30"/>
        </w:rPr>
        <w:t>个乡镇建立农资网络</w:t>
      </w:r>
      <w:r>
        <w:rPr>
          <w:rFonts w:asciiTheme="majorEastAsia" w:hAnsiTheme="majorEastAsia" w:eastAsiaTheme="majorEastAsia"/>
          <w:sz w:val="30"/>
          <w:szCs w:val="30"/>
        </w:rPr>
        <w:t>10</w:t>
      </w:r>
      <w:r>
        <w:rPr>
          <w:rFonts w:hint="eastAsia" w:asciiTheme="majorEastAsia" w:hAnsiTheme="majorEastAsia" w:eastAsiaTheme="majorEastAsia"/>
          <w:sz w:val="30"/>
          <w:szCs w:val="30"/>
        </w:rPr>
        <w:t>，建立农副产品购销网络</w:t>
      </w:r>
      <w:r>
        <w:rPr>
          <w:rFonts w:asciiTheme="majorEastAsia" w:hAnsiTheme="majorEastAsia" w:eastAsiaTheme="majorEastAsia"/>
          <w:sz w:val="30"/>
          <w:szCs w:val="30"/>
        </w:rPr>
        <w:t>9</w:t>
      </w:r>
      <w:r>
        <w:rPr>
          <w:rFonts w:hint="eastAsia" w:asciiTheme="majorEastAsia" w:hAnsiTheme="majorEastAsia" w:eastAsiaTheme="majorEastAsia"/>
          <w:sz w:val="30"/>
          <w:szCs w:val="30"/>
        </w:rPr>
        <w:t>个。</w:t>
      </w:r>
    </w:p>
    <w:p>
      <w:pPr>
        <w:spacing w:line="500" w:lineRule="exact"/>
        <w:ind w:firstLine="600" w:firstLineChars="200"/>
        <w:jc w:val="left"/>
        <w:rPr>
          <w:rFonts w:asciiTheme="majorEastAsia" w:hAnsiTheme="majorEastAsia" w:eastAsiaTheme="majorEastAsia"/>
          <w:sz w:val="30"/>
          <w:szCs w:val="30"/>
        </w:rPr>
      </w:pPr>
      <w:r>
        <w:rPr>
          <w:rFonts w:asciiTheme="majorEastAsia" w:hAnsiTheme="majorEastAsia" w:eastAsiaTheme="majorEastAsia"/>
          <w:sz w:val="30"/>
          <w:szCs w:val="30"/>
        </w:rPr>
        <w:t>2</w:t>
      </w:r>
      <w:r>
        <w:rPr>
          <w:rFonts w:hint="eastAsia" w:asciiTheme="majorEastAsia" w:hAnsiTheme="majorEastAsia" w:eastAsiaTheme="majorEastAsia"/>
          <w:sz w:val="30"/>
          <w:szCs w:val="30"/>
        </w:rPr>
        <w:t>、服务三农事务管理方面</w:t>
      </w:r>
    </w:p>
    <w:p>
      <w:pPr>
        <w:spacing w:line="500" w:lineRule="exact"/>
        <w:ind w:firstLine="600" w:firstLineChars="200"/>
        <w:jc w:val="left"/>
        <w:rPr>
          <w:rFonts w:asciiTheme="majorEastAsia" w:hAnsiTheme="majorEastAsia" w:eastAsiaTheme="majorEastAsia"/>
          <w:sz w:val="30"/>
          <w:szCs w:val="30"/>
        </w:rPr>
      </w:pPr>
      <w:r>
        <w:rPr>
          <w:rFonts w:hint="eastAsia" w:asciiTheme="majorEastAsia" w:hAnsiTheme="majorEastAsia" w:eastAsiaTheme="majorEastAsia"/>
          <w:sz w:val="30"/>
          <w:szCs w:val="30"/>
        </w:rPr>
        <w:t>绩效目标：以供销合作社体系为依托，自下而上组建农民合作社联合社、创新组织体系、服务体系和农村金融体系。紧紧围绕</w:t>
      </w:r>
      <w:r>
        <w:rPr>
          <w:rFonts w:asciiTheme="majorEastAsia" w:hAnsiTheme="majorEastAsia" w:eastAsiaTheme="majorEastAsia"/>
          <w:sz w:val="30"/>
          <w:szCs w:val="30"/>
        </w:rPr>
        <w:t>“</w:t>
      </w:r>
      <w:r>
        <w:rPr>
          <w:rFonts w:hint="eastAsia" w:asciiTheme="majorEastAsia" w:hAnsiTheme="majorEastAsia" w:eastAsiaTheme="majorEastAsia"/>
          <w:sz w:val="30"/>
          <w:szCs w:val="30"/>
        </w:rPr>
        <w:t>三农</w:t>
      </w:r>
      <w:r>
        <w:rPr>
          <w:rFonts w:asciiTheme="majorEastAsia" w:hAnsiTheme="majorEastAsia" w:eastAsiaTheme="majorEastAsia"/>
          <w:sz w:val="30"/>
          <w:szCs w:val="30"/>
        </w:rPr>
        <w:t>”</w:t>
      </w:r>
      <w:r>
        <w:rPr>
          <w:rFonts w:hint="eastAsia" w:asciiTheme="majorEastAsia" w:hAnsiTheme="majorEastAsia" w:eastAsiaTheme="majorEastAsia"/>
          <w:sz w:val="30"/>
          <w:szCs w:val="30"/>
        </w:rPr>
        <w:t>工作大局</w:t>
      </w:r>
      <w:r>
        <w:rPr>
          <w:rFonts w:asciiTheme="majorEastAsia" w:hAnsiTheme="majorEastAsia" w:eastAsiaTheme="majorEastAsia"/>
          <w:sz w:val="30"/>
          <w:szCs w:val="30"/>
        </w:rPr>
        <w:t>,</w:t>
      </w:r>
      <w:r>
        <w:rPr>
          <w:rFonts w:hint="eastAsia" w:asciiTheme="majorEastAsia" w:hAnsiTheme="majorEastAsia" w:eastAsiaTheme="majorEastAsia"/>
          <w:sz w:val="30"/>
          <w:szCs w:val="30"/>
        </w:rPr>
        <w:t>推进体制改革和机制创新，加快建成适应市场经济需要、适应城乡发展一体化需要、适应中国特色农业现代化需要的组织体系和服务机制。以合作经济组织形式，创建以农村合作银行、农村信用合作担保公司、农业合作互助保险公司、农村产权交易所、融资租赁公司、农产品电子商务交易中心、金融超市为主的农村合作金融体系，实现农村合作金融体系创建目标。</w:t>
      </w:r>
    </w:p>
    <w:p>
      <w:pPr>
        <w:spacing w:line="500" w:lineRule="exact"/>
        <w:ind w:firstLine="600" w:firstLineChars="200"/>
        <w:jc w:val="left"/>
        <w:rPr>
          <w:rFonts w:asciiTheme="majorEastAsia" w:hAnsiTheme="majorEastAsia" w:eastAsiaTheme="majorEastAsia"/>
          <w:sz w:val="30"/>
          <w:szCs w:val="30"/>
        </w:rPr>
      </w:pPr>
      <w:r>
        <w:rPr>
          <w:rFonts w:hint="eastAsia" w:asciiTheme="majorEastAsia" w:hAnsiTheme="majorEastAsia" w:eastAsiaTheme="majorEastAsia"/>
          <w:sz w:val="30"/>
          <w:szCs w:val="30"/>
        </w:rPr>
        <w:t>绩效指标</w:t>
      </w:r>
      <w:r>
        <w:rPr>
          <w:rFonts w:asciiTheme="majorEastAsia" w:hAnsiTheme="majorEastAsia" w:eastAsiaTheme="majorEastAsia"/>
          <w:sz w:val="30"/>
          <w:szCs w:val="30"/>
        </w:rPr>
        <w:t>:</w:t>
      </w:r>
      <w:r>
        <w:rPr>
          <w:rFonts w:hint="eastAsia" w:asciiTheme="majorEastAsia" w:hAnsiTheme="majorEastAsia" w:eastAsiaTheme="majorEastAsia"/>
          <w:sz w:val="30"/>
          <w:szCs w:val="30"/>
        </w:rPr>
        <w:t>组建农业保险服务中心、开展了粮食作物和大宗种养类产业保险业务试点工作、开展县农村产权交易中心配合市农村产权交易中心有关业务。在规范提升电子商务公司的基础上，继续发展原村土布、蕊源蜂业、大河道大枣专业合作社网上销售和连锁经营新思路，推进我县农副产品网上、线下产品销售。</w:t>
      </w:r>
    </w:p>
    <w:p>
      <w:pPr>
        <w:spacing w:line="500" w:lineRule="exact"/>
        <w:ind w:firstLine="600" w:firstLineChars="200"/>
        <w:jc w:val="left"/>
        <w:rPr>
          <w:rFonts w:asciiTheme="majorEastAsia" w:hAnsiTheme="majorEastAsia" w:eastAsiaTheme="majorEastAsia"/>
          <w:sz w:val="30"/>
          <w:szCs w:val="30"/>
        </w:rPr>
      </w:pPr>
      <w:r>
        <w:rPr>
          <w:rFonts w:asciiTheme="majorEastAsia" w:hAnsiTheme="majorEastAsia" w:eastAsiaTheme="majorEastAsia"/>
          <w:sz w:val="30"/>
          <w:szCs w:val="30"/>
        </w:rPr>
        <w:t>3</w:t>
      </w:r>
      <w:r>
        <w:rPr>
          <w:rFonts w:hint="eastAsia" w:asciiTheme="majorEastAsia" w:hAnsiTheme="majorEastAsia" w:eastAsiaTheme="majorEastAsia"/>
          <w:sz w:val="30"/>
          <w:szCs w:val="30"/>
        </w:rPr>
        <w:t>、物资储备管理方面</w:t>
      </w:r>
    </w:p>
    <w:p>
      <w:pPr>
        <w:spacing w:line="500" w:lineRule="exact"/>
        <w:ind w:firstLine="600" w:firstLineChars="200"/>
        <w:jc w:val="left"/>
        <w:rPr>
          <w:rFonts w:asciiTheme="majorEastAsia" w:hAnsiTheme="majorEastAsia" w:eastAsiaTheme="majorEastAsia"/>
          <w:sz w:val="30"/>
          <w:szCs w:val="30"/>
        </w:rPr>
      </w:pPr>
      <w:r>
        <w:rPr>
          <w:rFonts w:hint="eastAsia" w:asciiTheme="majorEastAsia" w:hAnsiTheme="majorEastAsia" w:eastAsiaTheme="majorEastAsia"/>
          <w:sz w:val="30"/>
          <w:szCs w:val="30"/>
        </w:rPr>
        <w:t>绩效目标：负责重要物资的储备工作。调节商品供求关系，稳定物价、保障市场供应、保证防汛救灾的需要、增强政府对市场的宏观调控能力。</w:t>
      </w:r>
    </w:p>
    <w:p>
      <w:pPr>
        <w:spacing w:line="500" w:lineRule="exact"/>
        <w:ind w:firstLine="600" w:firstLineChars="200"/>
        <w:jc w:val="left"/>
        <w:rPr>
          <w:rFonts w:asciiTheme="majorEastAsia" w:hAnsiTheme="majorEastAsia" w:eastAsiaTheme="majorEastAsia"/>
          <w:sz w:val="30"/>
          <w:szCs w:val="30"/>
        </w:rPr>
      </w:pPr>
      <w:r>
        <w:rPr>
          <w:rFonts w:hint="eastAsia" w:asciiTheme="majorEastAsia" w:hAnsiTheme="majorEastAsia" w:eastAsiaTheme="majorEastAsia"/>
          <w:sz w:val="30"/>
          <w:szCs w:val="30"/>
        </w:rPr>
        <w:t>绩效指标</w:t>
      </w:r>
      <w:r>
        <w:rPr>
          <w:rFonts w:asciiTheme="majorEastAsia" w:hAnsiTheme="majorEastAsia" w:eastAsiaTheme="majorEastAsia"/>
          <w:sz w:val="30"/>
          <w:szCs w:val="30"/>
        </w:rPr>
        <w:t>:</w:t>
      </w:r>
      <w:r>
        <w:rPr>
          <w:rFonts w:hint="eastAsia" w:asciiTheme="majorEastAsia" w:hAnsiTheme="majorEastAsia" w:eastAsiaTheme="majorEastAsia"/>
          <w:sz w:val="30"/>
          <w:szCs w:val="30"/>
        </w:rPr>
        <w:t>充分发挥供销社在流通领域的应急调控作。储备计划完成率</w:t>
      </w:r>
      <w:r>
        <w:rPr>
          <w:rFonts w:asciiTheme="majorEastAsia" w:hAnsiTheme="majorEastAsia" w:eastAsiaTheme="majorEastAsia"/>
          <w:sz w:val="30"/>
          <w:szCs w:val="30"/>
        </w:rPr>
        <w:t>≥95%</w:t>
      </w:r>
      <w:r>
        <w:rPr>
          <w:rFonts w:hint="eastAsia" w:asciiTheme="majorEastAsia" w:hAnsiTheme="majorEastAsia" w:eastAsiaTheme="majorEastAsia"/>
          <w:sz w:val="30"/>
          <w:szCs w:val="30"/>
        </w:rPr>
        <w:t>。安排、组织代储企业依据储备计划及时足额、保质保量做好储备商品的收储、轮换等工作，质量良好率</w:t>
      </w:r>
      <w:r>
        <w:rPr>
          <w:rFonts w:asciiTheme="majorEastAsia" w:hAnsiTheme="majorEastAsia" w:eastAsiaTheme="majorEastAsia"/>
          <w:sz w:val="30"/>
          <w:szCs w:val="30"/>
        </w:rPr>
        <w:t>≥95%</w:t>
      </w:r>
      <w:r>
        <w:rPr>
          <w:rFonts w:hint="eastAsia" w:asciiTheme="majorEastAsia" w:hAnsiTheme="majorEastAsia" w:eastAsiaTheme="majorEastAsia"/>
          <w:sz w:val="30"/>
          <w:szCs w:val="30"/>
        </w:rPr>
        <w:t>。</w:t>
      </w:r>
    </w:p>
    <w:p>
      <w:pPr>
        <w:spacing w:line="500" w:lineRule="exact"/>
        <w:ind w:firstLine="600" w:firstLineChars="200"/>
        <w:jc w:val="left"/>
        <w:rPr>
          <w:rFonts w:asciiTheme="majorEastAsia" w:hAnsiTheme="majorEastAsia" w:eastAsiaTheme="majorEastAsia"/>
          <w:sz w:val="30"/>
          <w:szCs w:val="30"/>
        </w:rPr>
      </w:pPr>
      <w:r>
        <w:rPr>
          <w:rFonts w:asciiTheme="majorEastAsia" w:hAnsiTheme="majorEastAsia" w:eastAsiaTheme="majorEastAsia"/>
          <w:sz w:val="30"/>
          <w:szCs w:val="30"/>
        </w:rPr>
        <w:t>4</w:t>
      </w:r>
      <w:r>
        <w:rPr>
          <w:rFonts w:hint="eastAsia" w:asciiTheme="majorEastAsia" w:hAnsiTheme="majorEastAsia" w:eastAsiaTheme="majorEastAsia"/>
          <w:sz w:val="30"/>
          <w:szCs w:val="30"/>
        </w:rPr>
        <w:t>、盐务管理方面</w:t>
      </w:r>
    </w:p>
    <w:p>
      <w:pPr>
        <w:spacing w:line="500" w:lineRule="exact"/>
        <w:ind w:firstLine="600" w:firstLineChars="200"/>
        <w:jc w:val="left"/>
        <w:rPr>
          <w:rFonts w:asciiTheme="majorEastAsia" w:hAnsiTheme="majorEastAsia" w:eastAsiaTheme="majorEastAsia"/>
          <w:sz w:val="30"/>
          <w:szCs w:val="30"/>
        </w:rPr>
      </w:pPr>
      <w:r>
        <w:rPr>
          <w:rFonts w:hint="eastAsia" w:asciiTheme="majorEastAsia" w:hAnsiTheme="majorEastAsia" w:eastAsiaTheme="majorEastAsia"/>
          <w:sz w:val="30"/>
          <w:szCs w:val="30"/>
        </w:rPr>
        <w:t>年度绩效目标：组织开展全县盐业行政执法活动，打击盐业违法行为。组织开展全县盐业行政执法活动，打击盐业违法行为，查处重大盐业违法案件。规范盐业行政执法案件程序和执法案卷；追究执法过错责任，纠正违法执法行为；盐业企业体制改革工作。</w:t>
      </w:r>
    </w:p>
    <w:p>
      <w:pPr>
        <w:spacing w:line="500" w:lineRule="exact"/>
        <w:ind w:firstLine="600" w:firstLineChars="200"/>
        <w:jc w:val="left"/>
        <w:rPr>
          <w:rFonts w:asciiTheme="majorEastAsia" w:hAnsiTheme="majorEastAsia" w:eastAsiaTheme="majorEastAsia"/>
          <w:sz w:val="30"/>
          <w:szCs w:val="30"/>
        </w:rPr>
      </w:pPr>
      <w:r>
        <w:rPr>
          <w:rFonts w:hint="eastAsia" w:asciiTheme="majorEastAsia" w:hAnsiTheme="majorEastAsia" w:eastAsiaTheme="majorEastAsia"/>
          <w:sz w:val="30"/>
          <w:szCs w:val="30"/>
        </w:rPr>
        <w:t>绩效指标</w:t>
      </w:r>
      <w:r>
        <w:rPr>
          <w:rFonts w:asciiTheme="majorEastAsia" w:hAnsiTheme="majorEastAsia" w:eastAsiaTheme="majorEastAsia"/>
          <w:sz w:val="30"/>
          <w:szCs w:val="30"/>
        </w:rPr>
        <w:t>:</w:t>
      </w:r>
      <w:r>
        <w:rPr>
          <w:rFonts w:hint="eastAsia" w:asciiTheme="majorEastAsia" w:hAnsiTheme="majorEastAsia" w:eastAsiaTheme="majorEastAsia"/>
          <w:sz w:val="30"/>
          <w:szCs w:val="30"/>
        </w:rPr>
        <w:t>保障食盐在生产、流通环节的安，食盐产品合格率</w:t>
      </w:r>
      <w:r>
        <w:rPr>
          <w:rFonts w:asciiTheme="majorEastAsia" w:hAnsiTheme="majorEastAsia" w:eastAsiaTheme="majorEastAsia"/>
          <w:sz w:val="30"/>
          <w:szCs w:val="30"/>
        </w:rPr>
        <w:t>≥95%</w:t>
      </w:r>
      <w:r>
        <w:rPr>
          <w:rFonts w:hint="eastAsia" w:asciiTheme="majorEastAsia" w:hAnsiTheme="majorEastAsia" w:eastAsiaTheme="majorEastAsia"/>
          <w:sz w:val="30"/>
          <w:szCs w:val="30"/>
        </w:rPr>
        <w:t>。使全县盐业违法行为得到有效打击和遏制，实现食盐安全生产和流通，增强企业的竞争力。</w:t>
      </w:r>
    </w:p>
    <w:p>
      <w:pPr>
        <w:ind w:firstLine="301" w:firstLineChars="100"/>
        <w:jc w:val="left"/>
        <w:rPr>
          <w:rFonts w:asciiTheme="majorEastAsia" w:hAnsiTheme="majorEastAsia" w:eastAsiaTheme="majorEastAsia"/>
          <w:b/>
          <w:sz w:val="30"/>
          <w:szCs w:val="30"/>
        </w:rPr>
      </w:pPr>
      <w:r>
        <w:rPr>
          <w:rFonts w:hint="eastAsia" w:asciiTheme="majorEastAsia" w:hAnsiTheme="majorEastAsia" w:eastAsiaTheme="majorEastAsia"/>
          <w:b/>
          <w:sz w:val="30"/>
          <w:szCs w:val="30"/>
        </w:rPr>
        <w:t>（三）工作保障措施</w:t>
      </w:r>
    </w:p>
    <w:p>
      <w:pPr>
        <w:ind w:firstLine="900" w:firstLineChars="300"/>
        <w:jc w:val="left"/>
        <w:rPr>
          <w:rFonts w:asciiTheme="majorEastAsia" w:hAnsiTheme="majorEastAsia" w:eastAsiaTheme="majorEastAsia"/>
          <w:sz w:val="30"/>
          <w:szCs w:val="30"/>
        </w:rPr>
      </w:pPr>
      <w:r>
        <w:rPr>
          <w:rFonts w:asciiTheme="majorEastAsia" w:hAnsiTheme="majorEastAsia" w:eastAsiaTheme="majorEastAsia"/>
          <w:sz w:val="30"/>
          <w:szCs w:val="30"/>
        </w:rPr>
        <w:t>1</w:t>
      </w:r>
      <w:r>
        <w:rPr>
          <w:rFonts w:hint="eastAsia" w:asciiTheme="majorEastAsia" w:hAnsiTheme="majorEastAsia" w:eastAsiaTheme="majorEastAsia"/>
          <w:sz w:val="30"/>
          <w:szCs w:val="30"/>
        </w:rPr>
        <w:t>、组织体系建设。完成现代服务网络体系</w:t>
      </w:r>
      <w:r>
        <w:rPr>
          <w:rFonts w:asciiTheme="majorEastAsia" w:hAnsiTheme="majorEastAsia" w:eastAsiaTheme="majorEastAsia"/>
          <w:sz w:val="30"/>
          <w:szCs w:val="30"/>
        </w:rPr>
        <w:t>+</w:t>
      </w:r>
      <w:r>
        <w:rPr>
          <w:rFonts w:hint="eastAsia" w:asciiTheme="majorEastAsia" w:hAnsiTheme="majorEastAsia" w:eastAsiaTheme="majorEastAsia"/>
          <w:sz w:val="30"/>
          <w:szCs w:val="30"/>
        </w:rPr>
        <w:t>合作社联合社体系</w:t>
      </w:r>
      <w:r>
        <w:rPr>
          <w:rFonts w:asciiTheme="majorEastAsia" w:hAnsiTheme="majorEastAsia" w:eastAsiaTheme="majorEastAsia"/>
          <w:sz w:val="30"/>
          <w:szCs w:val="30"/>
        </w:rPr>
        <w:t>+</w:t>
      </w:r>
      <w:r>
        <w:rPr>
          <w:rFonts w:hint="eastAsia" w:asciiTheme="majorEastAsia" w:hAnsiTheme="majorEastAsia" w:eastAsiaTheme="majorEastAsia"/>
          <w:sz w:val="30"/>
          <w:szCs w:val="30"/>
        </w:rPr>
        <w:t>农村合作金融体系组织架构；创建以县社为主导，农民合作经济组织为基础，农村合作金融、小额贷款、农信担保、农业保险、农村产权交易等为支撑的涉农金融服务体系。</w:t>
      </w:r>
    </w:p>
    <w:p>
      <w:pPr>
        <w:ind w:firstLine="600" w:firstLineChars="200"/>
        <w:jc w:val="left"/>
        <w:rPr>
          <w:rFonts w:asciiTheme="majorEastAsia" w:hAnsiTheme="majorEastAsia" w:eastAsiaTheme="majorEastAsia"/>
          <w:sz w:val="30"/>
          <w:szCs w:val="30"/>
        </w:rPr>
      </w:pPr>
      <w:r>
        <w:rPr>
          <w:rFonts w:asciiTheme="majorEastAsia" w:hAnsiTheme="majorEastAsia" w:eastAsiaTheme="majorEastAsia"/>
          <w:sz w:val="30"/>
          <w:szCs w:val="30"/>
        </w:rPr>
        <w:t>2</w:t>
      </w:r>
      <w:r>
        <w:rPr>
          <w:rFonts w:hint="eastAsia" w:asciiTheme="majorEastAsia" w:hAnsiTheme="majorEastAsia" w:eastAsiaTheme="majorEastAsia"/>
          <w:sz w:val="30"/>
          <w:szCs w:val="30"/>
        </w:rPr>
        <w:t>、服务体系建设。依托新型基层社、农民专业合作社、农资公司、放心农资超市等探索土地流转、大田农业托管服务；整合全县农机行业资源，组建县农机合作社、农机金融租赁公司；选择</w:t>
      </w:r>
      <w:r>
        <w:rPr>
          <w:rFonts w:asciiTheme="majorEastAsia" w:hAnsiTheme="majorEastAsia" w:eastAsiaTheme="majorEastAsia"/>
          <w:sz w:val="30"/>
          <w:szCs w:val="30"/>
        </w:rPr>
        <w:t>2</w:t>
      </w:r>
      <w:r>
        <w:rPr>
          <w:rFonts w:hint="eastAsia" w:asciiTheme="majorEastAsia" w:hAnsiTheme="majorEastAsia" w:eastAsiaTheme="majorEastAsia"/>
          <w:sz w:val="30"/>
          <w:szCs w:val="30"/>
        </w:rPr>
        <w:t>个乡镇建立社区综合服务中心和综合服务社；开展对电子商务、专业社和再生资源回收人员技能技术培训。</w:t>
      </w:r>
    </w:p>
    <w:p>
      <w:pPr>
        <w:ind w:firstLine="300" w:firstLineChars="100"/>
        <w:jc w:val="left"/>
        <w:rPr>
          <w:rFonts w:asciiTheme="majorEastAsia" w:hAnsiTheme="majorEastAsia" w:eastAsiaTheme="majorEastAsia"/>
          <w:sz w:val="30"/>
          <w:szCs w:val="30"/>
        </w:rPr>
      </w:pPr>
      <w:r>
        <w:rPr>
          <w:rFonts w:asciiTheme="majorEastAsia" w:hAnsiTheme="majorEastAsia" w:eastAsiaTheme="majorEastAsia"/>
          <w:sz w:val="30"/>
          <w:szCs w:val="30"/>
        </w:rPr>
        <w:t xml:space="preserve">  3</w:t>
      </w:r>
      <w:r>
        <w:rPr>
          <w:rFonts w:hint="eastAsia" w:asciiTheme="majorEastAsia" w:hAnsiTheme="majorEastAsia" w:eastAsiaTheme="majorEastAsia"/>
          <w:sz w:val="30"/>
          <w:szCs w:val="30"/>
        </w:rPr>
        <w:t>、经营体系建设。在我社两家电子商务公司的基础上，发展原村土布、蕊源蜂业、大河道大枣专业合作社网上销售和连锁经营新思路，推进我县农副产品网上、线下产品销售；规范乡村供销超市</w:t>
      </w:r>
      <w:r>
        <w:rPr>
          <w:rFonts w:asciiTheme="majorEastAsia" w:hAnsiTheme="majorEastAsia" w:eastAsiaTheme="majorEastAsia"/>
          <w:sz w:val="30"/>
          <w:szCs w:val="30"/>
        </w:rPr>
        <w:t>3</w:t>
      </w:r>
      <w:r>
        <w:rPr>
          <w:rFonts w:hint="eastAsia" w:asciiTheme="majorEastAsia" w:hAnsiTheme="majorEastAsia" w:eastAsiaTheme="majorEastAsia"/>
          <w:sz w:val="30"/>
          <w:szCs w:val="30"/>
        </w:rPr>
        <w:t>家，日用品、农资、农副产品等配送中心一家；依托石家庄农资公司重建县农资公司，大力推进放心农资超市、农资综合服务站和庄稼医院建设；加强与农业科技部门合作，开展农业技术、测土施肥等服务；完成食盐销售任务，搞好食盐战略储备，加强食盐统一配送力量，加大稽查力度，有效打击私盐，年底在各类超市和便利店设立食盐产品专柜，构建市场有序、食用安全的盐业购销现代流通网络。</w:t>
      </w:r>
    </w:p>
    <w:p>
      <w:pPr>
        <w:ind w:firstLine="300" w:firstLineChars="100"/>
        <w:jc w:val="left"/>
        <w:rPr>
          <w:rFonts w:asciiTheme="majorEastAsia" w:hAnsiTheme="majorEastAsia" w:eastAsiaTheme="majorEastAsia"/>
          <w:sz w:val="30"/>
          <w:szCs w:val="30"/>
        </w:rPr>
      </w:pPr>
      <w:r>
        <w:rPr>
          <w:rFonts w:asciiTheme="majorEastAsia" w:hAnsiTheme="majorEastAsia" w:eastAsiaTheme="majorEastAsia"/>
          <w:sz w:val="30"/>
          <w:szCs w:val="30"/>
        </w:rPr>
        <w:t xml:space="preserve">   4</w:t>
      </w:r>
      <w:r>
        <w:rPr>
          <w:rFonts w:hint="eastAsia" w:asciiTheme="majorEastAsia" w:hAnsiTheme="majorEastAsia" w:eastAsiaTheme="majorEastAsia"/>
          <w:sz w:val="30"/>
          <w:szCs w:val="30"/>
        </w:rPr>
        <w:t>、金融体系建设。做好县、乡范围内的农村产权流转交易组织服务工作，提供农村产权交易信息，协助市级服务平台组织跨区域农村产权交易；积极对接市新合作农业保险服务中心，围绕粮食作物、大宗种养类产业和特色产业，创新农业保险产品服务，稳步开展农业合作保险，有效分散农业灾害风险；组织指导基层供销社及农民专业合作社，在理清管理职责、完善相关配套制度的前提下，自愿、依法组建农村金融合作组织，开展合作金融业务；对接省级小额贷款公司、省新合作投资担保公司，积极配合、推荐相关业务，开展面向农民及农民合作社及其它新型农业经营主体的小额贷款业务。</w:t>
      </w:r>
    </w:p>
    <w:p>
      <w:pPr>
        <w:jc w:val="left"/>
        <w:rPr>
          <w:rFonts w:asciiTheme="majorEastAsia" w:hAnsiTheme="majorEastAsia" w:eastAsiaTheme="majorEastAsia"/>
          <w:b/>
          <w:sz w:val="30"/>
          <w:szCs w:val="30"/>
        </w:rPr>
      </w:pPr>
    </w:p>
    <w:p>
      <w:pPr>
        <w:jc w:val="left"/>
        <w:rPr>
          <w:rFonts w:asciiTheme="majorEastAsia" w:hAnsiTheme="majorEastAsia" w:eastAsiaTheme="majorEastAsia"/>
          <w:b/>
          <w:sz w:val="30"/>
          <w:szCs w:val="30"/>
        </w:rPr>
      </w:pPr>
      <w:r>
        <w:rPr>
          <w:rFonts w:hint="eastAsia" w:asciiTheme="majorEastAsia" w:hAnsiTheme="majorEastAsia" w:eastAsiaTheme="majorEastAsia"/>
          <w:b/>
          <w:sz w:val="30"/>
          <w:szCs w:val="30"/>
        </w:rPr>
        <w:t>第二部分</w:t>
      </w:r>
      <w:r>
        <w:rPr>
          <w:rFonts w:asciiTheme="majorEastAsia" w:hAnsiTheme="majorEastAsia" w:eastAsiaTheme="majorEastAsia"/>
          <w:b/>
          <w:sz w:val="30"/>
          <w:szCs w:val="30"/>
        </w:rPr>
        <w:t xml:space="preserve"> </w:t>
      </w:r>
      <w:r>
        <w:rPr>
          <w:rFonts w:hint="eastAsia" w:asciiTheme="majorEastAsia" w:hAnsiTheme="majorEastAsia" w:eastAsiaTheme="majorEastAsia"/>
          <w:b/>
          <w:sz w:val="30"/>
          <w:szCs w:val="30"/>
        </w:rPr>
        <w:t>预算项目绩效目标</w:t>
      </w:r>
    </w:p>
    <w:p>
      <w:pPr>
        <w:ind w:firstLine="300" w:firstLineChars="100"/>
        <w:rPr>
          <w:rFonts w:asciiTheme="majorEastAsia" w:hAnsiTheme="majorEastAsia" w:eastAsiaTheme="majorEastAsia"/>
          <w:sz w:val="30"/>
          <w:szCs w:val="30"/>
        </w:rPr>
        <w:sectPr>
          <w:headerReference r:id="rId3" w:type="default"/>
          <w:pgSz w:w="11906" w:h="16838"/>
          <w:pgMar w:top="1440" w:right="1758" w:bottom="1134" w:left="1758" w:header="851" w:footer="992" w:gutter="0"/>
          <w:cols w:space="425" w:num="1"/>
          <w:docGrid w:type="lines" w:linePitch="312" w:charSpace="0"/>
        </w:sectPr>
      </w:pPr>
      <w:r>
        <w:rPr>
          <w:rFonts w:asciiTheme="majorEastAsia" w:hAnsiTheme="majorEastAsia" w:eastAsiaTheme="majorEastAsia"/>
          <w:sz w:val="30"/>
          <w:szCs w:val="30"/>
        </w:rPr>
        <w:t>202</w:t>
      </w:r>
      <w:r>
        <w:rPr>
          <w:rFonts w:hint="eastAsia" w:asciiTheme="majorEastAsia" w:hAnsiTheme="majorEastAsia" w:eastAsiaTheme="majorEastAsia"/>
          <w:sz w:val="30"/>
          <w:szCs w:val="30"/>
        </w:rPr>
        <w:t>3年度我部门未安排项目预算，项目预算金额为</w:t>
      </w:r>
      <w:r>
        <w:rPr>
          <w:rFonts w:asciiTheme="majorEastAsia" w:hAnsiTheme="majorEastAsia" w:eastAsiaTheme="majorEastAsia"/>
          <w:sz w:val="30"/>
          <w:szCs w:val="30"/>
        </w:rPr>
        <w:t>0</w:t>
      </w:r>
      <w:r>
        <w:rPr>
          <w:rFonts w:hint="eastAsia" w:asciiTheme="majorEastAsia" w:hAnsiTheme="majorEastAsia" w:eastAsiaTheme="majorEastAsia"/>
          <w:sz w:val="30"/>
          <w:szCs w:val="30"/>
        </w:rPr>
        <w:t>万元。</w:t>
      </w:r>
    </w:p>
    <w:p>
      <w:pPr>
        <w:ind w:firstLine="800" w:firstLineChars="250"/>
        <w:rPr>
          <w:rFonts w:asciiTheme="majorEastAsia" w:hAnsiTheme="majorEastAsia" w:eastAsiaTheme="majorEastAsia"/>
          <w:b/>
          <w:bCs/>
          <w:sz w:val="32"/>
          <w:szCs w:val="32"/>
        </w:rPr>
      </w:pPr>
      <w:r>
        <w:rPr>
          <w:rFonts w:hint="eastAsia" w:asciiTheme="majorEastAsia" w:hAnsiTheme="majorEastAsia" w:eastAsiaTheme="majorEastAsia"/>
          <w:b/>
          <w:bCs/>
          <w:sz w:val="32"/>
          <w:szCs w:val="32"/>
        </w:rPr>
        <w:t>六、政府采购预算情况</w:t>
      </w:r>
    </w:p>
    <w:p>
      <w:pPr>
        <w:ind w:firstLine="800" w:firstLineChars="250"/>
        <w:rPr>
          <w:rFonts w:asciiTheme="majorEastAsia" w:hAnsiTheme="majorEastAsia" w:eastAsiaTheme="majorEastAsia"/>
          <w:sz w:val="32"/>
          <w:szCs w:val="32"/>
        </w:rPr>
      </w:pPr>
      <w:r>
        <w:rPr>
          <w:rFonts w:asciiTheme="majorEastAsia" w:hAnsiTheme="majorEastAsia" w:eastAsiaTheme="majorEastAsia"/>
          <w:sz w:val="32"/>
          <w:szCs w:val="32"/>
        </w:rPr>
        <w:t>202</w:t>
      </w:r>
      <w:r>
        <w:rPr>
          <w:rFonts w:hint="eastAsia" w:asciiTheme="majorEastAsia" w:hAnsiTheme="majorEastAsia" w:eastAsiaTheme="majorEastAsia"/>
          <w:sz w:val="32"/>
          <w:szCs w:val="32"/>
        </w:rPr>
        <w:t>3年我部门没有安排政府采购预算，政府采购预算金额为</w:t>
      </w:r>
      <w:r>
        <w:rPr>
          <w:rFonts w:asciiTheme="majorEastAsia" w:hAnsiTheme="majorEastAsia" w:eastAsiaTheme="majorEastAsia"/>
          <w:sz w:val="32"/>
          <w:szCs w:val="32"/>
        </w:rPr>
        <w:t>0</w:t>
      </w:r>
      <w:r>
        <w:rPr>
          <w:rFonts w:hint="eastAsia" w:asciiTheme="majorEastAsia" w:hAnsiTheme="majorEastAsia" w:eastAsiaTheme="majorEastAsia"/>
          <w:sz w:val="32"/>
          <w:szCs w:val="32"/>
        </w:rPr>
        <w:t>万元。</w:t>
      </w:r>
    </w:p>
    <w:p>
      <w:pPr>
        <w:spacing w:line="540" w:lineRule="exact"/>
        <w:jc w:val="center"/>
        <w:outlineLvl w:val="0"/>
        <w:rPr>
          <w:rFonts w:asciiTheme="majorEastAsia" w:hAnsiTheme="majorEastAsia" w:eastAsiaTheme="majorEastAsia"/>
          <w:sz w:val="32"/>
        </w:rPr>
      </w:pPr>
      <w:r>
        <w:rPr>
          <w:rFonts w:hint="eastAsia" w:asciiTheme="majorEastAsia" w:hAnsiTheme="majorEastAsia" w:eastAsiaTheme="majorEastAsia"/>
          <w:sz w:val="32"/>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vAlign w:val="center"/>
          </w:tcPr>
          <w:p>
            <w:pPr>
              <w:spacing w:line="300" w:lineRule="exact"/>
              <w:jc w:val="left"/>
              <w:rPr>
                <w:rFonts w:asciiTheme="majorEastAsia" w:hAnsiTheme="majorEastAsia" w:eastAsiaTheme="majorEastAsia"/>
                <w:sz w:val="24"/>
              </w:rPr>
            </w:pPr>
            <w:r>
              <w:rPr>
                <w:rFonts w:asciiTheme="majorEastAsia" w:hAnsiTheme="majorEastAsia" w:eastAsiaTheme="majorEastAsia"/>
                <w:sz w:val="24"/>
              </w:rPr>
              <w:t>975</w:t>
            </w:r>
            <w:r>
              <w:rPr>
                <w:rFonts w:hint="eastAsia" w:asciiTheme="majorEastAsia" w:hAnsiTheme="majorEastAsia" w:eastAsiaTheme="majorEastAsia"/>
                <w:sz w:val="24"/>
              </w:rPr>
              <w:t>赞皇县供销社</w:t>
            </w:r>
          </w:p>
        </w:tc>
        <w:tc>
          <w:tcPr>
            <w:tcW w:w="6693" w:type="dxa"/>
            <w:gridSpan w:val="7"/>
            <w:tcBorders>
              <w:top w:val="single" w:color="FFFFFF" w:sz="6" w:space="0"/>
              <w:left w:val="single" w:color="FFFFFF" w:sz="6" w:space="0"/>
              <w:right w:val="single" w:color="FFFFFF" w:sz="6" w:space="0"/>
            </w:tcBorders>
            <w:vAlign w:val="center"/>
          </w:tcPr>
          <w:p>
            <w:pPr>
              <w:spacing w:line="300" w:lineRule="exact"/>
              <w:jc w:val="right"/>
              <w:rPr>
                <w:rFonts w:asciiTheme="majorEastAsia" w:hAnsiTheme="majorEastAsia" w:eastAsiaTheme="majorEastAsia"/>
                <w:sz w:val="24"/>
              </w:rPr>
            </w:pPr>
            <w:r>
              <w:rPr>
                <w:rFonts w:hint="eastAsia" w:asciiTheme="majorEastAsia" w:hAnsiTheme="majorEastAsia" w:eastAsiaTheme="majorEastAsia"/>
                <w:sz w:val="24"/>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47" w:type="dxa"/>
            <w:gridSpan w:val="2"/>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政府采购项目来源</w:t>
            </w:r>
          </w:p>
        </w:tc>
        <w:tc>
          <w:tcPr>
            <w:tcW w:w="974"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采购物品名称</w:t>
            </w:r>
          </w:p>
        </w:tc>
        <w:tc>
          <w:tcPr>
            <w:tcW w:w="986"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政府采购目录序号</w:t>
            </w:r>
          </w:p>
        </w:tc>
        <w:tc>
          <w:tcPr>
            <w:tcW w:w="760"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数量</w:t>
            </w:r>
            <w:r>
              <w:rPr>
                <w:rFonts w:asciiTheme="majorEastAsia" w:hAnsiTheme="majorEastAsia" w:eastAsiaTheme="majorEastAsia"/>
                <w:b/>
              </w:rPr>
              <w:t xml:space="preserve">  </w:t>
            </w:r>
            <w:r>
              <w:rPr>
                <w:rFonts w:hint="eastAsia" w:asciiTheme="majorEastAsia" w:hAnsiTheme="majorEastAsia" w:eastAsiaTheme="majorEastAsia"/>
                <w:b/>
              </w:rPr>
              <w:t>部门</w:t>
            </w:r>
          </w:p>
        </w:tc>
        <w:tc>
          <w:tcPr>
            <w:tcW w:w="760"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数量</w:t>
            </w:r>
          </w:p>
        </w:tc>
        <w:tc>
          <w:tcPr>
            <w:tcW w:w="848"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单价</w:t>
            </w:r>
          </w:p>
        </w:tc>
        <w:tc>
          <w:tcPr>
            <w:tcW w:w="6693" w:type="dxa"/>
            <w:gridSpan w:val="7"/>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项目名称</w:t>
            </w:r>
          </w:p>
        </w:tc>
        <w:tc>
          <w:tcPr>
            <w:tcW w:w="1099"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预算资金</w:t>
            </w:r>
          </w:p>
        </w:tc>
        <w:tc>
          <w:tcPr>
            <w:tcW w:w="974" w:type="dxa"/>
            <w:vMerge w:val="continue"/>
            <w:vAlign w:val="center"/>
          </w:tcPr>
          <w:p>
            <w:pPr>
              <w:widowControl/>
              <w:jc w:val="left"/>
              <w:rPr>
                <w:rFonts w:asciiTheme="majorEastAsia" w:hAnsiTheme="majorEastAsia" w:eastAsiaTheme="majorEastAsia"/>
                <w:b/>
              </w:rPr>
            </w:pPr>
          </w:p>
        </w:tc>
        <w:tc>
          <w:tcPr>
            <w:tcW w:w="986" w:type="dxa"/>
            <w:vMerge w:val="continue"/>
            <w:vAlign w:val="center"/>
          </w:tcPr>
          <w:p>
            <w:pPr>
              <w:widowControl/>
              <w:jc w:val="left"/>
              <w:rPr>
                <w:rFonts w:asciiTheme="majorEastAsia" w:hAnsiTheme="majorEastAsia" w:eastAsiaTheme="majorEastAsia"/>
                <w:b/>
              </w:rPr>
            </w:pPr>
          </w:p>
        </w:tc>
        <w:tc>
          <w:tcPr>
            <w:tcW w:w="760" w:type="dxa"/>
            <w:vMerge w:val="continue"/>
            <w:vAlign w:val="center"/>
          </w:tcPr>
          <w:p>
            <w:pPr>
              <w:widowControl/>
              <w:jc w:val="left"/>
              <w:rPr>
                <w:rFonts w:asciiTheme="majorEastAsia" w:hAnsiTheme="majorEastAsia" w:eastAsiaTheme="majorEastAsia"/>
                <w:b/>
              </w:rPr>
            </w:pPr>
          </w:p>
        </w:tc>
        <w:tc>
          <w:tcPr>
            <w:tcW w:w="760" w:type="dxa"/>
            <w:vMerge w:val="continue"/>
            <w:vAlign w:val="center"/>
          </w:tcPr>
          <w:p>
            <w:pPr>
              <w:widowControl/>
              <w:jc w:val="left"/>
              <w:rPr>
                <w:rFonts w:asciiTheme="majorEastAsia" w:hAnsiTheme="majorEastAsia" w:eastAsiaTheme="majorEastAsia"/>
                <w:b/>
              </w:rPr>
            </w:pPr>
          </w:p>
        </w:tc>
        <w:tc>
          <w:tcPr>
            <w:tcW w:w="848" w:type="dxa"/>
            <w:vMerge w:val="continue"/>
            <w:vAlign w:val="center"/>
          </w:tcPr>
          <w:p>
            <w:pPr>
              <w:widowControl/>
              <w:jc w:val="left"/>
              <w:rPr>
                <w:rFonts w:asciiTheme="majorEastAsia" w:hAnsiTheme="majorEastAsia" w:eastAsiaTheme="majorEastAsia"/>
                <w:b/>
              </w:rPr>
            </w:pPr>
          </w:p>
        </w:tc>
        <w:tc>
          <w:tcPr>
            <w:tcW w:w="961"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总计</w:t>
            </w:r>
          </w:p>
        </w:tc>
        <w:tc>
          <w:tcPr>
            <w:tcW w:w="4811" w:type="dxa"/>
            <w:gridSpan w:val="5"/>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当年部门预算安排资金</w:t>
            </w:r>
          </w:p>
        </w:tc>
        <w:tc>
          <w:tcPr>
            <w:tcW w:w="921" w:type="dxa"/>
            <w:vMerge w:val="restart"/>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vAlign w:val="center"/>
          </w:tcPr>
          <w:p>
            <w:pPr>
              <w:widowControl/>
              <w:jc w:val="left"/>
              <w:rPr>
                <w:rFonts w:asciiTheme="majorEastAsia" w:hAnsiTheme="majorEastAsia" w:eastAsiaTheme="majorEastAsia"/>
                <w:b/>
              </w:rPr>
            </w:pPr>
          </w:p>
        </w:tc>
        <w:tc>
          <w:tcPr>
            <w:tcW w:w="1099" w:type="dxa"/>
            <w:vMerge w:val="continue"/>
            <w:vAlign w:val="center"/>
          </w:tcPr>
          <w:p>
            <w:pPr>
              <w:widowControl/>
              <w:jc w:val="left"/>
              <w:rPr>
                <w:rFonts w:asciiTheme="majorEastAsia" w:hAnsiTheme="majorEastAsia" w:eastAsiaTheme="majorEastAsia"/>
                <w:b/>
              </w:rPr>
            </w:pPr>
          </w:p>
        </w:tc>
        <w:tc>
          <w:tcPr>
            <w:tcW w:w="974" w:type="dxa"/>
            <w:vMerge w:val="continue"/>
            <w:vAlign w:val="center"/>
          </w:tcPr>
          <w:p>
            <w:pPr>
              <w:widowControl/>
              <w:jc w:val="left"/>
              <w:rPr>
                <w:rFonts w:asciiTheme="majorEastAsia" w:hAnsiTheme="majorEastAsia" w:eastAsiaTheme="majorEastAsia"/>
                <w:b/>
              </w:rPr>
            </w:pPr>
          </w:p>
        </w:tc>
        <w:tc>
          <w:tcPr>
            <w:tcW w:w="986" w:type="dxa"/>
            <w:vMerge w:val="continue"/>
            <w:vAlign w:val="center"/>
          </w:tcPr>
          <w:p>
            <w:pPr>
              <w:widowControl/>
              <w:jc w:val="left"/>
              <w:rPr>
                <w:rFonts w:asciiTheme="majorEastAsia" w:hAnsiTheme="majorEastAsia" w:eastAsiaTheme="majorEastAsia"/>
                <w:b/>
              </w:rPr>
            </w:pPr>
          </w:p>
        </w:tc>
        <w:tc>
          <w:tcPr>
            <w:tcW w:w="760" w:type="dxa"/>
            <w:vMerge w:val="continue"/>
            <w:vAlign w:val="center"/>
          </w:tcPr>
          <w:p>
            <w:pPr>
              <w:widowControl/>
              <w:jc w:val="left"/>
              <w:rPr>
                <w:rFonts w:asciiTheme="majorEastAsia" w:hAnsiTheme="majorEastAsia" w:eastAsiaTheme="majorEastAsia"/>
                <w:b/>
              </w:rPr>
            </w:pPr>
          </w:p>
        </w:tc>
        <w:tc>
          <w:tcPr>
            <w:tcW w:w="760" w:type="dxa"/>
            <w:vMerge w:val="continue"/>
            <w:vAlign w:val="center"/>
          </w:tcPr>
          <w:p>
            <w:pPr>
              <w:widowControl/>
              <w:jc w:val="left"/>
              <w:rPr>
                <w:rFonts w:asciiTheme="majorEastAsia" w:hAnsiTheme="majorEastAsia" w:eastAsiaTheme="majorEastAsia"/>
                <w:b/>
              </w:rPr>
            </w:pPr>
          </w:p>
        </w:tc>
        <w:tc>
          <w:tcPr>
            <w:tcW w:w="848" w:type="dxa"/>
            <w:vMerge w:val="continue"/>
            <w:vAlign w:val="center"/>
          </w:tcPr>
          <w:p>
            <w:pPr>
              <w:widowControl/>
              <w:jc w:val="left"/>
              <w:rPr>
                <w:rFonts w:asciiTheme="majorEastAsia" w:hAnsiTheme="majorEastAsia" w:eastAsiaTheme="majorEastAsia"/>
                <w:b/>
              </w:rPr>
            </w:pPr>
          </w:p>
        </w:tc>
        <w:tc>
          <w:tcPr>
            <w:tcW w:w="961" w:type="dxa"/>
            <w:vMerge w:val="continue"/>
            <w:vAlign w:val="center"/>
          </w:tcPr>
          <w:p>
            <w:pPr>
              <w:widowControl/>
              <w:jc w:val="left"/>
              <w:rPr>
                <w:rFonts w:asciiTheme="majorEastAsia" w:hAnsiTheme="majorEastAsia" w:eastAsiaTheme="majorEastAsia"/>
                <w:b/>
              </w:rPr>
            </w:pPr>
          </w:p>
        </w:tc>
        <w:tc>
          <w:tcPr>
            <w:tcW w:w="961" w:type="dxa"/>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合计</w:t>
            </w:r>
          </w:p>
        </w:tc>
        <w:tc>
          <w:tcPr>
            <w:tcW w:w="961" w:type="dxa"/>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一般公共预算拨款</w:t>
            </w:r>
          </w:p>
        </w:tc>
        <w:tc>
          <w:tcPr>
            <w:tcW w:w="961" w:type="dxa"/>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基金预算拨款</w:t>
            </w:r>
          </w:p>
        </w:tc>
        <w:tc>
          <w:tcPr>
            <w:tcW w:w="964" w:type="dxa"/>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财政专户核拨</w:t>
            </w:r>
          </w:p>
        </w:tc>
        <w:tc>
          <w:tcPr>
            <w:tcW w:w="964" w:type="dxa"/>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其他来源收入</w:t>
            </w:r>
          </w:p>
        </w:tc>
        <w:tc>
          <w:tcPr>
            <w:tcW w:w="921" w:type="dxa"/>
            <w:vMerge w:val="continue"/>
            <w:vAlign w:val="center"/>
          </w:tcPr>
          <w:p>
            <w:pPr>
              <w:widowControl/>
              <w:jc w:val="left"/>
              <w:rPr>
                <w:rFonts w:asciiTheme="majorEastAsia" w:hAnsiTheme="majorEastAsia" w:eastAsiaTheme="majorEastAsia"/>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Theme="majorEastAsia" w:hAnsiTheme="majorEastAsia" w:eastAsiaTheme="majorEastAsia"/>
                <w:b/>
              </w:rPr>
            </w:pPr>
            <w:r>
              <w:rPr>
                <w:rFonts w:hint="eastAsia" w:asciiTheme="majorEastAsia" w:hAnsiTheme="majorEastAsia" w:eastAsiaTheme="majorEastAsia"/>
                <w:b/>
              </w:rPr>
              <w:t>合　计</w:t>
            </w:r>
          </w:p>
        </w:tc>
        <w:tc>
          <w:tcPr>
            <w:tcW w:w="1099" w:type="dxa"/>
            <w:vAlign w:val="center"/>
          </w:tcPr>
          <w:p>
            <w:pPr>
              <w:spacing w:line="300" w:lineRule="exact"/>
              <w:jc w:val="right"/>
              <w:rPr>
                <w:rFonts w:asciiTheme="majorEastAsia" w:hAnsiTheme="majorEastAsia" w:eastAsiaTheme="majorEastAsia"/>
                <w:b/>
              </w:rPr>
            </w:pPr>
          </w:p>
        </w:tc>
        <w:tc>
          <w:tcPr>
            <w:tcW w:w="974" w:type="dxa"/>
            <w:vAlign w:val="center"/>
          </w:tcPr>
          <w:p>
            <w:pPr>
              <w:spacing w:line="300" w:lineRule="exact"/>
              <w:jc w:val="left"/>
              <w:rPr>
                <w:rFonts w:asciiTheme="majorEastAsia" w:hAnsiTheme="majorEastAsia" w:eastAsiaTheme="majorEastAsia"/>
                <w:b/>
              </w:rPr>
            </w:pPr>
          </w:p>
        </w:tc>
        <w:tc>
          <w:tcPr>
            <w:tcW w:w="986" w:type="dxa"/>
            <w:vAlign w:val="center"/>
          </w:tcPr>
          <w:p>
            <w:pPr>
              <w:spacing w:line="300" w:lineRule="exact"/>
              <w:jc w:val="left"/>
              <w:rPr>
                <w:rFonts w:asciiTheme="majorEastAsia" w:hAnsiTheme="majorEastAsia" w:eastAsiaTheme="majorEastAsia"/>
                <w:b/>
              </w:rPr>
            </w:pPr>
          </w:p>
        </w:tc>
        <w:tc>
          <w:tcPr>
            <w:tcW w:w="760" w:type="dxa"/>
            <w:vAlign w:val="center"/>
          </w:tcPr>
          <w:p>
            <w:pPr>
              <w:spacing w:line="300" w:lineRule="exact"/>
              <w:jc w:val="left"/>
              <w:rPr>
                <w:rFonts w:asciiTheme="majorEastAsia" w:hAnsiTheme="majorEastAsia" w:eastAsiaTheme="majorEastAsia"/>
                <w:b/>
              </w:rPr>
            </w:pPr>
          </w:p>
        </w:tc>
        <w:tc>
          <w:tcPr>
            <w:tcW w:w="760" w:type="dxa"/>
            <w:vAlign w:val="center"/>
          </w:tcPr>
          <w:p>
            <w:pPr>
              <w:spacing w:line="300" w:lineRule="exact"/>
              <w:jc w:val="right"/>
              <w:rPr>
                <w:rFonts w:asciiTheme="majorEastAsia" w:hAnsiTheme="majorEastAsia" w:eastAsiaTheme="majorEastAsia"/>
                <w:b/>
              </w:rPr>
            </w:pPr>
          </w:p>
        </w:tc>
        <w:tc>
          <w:tcPr>
            <w:tcW w:w="848"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4" w:type="dxa"/>
            <w:vAlign w:val="center"/>
          </w:tcPr>
          <w:p>
            <w:pPr>
              <w:spacing w:line="300" w:lineRule="exact"/>
              <w:jc w:val="right"/>
              <w:rPr>
                <w:rFonts w:asciiTheme="majorEastAsia" w:hAnsiTheme="majorEastAsia" w:eastAsiaTheme="majorEastAsia"/>
                <w:b/>
              </w:rPr>
            </w:pPr>
          </w:p>
        </w:tc>
        <w:tc>
          <w:tcPr>
            <w:tcW w:w="964" w:type="dxa"/>
            <w:vAlign w:val="center"/>
          </w:tcPr>
          <w:p>
            <w:pPr>
              <w:spacing w:line="300" w:lineRule="exact"/>
              <w:jc w:val="right"/>
              <w:rPr>
                <w:rFonts w:asciiTheme="majorEastAsia" w:hAnsiTheme="majorEastAsia" w:eastAsiaTheme="majorEastAsia"/>
                <w:b/>
              </w:rPr>
            </w:pPr>
          </w:p>
        </w:tc>
        <w:tc>
          <w:tcPr>
            <w:tcW w:w="921" w:type="dxa"/>
            <w:vAlign w:val="center"/>
          </w:tcPr>
          <w:p>
            <w:pPr>
              <w:spacing w:line="300" w:lineRule="exact"/>
              <w:jc w:val="right"/>
              <w:rPr>
                <w:rFonts w:asciiTheme="majorEastAsia" w:hAnsiTheme="majorEastAsia" w:eastAsiaTheme="majorEastAsia"/>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Theme="majorEastAsia" w:hAnsiTheme="majorEastAsia" w:eastAsiaTheme="majorEastAsia"/>
                <w:b/>
              </w:rPr>
            </w:pPr>
          </w:p>
        </w:tc>
        <w:tc>
          <w:tcPr>
            <w:tcW w:w="1099" w:type="dxa"/>
            <w:vAlign w:val="center"/>
          </w:tcPr>
          <w:p>
            <w:pPr>
              <w:spacing w:line="300" w:lineRule="exact"/>
              <w:jc w:val="right"/>
              <w:rPr>
                <w:rFonts w:asciiTheme="majorEastAsia" w:hAnsiTheme="majorEastAsia" w:eastAsiaTheme="majorEastAsia"/>
                <w:b/>
              </w:rPr>
            </w:pPr>
          </w:p>
        </w:tc>
        <w:tc>
          <w:tcPr>
            <w:tcW w:w="974" w:type="dxa"/>
            <w:vAlign w:val="center"/>
          </w:tcPr>
          <w:p>
            <w:pPr>
              <w:spacing w:line="300" w:lineRule="exact"/>
              <w:jc w:val="left"/>
              <w:rPr>
                <w:rFonts w:asciiTheme="majorEastAsia" w:hAnsiTheme="majorEastAsia" w:eastAsiaTheme="majorEastAsia"/>
                <w:b/>
              </w:rPr>
            </w:pPr>
          </w:p>
        </w:tc>
        <w:tc>
          <w:tcPr>
            <w:tcW w:w="986" w:type="dxa"/>
            <w:vAlign w:val="center"/>
          </w:tcPr>
          <w:p>
            <w:pPr>
              <w:spacing w:line="300" w:lineRule="exact"/>
              <w:jc w:val="left"/>
              <w:rPr>
                <w:rFonts w:asciiTheme="majorEastAsia" w:hAnsiTheme="majorEastAsia" w:eastAsiaTheme="majorEastAsia"/>
                <w:b/>
              </w:rPr>
            </w:pPr>
          </w:p>
        </w:tc>
        <w:tc>
          <w:tcPr>
            <w:tcW w:w="760" w:type="dxa"/>
            <w:vAlign w:val="center"/>
          </w:tcPr>
          <w:p>
            <w:pPr>
              <w:spacing w:line="300" w:lineRule="exact"/>
              <w:jc w:val="left"/>
              <w:rPr>
                <w:rFonts w:asciiTheme="majorEastAsia" w:hAnsiTheme="majorEastAsia" w:eastAsiaTheme="majorEastAsia"/>
                <w:b/>
              </w:rPr>
            </w:pPr>
          </w:p>
        </w:tc>
        <w:tc>
          <w:tcPr>
            <w:tcW w:w="760" w:type="dxa"/>
            <w:vAlign w:val="center"/>
          </w:tcPr>
          <w:p>
            <w:pPr>
              <w:spacing w:line="300" w:lineRule="exact"/>
              <w:jc w:val="right"/>
              <w:rPr>
                <w:rFonts w:asciiTheme="majorEastAsia" w:hAnsiTheme="majorEastAsia" w:eastAsiaTheme="majorEastAsia"/>
                <w:b/>
              </w:rPr>
            </w:pPr>
          </w:p>
        </w:tc>
        <w:tc>
          <w:tcPr>
            <w:tcW w:w="848"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4" w:type="dxa"/>
            <w:vAlign w:val="center"/>
          </w:tcPr>
          <w:p>
            <w:pPr>
              <w:spacing w:line="300" w:lineRule="exact"/>
              <w:jc w:val="right"/>
              <w:rPr>
                <w:rFonts w:asciiTheme="majorEastAsia" w:hAnsiTheme="majorEastAsia" w:eastAsiaTheme="majorEastAsia"/>
                <w:b/>
              </w:rPr>
            </w:pPr>
          </w:p>
        </w:tc>
        <w:tc>
          <w:tcPr>
            <w:tcW w:w="964" w:type="dxa"/>
            <w:vAlign w:val="center"/>
          </w:tcPr>
          <w:p>
            <w:pPr>
              <w:spacing w:line="300" w:lineRule="exact"/>
              <w:jc w:val="right"/>
              <w:rPr>
                <w:rFonts w:asciiTheme="majorEastAsia" w:hAnsiTheme="majorEastAsia" w:eastAsiaTheme="majorEastAsia"/>
                <w:b/>
              </w:rPr>
            </w:pPr>
          </w:p>
        </w:tc>
        <w:tc>
          <w:tcPr>
            <w:tcW w:w="921" w:type="dxa"/>
            <w:vAlign w:val="center"/>
          </w:tcPr>
          <w:p>
            <w:pPr>
              <w:spacing w:line="300" w:lineRule="exact"/>
              <w:jc w:val="right"/>
              <w:rPr>
                <w:rFonts w:asciiTheme="majorEastAsia" w:hAnsiTheme="majorEastAsia" w:eastAsiaTheme="majorEastAsia"/>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5" w:hRule="atLeast"/>
          <w:jc w:val="center"/>
        </w:trPr>
        <w:tc>
          <w:tcPr>
            <w:tcW w:w="2448" w:type="dxa"/>
            <w:vAlign w:val="center"/>
          </w:tcPr>
          <w:p>
            <w:pPr>
              <w:spacing w:line="300" w:lineRule="exact"/>
              <w:jc w:val="center"/>
              <w:rPr>
                <w:rFonts w:asciiTheme="majorEastAsia" w:hAnsiTheme="majorEastAsia" w:eastAsiaTheme="majorEastAsia"/>
              </w:rPr>
            </w:pPr>
          </w:p>
        </w:tc>
        <w:tc>
          <w:tcPr>
            <w:tcW w:w="1099" w:type="dxa"/>
            <w:vAlign w:val="center"/>
          </w:tcPr>
          <w:p>
            <w:pPr>
              <w:spacing w:line="300" w:lineRule="exact"/>
              <w:jc w:val="right"/>
              <w:rPr>
                <w:rFonts w:asciiTheme="majorEastAsia" w:hAnsiTheme="majorEastAsia" w:eastAsiaTheme="majorEastAsia"/>
              </w:rPr>
            </w:pPr>
          </w:p>
        </w:tc>
        <w:tc>
          <w:tcPr>
            <w:tcW w:w="974" w:type="dxa"/>
            <w:vAlign w:val="center"/>
          </w:tcPr>
          <w:p>
            <w:pPr>
              <w:spacing w:line="300" w:lineRule="exact"/>
              <w:jc w:val="left"/>
              <w:rPr>
                <w:rFonts w:asciiTheme="majorEastAsia" w:hAnsiTheme="majorEastAsia" w:eastAsiaTheme="majorEastAsia"/>
              </w:rPr>
            </w:pPr>
          </w:p>
        </w:tc>
        <w:tc>
          <w:tcPr>
            <w:tcW w:w="986"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right"/>
              <w:rPr>
                <w:rFonts w:asciiTheme="majorEastAsia" w:hAnsiTheme="majorEastAsia" w:eastAsiaTheme="majorEastAsia"/>
              </w:rPr>
            </w:pPr>
          </w:p>
        </w:tc>
        <w:tc>
          <w:tcPr>
            <w:tcW w:w="848"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21" w:type="dxa"/>
            <w:vAlign w:val="center"/>
          </w:tcPr>
          <w:p>
            <w:pPr>
              <w:spacing w:line="300" w:lineRule="exact"/>
              <w:jc w:val="right"/>
              <w:rPr>
                <w:rFonts w:asciiTheme="majorEastAsia" w:hAnsiTheme="majorEastAsia" w:eastAsiaTheme="maj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Theme="majorEastAsia" w:hAnsiTheme="majorEastAsia" w:eastAsiaTheme="majorEastAsia"/>
              </w:rPr>
            </w:pPr>
          </w:p>
        </w:tc>
        <w:tc>
          <w:tcPr>
            <w:tcW w:w="1099" w:type="dxa"/>
            <w:vAlign w:val="center"/>
          </w:tcPr>
          <w:p>
            <w:pPr>
              <w:spacing w:line="300" w:lineRule="exact"/>
              <w:jc w:val="right"/>
              <w:rPr>
                <w:rFonts w:asciiTheme="majorEastAsia" w:hAnsiTheme="majorEastAsia" w:eastAsiaTheme="majorEastAsia"/>
              </w:rPr>
            </w:pPr>
          </w:p>
        </w:tc>
        <w:tc>
          <w:tcPr>
            <w:tcW w:w="974" w:type="dxa"/>
            <w:vAlign w:val="center"/>
          </w:tcPr>
          <w:p>
            <w:pPr>
              <w:spacing w:line="300" w:lineRule="exact"/>
              <w:jc w:val="left"/>
              <w:rPr>
                <w:rFonts w:asciiTheme="majorEastAsia" w:hAnsiTheme="majorEastAsia" w:eastAsiaTheme="majorEastAsia"/>
              </w:rPr>
            </w:pPr>
          </w:p>
        </w:tc>
        <w:tc>
          <w:tcPr>
            <w:tcW w:w="986"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right"/>
              <w:rPr>
                <w:rFonts w:asciiTheme="majorEastAsia" w:hAnsiTheme="majorEastAsia" w:eastAsiaTheme="majorEastAsia"/>
              </w:rPr>
            </w:pPr>
          </w:p>
        </w:tc>
        <w:tc>
          <w:tcPr>
            <w:tcW w:w="848"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21" w:type="dxa"/>
            <w:vAlign w:val="center"/>
          </w:tcPr>
          <w:p>
            <w:pPr>
              <w:spacing w:line="300" w:lineRule="exact"/>
              <w:jc w:val="right"/>
              <w:rPr>
                <w:rFonts w:asciiTheme="majorEastAsia" w:hAnsiTheme="majorEastAsia" w:eastAsiaTheme="maj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Theme="majorEastAsia" w:hAnsiTheme="majorEastAsia" w:eastAsiaTheme="majorEastAsia"/>
              </w:rPr>
            </w:pPr>
          </w:p>
        </w:tc>
        <w:tc>
          <w:tcPr>
            <w:tcW w:w="1099" w:type="dxa"/>
            <w:vAlign w:val="center"/>
          </w:tcPr>
          <w:p>
            <w:pPr>
              <w:spacing w:line="300" w:lineRule="exact"/>
              <w:jc w:val="right"/>
              <w:rPr>
                <w:rFonts w:asciiTheme="majorEastAsia" w:hAnsiTheme="majorEastAsia" w:eastAsiaTheme="majorEastAsia"/>
              </w:rPr>
            </w:pPr>
          </w:p>
        </w:tc>
        <w:tc>
          <w:tcPr>
            <w:tcW w:w="974" w:type="dxa"/>
            <w:vAlign w:val="center"/>
          </w:tcPr>
          <w:p>
            <w:pPr>
              <w:spacing w:line="300" w:lineRule="exact"/>
              <w:jc w:val="left"/>
              <w:rPr>
                <w:rFonts w:asciiTheme="majorEastAsia" w:hAnsiTheme="majorEastAsia" w:eastAsiaTheme="majorEastAsia"/>
              </w:rPr>
            </w:pPr>
          </w:p>
        </w:tc>
        <w:tc>
          <w:tcPr>
            <w:tcW w:w="986"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right"/>
              <w:rPr>
                <w:rFonts w:asciiTheme="majorEastAsia" w:hAnsiTheme="majorEastAsia" w:eastAsiaTheme="majorEastAsia"/>
              </w:rPr>
            </w:pPr>
          </w:p>
        </w:tc>
        <w:tc>
          <w:tcPr>
            <w:tcW w:w="848"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21" w:type="dxa"/>
            <w:vAlign w:val="center"/>
          </w:tcPr>
          <w:p>
            <w:pPr>
              <w:spacing w:line="300" w:lineRule="exact"/>
              <w:jc w:val="right"/>
              <w:rPr>
                <w:rFonts w:asciiTheme="majorEastAsia" w:hAnsiTheme="majorEastAsia" w:eastAsiaTheme="maj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Theme="majorEastAsia" w:hAnsiTheme="majorEastAsia" w:eastAsiaTheme="majorEastAsia"/>
                <w:b/>
              </w:rPr>
            </w:pPr>
          </w:p>
        </w:tc>
        <w:tc>
          <w:tcPr>
            <w:tcW w:w="1099" w:type="dxa"/>
            <w:vAlign w:val="center"/>
          </w:tcPr>
          <w:p>
            <w:pPr>
              <w:spacing w:line="300" w:lineRule="exact"/>
              <w:jc w:val="right"/>
              <w:rPr>
                <w:rFonts w:asciiTheme="majorEastAsia" w:hAnsiTheme="majorEastAsia" w:eastAsiaTheme="majorEastAsia"/>
                <w:b/>
              </w:rPr>
            </w:pPr>
          </w:p>
        </w:tc>
        <w:tc>
          <w:tcPr>
            <w:tcW w:w="974" w:type="dxa"/>
            <w:vAlign w:val="center"/>
          </w:tcPr>
          <w:p>
            <w:pPr>
              <w:spacing w:line="300" w:lineRule="exact"/>
              <w:jc w:val="left"/>
              <w:rPr>
                <w:rFonts w:asciiTheme="majorEastAsia" w:hAnsiTheme="majorEastAsia" w:eastAsiaTheme="majorEastAsia"/>
                <w:b/>
              </w:rPr>
            </w:pPr>
          </w:p>
        </w:tc>
        <w:tc>
          <w:tcPr>
            <w:tcW w:w="986" w:type="dxa"/>
            <w:vAlign w:val="center"/>
          </w:tcPr>
          <w:p>
            <w:pPr>
              <w:spacing w:line="300" w:lineRule="exact"/>
              <w:jc w:val="left"/>
              <w:rPr>
                <w:rFonts w:asciiTheme="majorEastAsia" w:hAnsiTheme="majorEastAsia" w:eastAsiaTheme="majorEastAsia"/>
                <w:b/>
              </w:rPr>
            </w:pPr>
          </w:p>
        </w:tc>
        <w:tc>
          <w:tcPr>
            <w:tcW w:w="760" w:type="dxa"/>
            <w:vAlign w:val="center"/>
          </w:tcPr>
          <w:p>
            <w:pPr>
              <w:spacing w:line="300" w:lineRule="exact"/>
              <w:jc w:val="left"/>
              <w:rPr>
                <w:rFonts w:asciiTheme="majorEastAsia" w:hAnsiTheme="majorEastAsia" w:eastAsiaTheme="majorEastAsia"/>
                <w:b/>
              </w:rPr>
            </w:pPr>
          </w:p>
        </w:tc>
        <w:tc>
          <w:tcPr>
            <w:tcW w:w="760" w:type="dxa"/>
            <w:vAlign w:val="center"/>
          </w:tcPr>
          <w:p>
            <w:pPr>
              <w:spacing w:line="300" w:lineRule="exact"/>
              <w:jc w:val="right"/>
              <w:rPr>
                <w:rFonts w:asciiTheme="majorEastAsia" w:hAnsiTheme="majorEastAsia" w:eastAsiaTheme="majorEastAsia"/>
                <w:b/>
              </w:rPr>
            </w:pPr>
          </w:p>
        </w:tc>
        <w:tc>
          <w:tcPr>
            <w:tcW w:w="848"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4" w:type="dxa"/>
            <w:vAlign w:val="center"/>
          </w:tcPr>
          <w:p>
            <w:pPr>
              <w:spacing w:line="300" w:lineRule="exact"/>
              <w:jc w:val="right"/>
              <w:rPr>
                <w:rFonts w:asciiTheme="majorEastAsia" w:hAnsiTheme="majorEastAsia" w:eastAsiaTheme="majorEastAsia"/>
                <w:b/>
              </w:rPr>
            </w:pPr>
          </w:p>
        </w:tc>
        <w:tc>
          <w:tcPr>
            <w:tcW w:w="964" w:type="dxa"/>
            <w:vAlign w:val="center"/>
          </w:tcPr>
          <w:p>
            <w:pPr>
              <w:spacing w:line="300" w:lineRule="exact"/>
              <w:jc w:val="right"/>
              <w:rPr>
                <w:rFonts w:asciiTheme="majorEastAsia" w:hAnsiTheme="majorEastAsia" w:eastAsiaTheme="majorEastAsia"/>
                <w:b/>
              </w:rPr>
            </w:pPr>
          </w:p>
        </w:tc>
        <w:tc>
          <w:tcPr>
            <w:tcW w:w="921" w:type="dxa"/>
            <w:vAlign w:val="center"/>
          </w:tcPr>
          <w:p>
            <w:pPr>
              <w:spacing w:line="300" w:lineRule="exact"/>
              <w:jc w:val="right"/>
              <w:rPr>
                <w:rFonts w:asciiTheme="majorEastAsia" w:hAnsiTheme="majorEastAsia" w:eastAsiaTheme="majorEastAsia"/>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Theme="majorEastAsia" w:hAnsiTheme="majorEastAsia" w:eastAsiaTheme="majorEastAsia"/>
              </w:rPr>
            </w:pPr>
          </w:p>
        </w:tc>
        <w:tc>
          <w:tcPr>
            <w:tcW w:w="1099" w:type="dxa"/>
            <w:vAlign w:val="center"/>
          </w:tcPr>
          <w:p>
            <w:pPr>
              <w:spacing w:line="300" w:lineRule="exact"/>
              <w:jc w:val="right"/>
              <w:rPr>
                <w:rFonts w:asciiTheme="majorEastAsia" w:hAnsiTheme="majorEastAsia" w:eastAsiaTheme="majorEastAsia"/>
              </w:rPr>
            </w:pPr>
          </w:p>
        </w:tc>
        <w:tc>
          <w:tcPr>
            <w:tcW w:w="974" w:type="dxa"/>
            <w:vAlign w:val="center"/>
          </w:tcPr>
          <w:p>
            <w:pPr>
              <w:spacing w:line="300" w:lineRule="exact"/>
              <w:jc w:val="left"/>
              <w:rPr>
                <w:rFonts w:asciiTheme="majorEastAsia" w:hAnsiTheme="majorEastAsia" w:eastAsiaTheme="majorEastAsia"/>
              </w:rPr>
            </w:pPr>
          </w:p>
        </w:tc>
        <w:tc>
          <w:tcPr>
            <w:tcW w:w="986"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right"/>
              <w:rPr>
                <w:rFonts w:asciiTheme="majorEastAsia" w:hAnsiTheme="majorEastAsia" w:eastAsiaTheme="majorEastAsia"/>
              </w:rPr>
            </w:pPr>
          </w:p>
        </w:tc>
        <w:tc>
          <w:tcPr>
            <w:tcW w:w="848"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21" w:type="dxa"/>
            <w:vAlign w:val="center"/>
          </w:tcPr>
          <w:p>
            <w:pPr>
              <w:spacing w:line="300" w:lineRule="exact"/>
              <w:jc w:val="right"/>
              <w:rPr>
                <w:rFonts w:asciiTheme="majorEastAsia" w:hAnsiTheme="majorEastAsia" w:eastAsiaTheme="maj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Theme="majorEastAsia" w:hAnsiTheme="majorEastAsia" w:eastAsiaTheme="majorEastAsia"/>
              </w:rPr>
            </w:pPr>
          </w:p>
        </w:tc>
        <w:tc>
          <w:tcPr>
            <w:tcW w:w="1099" w:type="dxa"/>
            <w:vAlign w:val="center"/>
          </w:tcPr>
          <w:p>
            <w:pPr>
              <w:spacing w:line="300" w:lineRule="exact"/>
              <w:jc w:val="right"/>
              <w:rPr>
                <w:rFonts w:asciiTheme="majorEastAsia" w:hAnsiTheme="majorEastAsia" w:eastAsiaTheme="majorEastAsia"/>
              </w:rPr>
            </w:pPr>
          </w:p>
        </w:tc>
        <w:tc>
          <w:tcPr>
            <w:tcW w:w="974" w:type="dxa"/>
            <w:vAlign w:val="center"/>
          </w:tcPr>
          <w:p>
            <w:pPr>
              <w:spacing w:line="300" w:lineRule="exact"/>
              <w:jc w:val="left"/>
              <w:rPr>
                <w:rFonts w:asciiTheme="majorEastAsia" w:hAnsiTheme="majorEastAsia" w:eastAsiaTheme="majorEastAsia"/>
              </w:rPr>
            </w:pPr>
          </w:p>
        </w:tc>
        <w:tc>
          <w:tcPr>
            <w:tcW w:w="986"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right"/>
              <w:rPr>
                <w:rFonts w:asciiTheme="majorEastAsia" w:hAnsiTheme="majorEastAsia" w:eastAsiaTheme="majorEastAsia"/>
              </w:rPr>
            </w:pPr>
          </w:p>
        </w:tc>
        <w:tc>
          <w:tcPr>
            <w:tcW w:w="848"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21" w:type="dxa"/>
            <w:vAlign w:val="center"/>
          </w:tcPr>
          <w:p>
            <w:pPr>
              <w:spacing w:line="300" w:lineRule="exact"/>
              <w:jc w:val="right"/>
              <w:rPr>
                <w:rFonts w:asciiTheme="majorEastAsia" w:hAnsiTheme="majorEastAsia" w:eastAsiaTheme="maj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Theme="majorEastAsia" w:hAnsiTheme="majorEastAsia" w:eastAsiaTheme="majorEastAsia"/>
                <w:b/>
              </w:rPr>
            </w:pPr>
          </w:p>
        </w:tc>
        <w:tc>
          <w:tcPr>
            <w:tcW w:w="1099" w:type="dxa"/>
            <w:vAlign w:val="center"/>
          </w:tcPr>
          <w:p>
            <w:pPr>
              <w:spacing w:line="300" w:lineRule="exact"/>
              <w:jc w:val="right"/>
              <w:rPr>
                <w:rFonts w:asciiTheme="majorEastAsia" w:hAnsiTheme="majorEastAsia" w:eastAsiaTheme="majorEastAsia"/>
                <w:b/>
              </w:rPr>
            </w:pPr>
          </w:p>
        </w:tc>
        <w:tc>
          <w:tcPr>
            <w:tcW w:w="974" w:type="dxa"/>
            <w:vAlign w:val="center"/>
          </w:tcPr>
          <w:p>
            <w:pPr>
              <w:spacing w:line="300" w:lineRule="exact"/>
              <w:jc w:val="left"/>
              <w:rPr>
                <w:rFonts w:asciiTheme="majorEastAsia" w:hAnsiTheme="majorEastAsia" w:eastAsiaTheme="majorEastAsia"/>
                <w:b/>
              </w:rPr>
            </w:pPr>
          </w:p>
        </w:tc>
        <w:tc>
          <w:tcPr>
            <w:tcW w:w="986" w:type="dxa"/>
            <w:vAlign w:val="center"/>
          </w:tcPr>
          <w:p>
            <w:pPr>
              <w:spacing w:line="300" w:lineRule="exact"/>
              <w:jc w:val="left"/>
              <w:rPr>
                <w:rFonts w:asciiTheme="majorEastAsia" w:hAnsiTheme="majorEastAsia" w:eastAsiaTheme="majorEastAsia"/>
                <w:b/>
              </w:rPr>
            </w:pPr>
          </w:p>
        </w:tc>
        <w:tc>
          <w:tcPr>
            <w:tcW w:w="760" w:type="dxa"/>
            <w:vAlign w:val="center"/>
          </w:tcPr>
          <w:p>
            <w:pPr>
              <w:spacing w:line="300" w:lineRule="exact"/>
              <w:jc w:val="left"/>
              <w:rPr>
                <w:rFonts w:asciiTheme="majorEastAsia" w:hAnsiTheme="majorEastAsia" w:eastAsiaTheme="majorEastAsia"/>
                <w:b/>
              </w:rPr>
            </w:pPr>
          </w:p>
        </w:tc>
        <w:tc>
          <w:tcPr>
            <w:tcW w:w="760" w:type="dxa"/>
            <w:vAlign w:val="center"/>
          </w:tcPr>
          <w:p>
            <w:pPr>
              <w:spacing w:line="300" w:lineRule="exact"/>
              <w:jc w:val="right"/>
              <w:rPr>
                <w:rFonts w:asciiTheme="majorEastAsia" w:hAnsiTheme="majorEastAsia" w:eastAsiaTheme="majorEastAsia"/>
                <w:b/>
              </w:rPr>
            </w:pPr>
          </w:p>
        </w:tc>
        <w:tc>
          <w:tcPr>
            <w:tcW w:w="848"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1" w:type="dxa"/>
            <w:vAlign w:val="center"/>
          </w:tcPr>
          <w:p>
            <w:pPr>
              <w:spacing w:line="300" w:lineRule="exact"/>
              <w:jc w:val="right"/>
              <w:rPr>
                <w:rFonts w:asciiTheme="majorEastAsia" w:hAnsiTheme="majorEastAsia" w:eastAsiaTheme="majorEastAsia"/>
                <w:b/>
              </w:rPr>
            </w:pPr>
          </w:p>
        </w:tc>
        <w:tc>
          <w:tcPr>
            <w:tcW w:w="964" w:type="dxa"/>
            <w:vAlign w:val="center"/>
          </w:tcPr>
          <w:p>
            <w:pPr>
              <w:spacing w:line="300" w:lineRule="exact"/>
              <w:jc w:val="right"/>
              <w:rPr>
                <w:rFonts w:asciiTheme="majorEastAsia" w:hAnsiTheme="majorEastAsia" w:eastAsiaTheme="majorEastAsia"/>
                <w:b/>
              </w:rPr>
            </w:pPr>
          </w:p>
        </w:tc>
        <w:tc>
          <w:tcPr>
            <w:tcW w:w="964" w:type="dxa"/>
            <w:vAlign w:val="center"/>
          </w:tcPr>
          <w:p>
            <w:pPr>
              <w:spacing w:line="300" w:lineRule="exact"/>
              <w:jc w:val="right"/>
              <w:rPr>
                <w:rFonts w:asciiTheme="majorEastAsia" w:hAnsiTheme="majorEastAsia" w:eastAsiaTheme="majorEastAsia"/>
                <w:b/>
              </w:rPr>
            </w:pPr>
          </w:p>
        </w:tc>
        <w:tc>
          <w:tcPr>
            <w:tcW w:w="921" w:type="dxa"/>
            <w:vAlign w:val="center"/>
          </w:tcPr>
          <w:p>
            <w:pPr>
              <w:spacing w:line="300" w:lineRule="exact"/>
              <w:jc w:val="right"/>
              <w:rPr>
                <w:rFonts w:asciiTheme="majorEastAsia" w:hAnsiTheme="majorEastAsia" w:eastAsiaTheme="majorEastAsia"/>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Theme="majorEastAsia" w:hAnsiTheme="majorEastAsia" w:eastAsiaTheme="majorEastAsia"/>
              </w:rPr>
            </w:pPr>
          </w:p>
        </w:tc>
        <w:tc>
          <w:tcPr>
            <w:tcW w:w="1099" w:type="dxa"/>
            <w:vAlign w:val="center"/>
          </w:tcPr>
          <w:p>
            <w:pPr>
              <w:spacing w:line="300" w:lineRule="exact"/>
              <w:jc w:val="right"/>
              <w:rPr>
                <w:rFonts w:asciiTheme="majorEastAsia" w:hAnsiTheme="majorEastAsia" w:eastAsiaTheme="majorEastAsia"/>
              </w:rPr>
            </w:pPr>
          </w:p>
        </w:tc>
        <w:tc>
          <w:tcPr>
            <w:tcW w:w="974" w:type="dxa"/>
            <w:vAlign w:val="center"/>
          </w:tcPr>
          <w:p>
            <w:pPr>
              <w:spacing w:line="300" w:lineRule="exact"/>
              <w:jc w:val="left"/>
              <w:rPr>
                <w:rFonts w:asciiTheme="majorEastAsia" w:hAnsiTheme="majorEastAsia" w:eastAsiaTheme="majorEastAsia"/>
              </w:rPr>
            </w:pPr>
          </w:p>
        </w:tc>
        <w:tc>
          <w:tcPr>
            <w:tcW w:w="986"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left"/>
              <w:rPr>
                <w:rFonts w:asciiTheme="majorEastAsia" w:hAnsiTheme="majorEastAsia" w:eastAsiaTheme="majorEastAsia"/>
              </w:rPr>
            </w:pPr>
          </w:p>
        </w:tc>
        <w:tc>
          <w:tcPr>
            <w:tcW w:w="760" w:type="dxa"/>
            <w:vAlign w:val="center"/>
          </w:tcPr>
          <w:p>
            <w:pPr>
              <w:spacing w:line="300" w:lineRule="exact"/>
              <w:jc w:val="right"/>
              <w:rPr>
                <w:rFonts w:asciiTheme="majorEastAsia" w:hAnsiTheme="majorEastAsia" w:eastAsiaTheme="majorEastAsia"/>
              </w:rPr>
            </w:pPr>
          </w:p>
        </w:tc>
        <w:tc>
          <w:tcPr>
            <w:tcW w:w="848"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1"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64" w:type="dxa"/>
            <w:vAlign w:val="center"/>
          </w:tcPr>
          <w:p>
            <w:pPr>
              <w:spacing w:line="300" w:lineRule="exact"/>
              <w:jc w:val="right"/>
              <w:rPr>
                <w:rFonts w:asciiTheme="majorEastAsia" w:hAnsiTheme="majorEastAsia" w:eastAsiaTheme="majorEastAsia"/>
              </w:rPr>
            </w:pPr>
          </w:p>
        </w:tc>
        <w:tc>
          <w:tcPr>
            <w:tcW w:w="921" w:type="dxa"/>
            <w:vAlign w:val="center"/>
          </w:tcPr>
          <w:p>
            <w:pPr>
              <w:spacing w:line="300" w:lineRule="exact"/>
              <w:jc w:val="right"/>
              <w:rPr>
                <w:rFonts w:asciiTheme="majorEastAsia" w:hAnsiTheme="majorEastAsia" w:eastAsiaTheme="majorEastAsia"/>
              </w:rPr>
            </w:pPr>
          </w:p>
        </w:tc>
      </w:tr>
    </w:tbl>
    <w:p>
      <w:pPr>
        <w:rPr>
          <w:rFonts w:asciiTheme="majorEastAsia" w:hAnsiTheme="majorEastAsia" w:eastAsiaTheme="majorEastAsia"/>
          <w:sz w:val="32"/>
          <w:szCs w:val="32"/>
        </w:rPr>
      </w:pPr>
    </w:p>
    <w:p>
      <w:pPr>
        <w:spacing w:line="220" w:lineRule="atLeast"/>
        <w:ind w:firstLine="560" w:firstLineChars="200"/>
        <w:rPr>
          <w:rFonts w:asciiTheme="majorEastAsia" w:hAnsiTheme="majorEastAsia" w:eastAsiaTheme="majorEastAsia"/>
          <w:sz w:val="28"/>
          <w:szCs w:val="28"/>
        </w:rPr>
        <w:sectPr>
          <w:pgSz w:w="16838" w:h="11906" w:orient="landscape"/>
          <w:pgMar w:top="1797" w:right="1440" w:bottom="1797" w:left="1661" w:header="851" w:footer="992" w:gutter="0"/>
          <w:cols w:space="720" w:num="1"/>
          <w:docGrid w:type="linesAndChars" w:linePitch="319" w:charSpace="0"/>
        </w:sectPr>
      </w:pPr>
      <w:r>
        <w:rPr>
          <w:rFonts w:hint="eastAsia" w:asciiTheme="majorEastAsia" w:hAnsiTheme="majorEastAsia" w:eastAsiaTheme="majorEastAsia"/>
          <w:sz w:val="28"/>
          <w:szCs w:val="28"/>
        </w:rPr>
        <w:t>注：无政府采购预算，空表列示。</w:t>
      </w:r>
    </w:p>
    <w:p>
      <w:pPr>
        <w:rPr>
          <w:rFonts w:asciiTheme="majorEastAsia" w:hAnsiTheme="majorEastAsia" w:eastAsiaTheme="majorEastAsia"/>
          <w:b/>
          <w:bCs/>
          <w:sz w:val="30"/>
          <w:szCs w:val="30"/>
        </w:rPr>
      </w:pPr>
      <w:r>
        <w:rPr>
          <w:rFonts w:hint="eastAsia" w:asciiTheme="majorEastAsia" w:hAnsiTheme="majorEastAsia" w:eastAsiaTheme="majorEastAsia"/>
          <w:b/>
          <w:bCs/>
          <w:sz w:val="30"/>
          <w:szCs w:val="30"/>
        </w:rPr>
        <w:t>七、国有资产信息</w:t>
      </w:r>
    </w:p>
    <w:p>
      <w:pPr>
        <w:ind w:firstLine="600" w:firstLineChars="200"/>
        <w:rPr>
          <w:rFonts w:asciiTheme="majorEastAsia" w:hAnsiTheme="majorEastAsia" w:eastAsiaTheme="majorEastAsia"/>
          <w:sz w:val="30"/>
          <w:szCs w:val="30"/>
        </w:rPr>
      </w:pPr>
      <w:r>
        <w:rPr>
          <w:rFonts w:hint="eastAsia" w:asciiTheme="majorEastAsia" w:hAnsiTheme="majorEastAsia" w:eastAsiaTheme="majorEastAsia"/>
          <w:sz w:val="30"/>
          <w:szCs w:val="30"/>
        </w:rPr>
        <w:t>本年度拟购置固定资产总额为</w:t>
      </w:r>
      <w:r>
        <w:rPr>
          <w:rFonts w:asciiTheme="majorEastAsia" w:hAnsiTheme="majorEastAsia" w:eastAsiaTheme="majorEastAsia"/>
          <w:sz w:val="30"/>
          <w:szCs w:val="30"/>
        </w:rPr>
        <w:t>0</w:t>
      </w:r>
      <w:r>
        <w:rPr>
          <w:rFonts w:hint="eastAsia" w:asciiTheme="majorEastAsia" w:hAnsiTheme="majorEastAsia" w:eastAsiaTheme="majorEastAsia"/>
          <w:sz w:val="30"/>
          <w:szCs w:val="30"/>
        </w:rPr>
        <w:t>万元。</w:t>
      </w:r>
    </w:p>
    <w:tbl>
      <w:tblPr>
        <w:tblStyle w:val="4"/>
        <w:tblpPr w:leftFromText="180" w:rightFromText="180" w:vertAnchor="page" w:horzAnchor="margin" w:tblpXSpec="center" w:tblpY="2761"/>
        <w:tblW w:w="11001" w:type="dxa"/>
        <w:tblInd w:w="0" w:type="dxa"/>
        <w:tblLayout w:type="fixed"/>
        <w:tblCellMar>
          <w:top w:w="0" w:type="dxa"/>
          <w:left w:w="108" w:type="dxa"/>
          <w:bottom w:w="0" w:type="dxa"/>
          <w:right w:w="108" w:type="dxa"/>
        </w:tblCellMar>
      </w:tblPr>
      <w:tblGrid>
        <w:gridCol w:w="3541"/>
        <w:gridCol w:w="3035"/>
        <w:gridCol w:w="4425"/>
      </w:tblGrid>
      <w:tr>
        <w:tblPrEx>
          <w:tblCellMar>
            <w:top w:w="0" w:type="dxa"/>
            <w:left w:w="108" w:type="dxa"/>
            <w:bottom w:w="0" w:type="dxa"/>
            <w:right w:w="108" w:type="dxa"/>
          </w:tblCellMar>
        </w:tblPrEx>
        <w:trPr>
          <w:trHeight w:val="668" w:hRule="atLeast"/>
        </w:trPr>
        <w:tc>
          <w:tcPr>
            <w:tcW w:w="11001" w:type="dxa"/>
            <w:gridSpan w:val="3"/>
            <w:tcBorders>
              <w:top w:val="nil"/>
              <w:left w:val="nil"/>
              <w:bottom w:val="nil"/>
              <w:right w:val="nil"/>
            </w:tcBorders>
            <w:vAlign w:val="center"/>
          </w:tcPr>
          <w:p>
            <w:pPr>
              <w:widowControl/>
              <w:jc w:val="center"/>
              <w:rPr>
                <w:rFonts w:cs="宋体" w:asciiTheme="majorEastAsia" w:hAnsiTheme="majorEastAsia" w:eastAsiaTheme="majorEastAsia"/>
                <w:b/>
                <w:bCs/>
                <w:kern w:val="0"/>
                <w:sz w:val="30"/>
                <w:szCs w:val="30"/>
              </w:rPr>
            </w:pPr>
            <w:r>
              <w:rPr>
                <w:rFonts w:hint="eastAsia" w:cs="宋体" w:asciiTheme="majorEastAsia" w:hAnsiTheme="majorEastAsia" w:eastAsiaTheme="majorEastAsia"/>
                <w:b/>
                <w:bCs/>
                <w:kern w:val="0"/>
                <w:sz w:val="30"/>
                <w:szCs w:val="30"/>
              </w:rPr>
              <w:t>赞皇县县直部门固定资产占用情况表</w:t>
            </w:r>
          </w:p>
        </w:tc>
      </w:tr>
      <w:tr>
        <w:tblPrEx>
          <w:tblCellMar>
            <w:top w:w="0" w:type="dxa"/>
            <w:left w:w="108" w:type="dxa"/>
            <w:bottom w:w="0" w:type="dxa"/>
            <w:right w:w="108" w:type="dxa"/>
          </w:tblCellMar>
        </w:tblPrEx>
        <w:trPr>
          <w:trHeight w:val="483" w:hRule="atLeast"/>
        </w:trPr>
        <w:tc>
          <w:tcPr>
            <w:tcW w:w="6576" w:type="dxa"/>
            <w:gridSpan w:val="2"/>
            <w:tcBorders>
              <w:top w:val="nil"/>
              <w:left w:val="nil"/>
              <w:bottom w:val="nil"/>
              <w:right w:val="nil"/>
            </w:tcBorders>
            <w:vAlign w:val="center"/>
          </w:tcPr>
          <w:p>
            <w:pPr>
              <w:widowControl/>
              <w:jc w:val="left"/>
              <w:rPr>
                <w:rFonts w:cs="宋体" w:asciiTheme="majorEastAsia" w:hAnsiTheme="majorEastAsia" w:eastAsiaTheme="majorEastAsia"/>
                <w:kern w:val="0"/>
                <w:sz w:val="22"/>
              </w:rPr>
            </w:pPr>
            <w:r>
              <w:rPr>
                <w:rFonts w:hint="eastAsia" w:cs="宋体" w:asciiTheme="majorEastAsia" w:hAnsiTheme="majorEastAsia" w:eastAsiaTheme="majorEastAsia"/>
                <w:kern w:val="0"/>
                <w:sz w:val="22"/>
              </w:rPr>
              <w:t>编制部门：供销社</w:t>
            </w:r>
          </w:p>
        </w:tc>
        <w:tc>
          <w:tcPr>
            <w:tcW w:w="4425" w:type="dxa"/>
            <w:tcBorders>
              <w:top w:val="nil"/>
              <w:left w:val="nil"/>
              <w:bottom w:val="nil"/>
              <w:right w:val="nil"/>
            </w:tcBorders>
            <w:vAlign w:val="center"/>
          </w:tcPr>
          <w:p>
            <w:pPr>
              <w:widowControl/>
              <w:jc w:val="left"/>
              <w:rPr>
                <w:rFonts w:cs="宋体" w:asciiTheme="majorEastAsia" w:hAnsiTheme="majorEastAsia" w:eastAsiaTheme="majorEastAsia"/>
                <w:kern w:val="0"/>
                <w:sz w:val="22"/>
              </w:rPr>
            </w:pPr>
            <w:r>
              <w:rPr>
                <w:rFonts w:hint="eastAsia" w:cs="宋体" w:asciiTheme="majorEastAsia" w:hAnsiTheme="majorEastAsia" w:eastAsiaTheme="majorEastAsia"/>
                <w:kern w:val="0"/>
                <w:sz w:val="22"/>
              </w:rPr>
              <w:t>截止时间：</w:t>
            </w:r>
            <w:r>
              <w:rPr>
                <w:rFonts w:cs="宋体" w:asciiTheme="majorEastAsia" w:hAnsiTheme="majorEastAsia" w:eastAsiaTheme="majorEastAsia"/>
                <w:kern w:val="0"/>
                <w:sz w:val="22"/>
              </w:rPr>
              <w:t>20</w:t>
            </w:r>
            <w:r>
              <w:rPr>
                <w:rFonts w:hint="eastAsia" w:cs="宋体" w:asciiTheme="majorEastAsia" w:hAnsiTheme="majorEastAsia" w:eastAsiaTheme="majorEastAsia"/>
                <w:kern w:val="0"/>
                <w:sz w:val="22"/>
              </w:rPr>
              <w:t>22年</w:t>
            </w:r>
            <w:r>
              <w:rPr>
                <w:rFonts w:cs="宋体" w:asciiTheme="majorEastAsia" w:hAnsiTheme="majorEastAsia" w:eastAsiaTheme="majorEastAsia"/>
                <w:kern w:val="0"/>
                <w:sz w:val="22"/>
              </w:rPr>
              <w:t>12</w:t>
            </w:r>
            <w:r>
              <w:rPr>
                <w:rFonts w:hint="eastAsia" w:cs="宋体" w:asciiTheme="majorEastAsia" w:hAnsiTheme="majorEastAsia" w:eastAsiaTheme="majorEastAsia"/>
                <w:kern w:val="0"/>
                <w:sz w:val="22"/>
              </w:rPr>
              <w:t>月</w:t>
            </w:r>
            <w:r>
              <w:rPr>
                <w:rFonts w:cs="宋体" w:asciiTheme="majorEastAsia" w:hAnsiTheme="majorEastAsia" w:eastAsiaTheme="majorEastAsia"/>
                <w:kern w:val="0"/>
                <w:sz w:val="22"/>
              </w:rPr>
              <w:t>31</w:t>
            </w:r>
            <w:r>
              <w:rPr>
                <w:rFonts w:hint="eastAsia" w:cs="宋体" w:asciiTheme="majorEastAsia" w:hAnsiTheme="majorEastAsia" w:eastAsiaTheme="majorEastAsia"/>
                <w:kern w:val="0"/>
                <w:sz w:val="22"/>
              </w:rPr>
              <w:t>日</w:t>
            </w:r>
            <w:r>
              <w:rPr>
                <w:rFonts w:cs="宋体" w:asciiTheme="majorEastAsia" w:hAnsiTheme="majorEastAsia" w:eastAsiaTheme="majorEastAsia"/>
                <w:kern w:val="0"/>
                <w:sz w:val="22"/>
              </w:rPr>
              <w:t xml:space="preserve">  </w:t>
            </w:r>
          </w:p>
        </w:tc>
      </w:tr>
      <w:tr>
        <w:tblPrEx>
          <w:tblCellMar>
            <w:top w:w="0" w:type="dxa"/>
            <w:left w:w="108" w:type="dxa"/>
            <w:bottom w:w="0" w:type="dxa"/>
            <w:right w:w="108" w:type="dxa"/>
          </w:tblCellMar>
        </w:tblPrEx>
        <w:trPr>
          <w:trHeight w:val="611" w:hRule="atLeast"/>
        </w:trPr>
        <w:tc>
          <w:tcPr>
            <w:tcW w:w="3541"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ajorEastAsia" w:hAnsiTheme="majorEastAsia" w:eastAsiaTheme="majorEastAsia"/>
                <w:b/>
                <w:bCs/>
                <w:kern w:val="0"/>
                <w:sz w:val="22"/>
              </w:rPr>
            </w:pPr>
            <w:r>
              <w:rPr>
                <w:rFonts w:hint="eastAsia" w:cs="宋体" w:asciiTheme="majorEastAsia" w:hAnsiTheme="majorEastAsia" w:eastAsiaTheme="majorEastAsia"/>
                <w:b/>
                <w:bCs/>
                <w:kern w:val="0"/>
                <w:sz w:val="22"/>
              </w:rPr>
              <w:t>项</w:t>
            </w:r>
            <w:r>
              <w:rPr>
                <w:rFonts w:cs="宋体" w:asciiTheme="majorEastAsia" w:hAnsiTheme="majorEastAsia" w:eastAsiaTheme="majorEastAsia"/>
                <w:b/>
                <w:bCs/>
                <w:kern w:val="0"/>
                <w:sz w:val="22"/>
              </w:rPr>
              <w:t xml:space="preserve">   </w:t>
            </w:r>
            <w:r>
              <w:rPr>
                <w:rFonts w:hint="eastAsia" w:cs="宋体" w:asciiTheme="majorEastAsia" w:hAnsiTheme="majorEastAsia" w:eastAsiaTheme="majorEastAsia"/>
                <w:b/>
                <w:bCs/>
                <w:kern w:val="0"/>
                <w:sz w:val="22"/>
              </w:rPr>
              <w:t>目</w:t>
            </w:r>
          </w:p>
        </w:tc>
        <w:tc>
          <w:tcPr>
            <w:tcW w:w="3035" w:type="dxa"/>
            <w:tcBorders>
              <w:top w:val="single" w:color="auto" w:sz="4" w:space="0"/>
              <w:left w:val="nil"/>
              <w:bottom w:val="single" w:color="auto" w:sz="4" w:space="0"/>
              <w:right w:val="single" w:color="auto" w:sz="4" w:space="0"/>
            </w:tcBorders>
            <w:vAlign w:val="center"/>
          </w:tcPr>
          <w:p>
            <w:pPr>
              <w:widowControl/>
              <w:jc w:val="center"/>
              <w:rPr>
                <w:rFonts w:cs="宋体" w:asciiTheme="majorEastAsia" w:hAnsiTheme="majorEastAsia" w:eastAsiaTheme="majorEastAsia"/>
                <w:b/>
                <w:bCs/>
                <w:kern w:val="0"/>
                <w:sz w:val="22"/>
              </w:rPr>
            </w:pPr>
            <w:r>
              <w:rPr>
                <w:rFonts w:hint="eastAsia" w:cs="宋体" w:asciiTheme="majorEastAsia" w:hAnsiTheme="majorEastAsia" w:eastAsiaTheme="majorEastAsia"/>
                <w:b/>
                <w:bCs/>
                <w:kern w:val="0"/>
                <w:sz w:val="22"/>
              </w:rPr>
              <w:t>数量</w:t>
            </w:r>
          </w:p>
        </w:tc>
        <w:tc>
          <w:tcPr>
            <w:tcW w:w="4425" w:type="dxa"/>
            <w:tcBorders>
              <w:top w:val="single" w:color="auto" w:sz="4" w:space="0"/>
              <w:left w:val="nil"/>
              <w:bottom w:val="single" w:color="auto" w:sz="4" w:space="0"/>
              <w:right w:val="single" w:color="auto" w:sz="4" w:space="0"/>
            </w:tcBorders>
            <w:vAlign w:val="center"/>
          </w:tcPr>
          <w:p>
            <w:pPr>
              <w:widowControl/>
              <w:jc w:val="center"/>
              <w:rPr>
                <w:rFonts w:cs="宋体" w:asciiTheme="majorEastAsia" w:hAnsiTheme="majorEastAsia" w:eastAsiaTheme="majorEastAsia"/>
                <w:b/>
                <w:bCs/>
                <w:kern w:val="0"/>
                <w:sz w:val="22"/>
              </w:rPr>
            </w:pPr>
            <w:r>
              <w:rPr>
                <w:rFonts w:hint="eastAsia" w:cs="宋体" w:asciiTheme="majorEastAsia" w:hAnsiTheme="majorEastAsia" w:eastAsiaTheme="majorEastAsia"/>
                <w:b/>
                <w:bCs/>
                <w:kern w:val="0"/>
                <w:sz w:val="22"/>
              </w:rPr>
              <w:t>价值（金额部门：万元）</w:t>
            </w:r>
          </w:p>
        </w:tc>
      </w:tr>
      <w:tr>
        <w:tblPrEx>
          <w:tblCellMar>
            <w:top w:w="0" w:type="dxa"/>
            <w:left w:w="108" w:type="dxa"/>
            <w:bottom w:w="0" w:type="dxa"/>
            <w:right w:w="108" w:type="dxa"/>
          </w:tblCellMar>
        </w:tblPrEx>
        <w:trPr>
          <w:trHeight w:val="611" w:hRule="atLeast"/>
        </w:trPr>
        <w:tc>
          <w:tcPr>
            <w:tcW w:w="3541" w:type="dxa"/>
            <w:tcBorders>
              <w:top w:val="nil"/>
              <w:left w:val="single" w:color="auto" w:sz="4" w:space="0"/>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r>
              <w:rPr>
                <w:rFonts w:hint="eastAsia" w:cs="宋体" w:asciiTheme="majorEastAsia" w:hAnsiTheme="majorEastAsia" w:eastAsiaTheme="majorEastAsia"/>
                <w:kern w:val="0"/>
                <w:sz w:val="22"/>
              </w:rPr>
              <w:t>资产总额</w:t>
            </w:r>
          </w:p>
        </w:tc>
        <w:tc>
          <w:tcPr>
            <w:tcW w:w="303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r>
              <w:rPr>
                <w:rFonts w:cs="宋体" w:asciiTheme="majorEastAsia" w:hAnsiTheme="majorEastAsia" w:eastAsiaTheme="majorEastAsia"/>
                <w:kern w:val="0"/>
                <w:sz w:val="22"/>
              </w:rPr>
              <w:t>——</w:t>
            </w:r>
          </w:p>
        </w:tc>
        <w:tc>
          <w:tcPr>
            <w:tcW w:w="442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r>
              <w:rPr>
                <w:rFonts w:cs="宋体" w:asciiTheme="majorEastAsia" w:hAnsiTheme="majorEastAsia" w:eastAsiaTheme="majorEastAsia"/>
                <w:kern w:val="0"/>
                <w:sz w:val="22"/>
              </w:rPr>
              <w:t>0</w:t>
            </w:r>
          </w:p>
        </w:tc>
      </w:tr>
      <w:tr>
        <w:tblPrEx>
          <w:tblCellMar>
            <w:top w:w="0" w:type="dxa"/>
            <w:left w:w="108" w:type="dxa"/>
            <w:bottom w:w="0" w:type="dxa"/>
            <w:right w:w="108" w:type="dxa"/>
          </w:tblCellMar>
        </w:tblPrEx>
        <w:trPr>
          <w:trHeight w:val="611" w:hRule="atLeast"/>
        </w:trPr>
        <w:tc>
          <w:tcPr>
            <w:tcW w:w="3541" w:type="dxa"/>
            <w:tcBorders>
              <w:top w:val="nil"/>
              <w:left w:val="single" w:color="auto" w:sz="4" w:space="0"/>
              <w:bottom w:val="single" w:color="auto" w:sz="4" w:space="0"/>
              <w:right w:val="single" w:color="auto" w:sz="4" w:space="0"/>
            </w:tcBorders>
            <w:vAlign w:val="center"/>
          </w:tcPr>
          <w:p>
            <w:pPr>
              <w:widowControl/>
              <w:jc w:val="left"/>
              <w:rPr>
                <w:rFonts w:cs="宋体" w:asciiTheme="majorEastAsia" w:hAnsiTheme="majorEastAsia" w:eastAsiaTheme="majorEastAsia"/>
                <w:kern w:val="0"/>
                <w:sz w:val="22"/>
              </w:rPr>
            </w:pPr>
            <w:r>
              <w:rPr>
                <w:rFonts w:cs="宋体" w:asciiTheme="majorEastAsia" w:hAnsiTheme="majorEastAsia" w:eastAsiaTheme="majorEastAsia"/>
                <w:kern w:val="0"/>
                <w:sz w:val="22"/>
              </w:rPr>
              <w:t>1</w:t>
            </w:r>
            <w:r>
              <w:rPr>
                <w:rFonts w:hint="eastAsia" w:cs="宋体" w:asciiTheme="majorEastAsia" w:hAnsiTheme="majorEastAsia" w:eastAsiaTheme="majorEastAsia"/>
                <w:kern w:val="0"/>
                <w:sz w:val="22"/>
              </w:rPr>
              <w:t>、房屋（平方米）</w:t>
            </w:r>
          </w:p>
        </w:tc>
        <w:tc>
          <w:tcPr>
            <w:tcW w:w="303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p>
        </w:tc>
        <w:tc>
          <w:tcPr>
            <w:tcW w:w="442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p>
        </w:tc>
      </w:tr>
      <w:tr>
        <w:tblPrEx>
          <w:tblCellMar>
            <w:top w:w="0" w:type="dxa"/>
            <w:left w:w="108" w:type="dxa"/>
            <w:bottom w:w="0" w:type="dxa"/>
            <w:right w:w="108" w:type="dxa"/>
          </w:tblCellMar>
        </w:tblPrEx>
        <w:trPr>
          <w:trHeight w:val="611" w:hRule="atLeast"/>
        </w:trPr>
        <w:tc>
          <w:tcPr>
            <w:tcW w:w="3541" w:type="dxa"/>
            <w:tcBorders>
              <w:top w:val="nil"/>
              <w:left w:val="single" w:color="auto" w:sz="4" w:space="0"/>
              <w:bottom w:val="single" w:color="auto" w:sz="4" w:space="0"/>
              <w:right w:val="single" w:color="auto" w:sz="4" w:space="0"/>
            </w:tcBorders>
            <w:vAlign w:val="center"/>
          </w:tcPr>
          <w:p>
            <w:pPr>
              <w:widowControl/>
              <w:jc w:val="left"/>
              <w:rPr>
                <w:rFonts w:cs="宋体" w:asciiTheme="majorEastAsia" w:hAnsiTheme="majorEastAsia" w:eastAsiaTheme="majorEastAsia"/>
                <w:kern w:val="0"/>
                <w:sz w:val="22"/>
              </w:rPr>
            </w:pPr>
            <w:r>
              <w:rPr>
                <w:rFonts w:cs="宋体" w:asciiTheme="majorEastAsia" w:hAnsiTheme="majorEastAsia" w:eastAsiaTheme="majorEastAsia"/>
                <w:kern w:val="0"/>
                <w:sz w:val="22"/>
              </w:rPr>
              <w:t xml:space="preserve">  </w:t>
            </w:r>
            <w:r>
              <w:rPr>
                <w:rFonts w:hint="eastAsia" w:cs="宋体" w:asciiTheme="majorEastAsia" w:hAnsiTheme="majorEastAsia" w:eastAsiaTheme="majorEastAsia"/>
                <w:kern w:val="0"/>
                <w:sz w:val="22"/>
              </w:rPr>
              <w:t>其中：办公用房（平方米）</w:t>
            </w:r>
          </w:p>
        </w:tc>
        <w:tc>
          <w:tcPr>
            <w:tcW w:w="303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p>
        </w:tc>
        <w:tc>
          <w:tcPr>
            <w:tcW w:w="442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p>
        </w:tc>
      </w:tr>
      <w:tr>
        <w:tblPrEx>
          <w:tblCellMar>
            <w:top w:w="0" w:type="dxa"/>
            <w:left w:w="108" w:type="dxa"/>
            <w:bottom w:w="0" w:type="dxa"/>
            <w:right w:w="108" w:type="dxa"/>
          </w:tblCellMar>
        </w:tblPrEx>
        <w:trPr>
          <w:trHeight w:val="611" w:hRule="atLeast"/>
        </w:trPr>
        <w:tc>
          <w:tcPr>
            <w:tcW w:w="3541" w:type="dxa"/>
            <w:tcBorders>
              <w:top w:val="nil"/>
              <w:left w:val="single" w:color="auto" w:sz="4" w:space="0"/>
              <w:bottom w:val="single" w:color="auto" w:sz="4" w:space="0"/>
              <w:right w:val="single" w:color="auto" w:sz="4" w:space="0"/>
            </w:tcBorders>
            <w:vAlign w:val="center"/>
          </w:tcPr>
          <w:p>
            <w:pPr>
              <w:widowControl/>
              <w:jc w:val="left"/>
              <w:rPr>
                <w:rFonts w:cs="宋体" w:asciiTheme="majorEastAsia" w:hAnsiTheme="majorEastAsia" w:eastAsiaTheme="majorEastAsia"/>
                <w:kern w:val="0"/>
                <w:sz w:val="22"/>
              </w:rPr>
            </w:pPr>
            <w:r>
              <w:rPr>
                <w:rFonts w:cs="宋体" w:asciiTheme="majorEastAsia" w:hAnsiTheme="majorEastAsia" w:eastAsiaTheme="majorEastAsia"/>
                <w:kern w:val="0"/>
                <w:sz w:val="22"/>
              </w:rPr>
              <w:t>2</w:t>
            </w:r>
            <w:r>
              <w:rPr>
                <w:rFonts w:hint="eastAsia" w:cs="宋体" w:asciiTheme="majorEastAsia" w:hAnsiTheme="majorEastAsia" w:eastAsiaTheme="majorEastAsia"/>
                <w:kern w:val="0"/>
                <w:sz w:val="22"/>
              </w:rPr>
              <w:t>、车辆（台、辆）</w:t>
            </w:r>
          </w:p>
        </w:tc>
        <w:tc>
          <w:tcPr>
            <w:tcW w:w="303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r>
              <w:rPr>
                <w:rFonts w:cs="宋体" w:asciiTheme="majorEastAsia" w:hAnsiTheme="majorEastAsia" w:eastAsiaTheme="majorEastAsia"/>
                <w:kern w:val="0"/>
                <w:sz w:val="22"/>
              </w:rPr>
              <w:t>0</w:t>
            </w:r>
          </w:p>
        </w:tc>
        <w:tc>
          <w:tcPr>
            <w:tcW w:w="442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r>
              <w:rPr>
                <w:rFonts w:cs="宋体" w:asciiTheme="majorEastAsia" w:hAnsiTheme="majorEastAsia" w:eastAsiaTheme="majorEastAsia"/>
                <w:kern w:val="0"/>
                <w:sz w:val="22"/>
              </w:rPr>
              <w:t>0</w:t>
            </w:r>
          </w:p>
        </w:tc>
      </w:tr>
      <w:tr>
        <w:tblPrEx>
          <w:tblCellMar>
            <w:top w:w="0" w:type="dxa"/>
            <w:left w:w="108" w:type="dxa"/>
            <w:bottom w:w="0" w:type="dxa"/>
            <w:right w:w="108" w:type="dxa"/>
          </w:tblCellMar>
        </w:tblPrEx>
        <w:trPr>
          <w:trHeight w:val="611" w:hRule="atLeast"/>
        </w:trPr>
        <w:tc>
          <w:tcPr>
            <w:tcW w:w="3541" w:type="dxa"/>
            <w:tcBorders>
              <w:top w:val="nil"/>
              <w:left w:val="single" w:color="auto" w:sz="4" w:space="0"/>
              <w:bottom w:val="single" w:color="auto" w:sz="4" w:space="0"/>
              <w:right w:val="single" w:color="auto" w:sz="4" w:space="0"/>
            </w:tcBorders>
            <w:vAlign w:val="center"/>
          </w:tcPr>
          <w:p>
            <w:pPr>
              <w:widowControl/>
              <w:jc w:val="left"/>
              <w:rPr>
                <w:rFonts w:cs="宋体" w:asciiTheme="majorEastAsia" w:hAnsiTheme="majorEastAsia" w:eastAsiaTheme="majorEastAsia"/>
                <w:kern w:val="0"/>
                <w:sz w:val="22"/>
              </w:rPr>
            </w:pPr>
            <w:r>
              <w:rPr>
                <w:rFonts w:cs="宋体" w:asciiTheme="majorEastAsia" w:hAnsiTheme="majorEastAsia" w:eastAsiaTheme="majorEastAsia"/>
                <w:kern w:val="0"/>
                <w:sz w:val="22"/>
              </w:rPr>
              <w:t>3</w:t>
            </w:r>
            <w:r>
              <w:rPr>
                <w:rFonts w:hint="eastAsia" w:cs="宋体" w:asciiTheme="majorEastAsia" w:hAnsiTheme="majorEastAsia" w:eastAsiaTheme="majorEastAsia"/>
                <w:kern w:val="0"/>
                <w:sz w:val="22"/>
              </w:rPr>
              <w:t>、单价在</w:t>
            </w:r>
            <w:r>
              <w:rPr>
                <w:rFonts w:cs="宋体" w:asciiTheme="majorEastAsia" w:hAnsiTheme="majorEastAsia" w:eastAsiaTheme="majorEastAsia"/>
                <w:kern w:val="0"/>
                <w:sz w:val="22"/>
              </w:rPr>
              <w:t>20</w:t>
            </w:r>
            <w:r>
              <w:rPr>
                <w:rFonts w:hint="eastAsia" w:cs="宋体" w:asciiTheme="majorEastAsia" w:hAnsiTheme="majorEastAsia" w:eastAsiaTheme="majorEastAsia"/>
                <w:kern w:val="0"/>
                <w:sz w:val="22"/>
              </w:rPr>
              <w:t>万元以上设备</w:t>
            </w:r>
          </w:p>
        </w:tc>
        <w:tc>
          <w:tcPr>
            <w:tcW w:w="303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r>
              <w:rPr>
                <w:rFonts w:cs="宋体" w:asciiTheme="majorEastAsia" w:hAnsiTheme="majorEastAsia" w:eastAsiaTheme="majorEastAsia"/>
                <w:kern w:val="0"/>
                <w:sz w:val="22"/>
              </w:rPr>
              <w:t>——</w:t>
            </w:r>
          </w:p>
        </w:tc>
        <w:tc>
          <w:tcPr>
            <w:tcW w:w="442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p>
        </w:tc>
      </w:tr>
      <w:tr>
        <w:tblPrEx>
          <w:tblCellMar>
            <w:top w:w="0" w:type="dxa"/>
            <w:left w:w="108" w:type="dxa"/>
            <w:bottom w:w="0" w:type="dxa"/>
            <w:right w:w="108" w:type="dxa"/>
          </w:tblCellMar>
        </w:tblPrEx>
        <w:trPr>
          <w:trHeight w:val="611" w:hRule="atLeast"/>
        </w:trPr>
        <w:tc>
          <w:tcPr>
            <w:tcW w:w="3541" w:type="dxa"/>
            <w:tcBorders>
              <w:top w:val="nil"/>
              <w:left w:val="single" w:color="auto" w:sz="4" w:space="0"/>
              <w:bottom w:val="single" w:color="auto" w:sz="4" w:space="0"/>
              <w:right w:val="single" w:color="auto" w:sz="4" w:space="0"/>
            </w:tcBorders>
            <w:vAlign w:val="center"/>
          </w:tcPr>
          <w:p>
            <w:pPr>
              <w:widowControl/>
              <w:jc w:val="left"/>
              <w:rPr>
                <w:rFonts w:cs="宋体" w:asciiTheme="majorEastAsia" w:hAnsiTheme="majorEastAsia" w:eastAsiaTheme="majorEastAsia"/>
                <w:kern w:val="0"/>
                <w:sz w:val="22"/>
              </w:rPr>
            </w:pPr>
            <w:r>
              <w:rPr>
                <w:rFonts w:cs="宋体" w:asciiTheme="majorEastAsia" w:hAnsiTheme="majorEastAsia" w:eastAsiaTheme="majorEastAsia"/>
                <w:kern w:val="0"/>
                <w:sz w:val="22"/>
              </w:rPr>
              <w:t>4</w:t>
            </w:r>
            <w:r>
              <w:rPr>
                <w:rFonts w:hint="eastAsia" w:cs="宋体" w:asciiTheme="majorEastAsia" w:hAnsiTheme="majorEastAsia" w:eastAsiaTheme="majorEastAsia"/>
                <w:kern w:val="0"/>
                <w:sz w:val="22"/>
              </w:rPr>
              <w:t>、其他固定资产</w:t>
            </w:r>
          </w:p>
        </w:tc>
        <w:tc>
          <w:tcPr>
            <w:tcW w:w="303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r>
              <w:rPr>
                <w:rFonts w:cs="宋体" w:asciiTheme="majorEastAsia" w:hAnsiTheme="majorEastAsia" w:eastAsiaTheme="majorEastAsia"/>
                <w:kern w:val="0"/>
                <w:sz w:val="22"/>
              </w:rPr>
              <w:t>——</w:t>
            </w:r>
          </w:p>
        </w:tc>
        <w:tc>
          <w:tcPr>
            <w:tcW w:w="4425" w:type="dxa"/>
            <w:tcBorders>
              <w:top w:val="nil"/>
              <w:left w:val="nil"/>
              <w:bottom w:val="single" w:color="auto" w:sz="4" w:space="0"/>
              <w:right w:val="single" w:color="auto" w:sz="4" w:space="0"/>
            </w:tcBorders>
            <w:vAlign w:val="center"/>
          </w:tcPr>
          <w:p>
            <w:pPr>
              <w:widowControl/>
              <w:jc w:val="center"/>
              <w:rPr>
                <w:rFonts w:cs="宋体" w:asciiTheme="majorEastAsia" w:hAnsiTheme="majorEastAsia" w:eastAsiaTheme="majorEastAsia"/>
                <w:kern w:val="0"/>
                <w:sz w:val="22"/>
              </w:rPr>
            </w:pPr>
            <w:r>
              <w:rPr>
                <w:rFonts w:cs="宋体" w:asciiTheme="majorEastAsia" w:hAnsiTheme="majorEastAsia" w:eastAsiaTheme="majorEastAsia"/>
                <w:kern w:val="0"/>
                <w:sz w:val="22"/>
              </w:rPr>
              <w:t>0</w:t>
            </w:r>
          </w:p>
        </w:tc>
      </w:tr>
    </w:tbl>
    <w:p>
      <w:pPr>
        <w:rPr>
          <w:rFonts w:asciiTheme="majorEastAsia" w:hAnsiTheme="majorEastAsia" w:eastAsiaTheme="majorEastAsia"/>
          <w:b/>
          <w:sz w:val="32"/>
          <w:szCs w:val="32"/>
        </w:rPr>
      </w:pPr>
    </w:p>
    <w:p>
      <w:pPr>
        <w:rPr>
          <w:rFonts w:asciiTheme="majorEastAsia" w:hAnsiTheme="majorEastAsia" w:eastAsiaTheme="majorEastAsia"/>
          <w:b/>
          <w:sz w:val="30"/>
          <w:szCs w:val="30"/>
        </w:rPr>
      </w:pPr>
      <w:r>
        <w:rPr>
          <w:rFonts w:hint="eastAsia" w:asciiTheme="majorEastAsia" w:hAnsiTheme="majorEastAsia" w:eastAsiaTheme="majorEastAsia"/>
          <w:b/>
          <w:sz w:val="30"/>
          <w:szCs w:val="30"/>
        </w:rPr>
        <w:t>八、名词解释</w:t>
      </w:r>
    </w:p>
    <w:p>
      <w:pPr>
        <w:ind w:firstLine="600" w:firstLineChars="200"/>
        <w:rPr>
          <w:rFonts w:cs="仿宋" w:asciiTheme="majorEastAsia" w:hAnsiTheme="majorEastAsia" w:eastAsiaTheme="majorEastAsia"/>
          <w:kern w:val="0"/>
          <w:sz w:val="30"/>
          <w:szCs w:val="30"/>
          <w:shd w:val="clear" w:color="auto" w:fill="FFFFFF"/>
        </w:rPr>
      </w:pPr>
      <w:r>
        <w:rPr>
          <w:rFonts w:hint="eastAsia" w:cs="仿宋" w:asciiTheme="majorEastAsia" w:hAnsiTheme="majorEastAsia" w:eastAsiaTheme="majorEastAsia"/>
          <w:kern w:val="0"/>
          <w:sz w:val="30"/>
          <w:szCs w:val="30"/>
          <w:shd w:val="clear" w:color="auto" w:fill="FFFFFF"/>
        </w:rPr>
        <w:t>名称解释</w:t>
      </w:r>
      <w:r>
        <w:rPr>
          <w:rFonts w:cs="仿宋" w:asciiTheme="majorEastAsia" w:hAnsiTheme="majorEastAsia" w:eastAsiaTheme="majorEastAsia"/>
          <w:kern w:val="0"/>
          <w:sz w:val="30"/>
          <w:szCs w:val="30"/>
          <w:shd w:val="clear" w:color="auto" w:fill="FFFFFF"/>
        </w:rPr>
        <w:t xml:space="preserve">: </w:t>
      </w:r>
    </w:p>
    <w:p>
      <w:pPr>
        <w:ind w:firstLine="600" w:firstLineChars="200"/>
        <w:rPr>
          <w:rFonts w:cs="仿宋" w:asciiTheme="majorEastAsia" w:hAnsiTheme="majorEastAsia" w:eastAsiaTheme="majorEastAsia"/>
          <w:kern w:val="0"/>
          <w:sz w:val="30"/>
          <w:szCs w:val="30"/>
          <w:shd w:val="clear" w:color="auto" w:fill="FFFFFF"/>
        </w:rPr>
      </w:pPr>
      <w:r>
        <w:rPr>
          <w:rFonts w:cs="仿宋" w:asciiTheme="majorEastAsia" w:hAnsiTheme="majorEastAsia" w:eastAsiaTheme="majorEastAsia"/>
          <w:kern w:val="0"/>
          <w:sz w:val="30"/>
          <w:szCs w:val="30"/>
          <w:shd w:val="clear" w:color="auto" w:fill="FFFFFF"/>
        </w:rPr>
        <w:t>1</w:t>
      </w:r>
      <w:r>
        <w:rPr>
          <w:rFonts w:hint="eastAsia" w:cs="仿宋" w:asciiTheme="majorEastAsia" w:hAnsiTheme="majorEastAsia" w:eastAsiaTheme="majorEastAsia"/>
          <w:kern w:val="0"/>
          <w:sz w:val="30"/>
          <w:szCs w:val="30"/>
          <w:shd w:val="clear" w:color="auto" w:fill="FFFFFF"/>
        </w:rPr>
        <w:t>、一般预算收入：指本年度从上级财政部门取得的财政拨款。</w:t>
      </w:r>
    </w:p>
    <w:p>
      <w:pPr>
        <w:ind w:firstLine="600" w:firstLineChars="200"/>
        <w:rPr>
          <w:rFonts w:cs="仿宋" w:asciiTheme="majorEastAsia" w:hAnsiTheme="majorEastAsia" w:eastAsiaTheme="majorEastAsia"/>
          <w:kern w:val="0"/>
          <w:sz w:val="30"/>
          <w:szCs w:val="30"/>
          <w:shd w:val="clear" w:color="auto" w:fill="FFFFFF"/>
        </w:rPr>
      </w:pPr>
      <w:r>
        <w:rPr>
          <w:rFonts w:cs="仿宋" w:asciiTheme="majorEastAsia" w:hAnsiTheme="majorEastAsia" w:eastAsiaTheme="majorEastAsia"/>
          <w:kern w:val="0"/>
          <w:sz w:val="30"/>
          <w:szCs w:val="30"/>
          <w:shd w:val="clear" w:color="auto" w:fill="FFFFFF"/>
        </w:rPr>
        <w:t>2</w:t>
      </w:r>
      <w:r>
        <w:rPr>
          <w:rFonts w:hint="eastAsia" w:cs="仿宋" w:asciiTheme="majorEastAsia" w:hAnsiTheme="majorEastAsia" w:eastAsiaTheme="majorEastAsia"/>
          <w:kern w:val="0"/>
          <w:sz w:val="30"/>
          <w:szCs w:val="30"/>
          <w:shd w:val="clear" w:color="auto" w:fill="FFFFFF"/>
        </w:rPr>
        <w:t>、基本支出：为保障机构正常运转，完成日常工作任务，而发生的人员支出和公用支出。</w:t>
      </w:r>
    </w:p>
    <w:p>
      <w:pPr>
        <w:ind w:firstLine="600" w:firstLineChars="200"/>
        <w:rPr>
          <w:rFonts w:cs="仿宋" w:asciiTheme="majorEastAsia" w:hAnsiTheme="majorEastAsia" w:eastAsiaTheme="majorEastAsia"/>
          <w:kern w:val="0"/>
          <w:sz w:val="30"/>
          <w:szCs w:val="30"/>
          <w:shd w:val="clear" w:color="auto" w:fill="FFFFFF"/>
        </w:rPr>
      </w:pPr>
      <w:r>
        <w:rPr>
          <w:rFonts w:cs="仿宋" w:asciiTheme="majorEastAsia" w:hAnsiTheme="majorEastAsia" w:eastAsiaTheme="majorEastAsia"/>
          <w:kern w:val="0"/>
          <w:sz w:val="30"/>
          <w:szCs w:val="30"/>
          <w:shd w:val="clear" w:color="auto" w:fill="FFFFFF"/>
        </w:rPr>
        <w:t>3</w:t>
      </w:r>
      <w:r>
        <w:rPr>
          <w:rFonts w:hint="eastAsia" w:cs="仿宋" w:asciiTheme="majorEastAsia" w:hAnsiTheme="majorEastAsia" w:eastAsiaTheme="majorEastAsia"/>
          <w:kern w:val="0"/>
          <w:sz w:val="30"/>
          <w:szCs w:val="30"/>
          <w:shd w:val="clear" w:color="auto" w:fill="FFFFFF"/>
        </w:rPr>
        <w:t>、项目支出：是指在基本支出之外，为完成特定行政任务和事业发展目标，而发生的支出。</w:t>
      </w:r>
    </w:p>
    <w:p>
      <w:pPr>
        <w:ind w:firstLine="600" w:firstLineChars="200"/>
        <w:rPr>
          <w:rFonts w:cs="仿宋" w:asciiTheme="majorEastAsia" w:hAnsiTheme="majorEastAsia" w:eastAsiaTheme="majorEastAsia"/>
          <w:kern w:val="0"/>
          <w:sz w:val="30"/>
          <w:szCs w:val="30"/>
          <w:shd w:val="clear" w:color="auto" w:fill="FFFFFF"/>
        </w:rPr>
      </w:pPr>
      <w:r>
        <w:rPr>
          <w:rFonts w:cs="仿宋" w:asciiTheme="majorEastAsia" w:hAnsiTheme="majorEastAsia" w:eastAsiaTheme="majorEastAsia"/>
          <w:kern w:val="0"/>
          <w:sz w:val="30"/>
          <w:szCs w:val="30"/>
          <w:shd w:val="clear" w:color="auto" w:fill="FFFFFF"/>
        </w:rPr>
        <w:t>4</w:t>
      </w:r>
      <w:r>
        <w:rPr>
          <w:rFonts w:hint="eastAsia" w:cs="仿宋" w:asciiTheme="majorEastAsia" w:hAnsiTheme="majorEastAsia" w:eastAsiaTheme="majorEastAsia"/>
          <w:kern w:val="0"/>
          <w:sz w:val="30"/>
          <w:szCs w:val="30"/>
          <w:shd w:val="clear" w:color="auto" w:fill="FFFFFF"/>
        </w:rPr>
        <w:t>、机关运行费：是指为保证行政部门（包括参照公务员管理的事业部门）运行，用于购买货物和服务的各项资金。主要包括：办公费、印刷费，水费、电费、邮电费、福利费、日常维修费、办公取暖费、办公物业服务费、公务车运行维护费等。</w:t>
      </w:r>
    </w:p>
    <w:p>
      <w:pPr>
        <w:ind w:firstLine="600" w:firstLineChars="200"/>
        <w:rPr>
          <w:rFonts w:cs="仿宋" w:asciiTheme="majorEastAsia" w:hAnsiTheme="majorEastAsia" w:eastAsiaTheme="majorEastAsia"/>
          <w:kern w:val="0"/>
          <w:sz w:val="30"/>
          <w:szCs w:val="30"/>
          <w:shd w:val="clear" w:color="auto" w:fill="FFFFFF"/>
        </w:rPr>
      </w:pPr>
      <w:r>
        <w:rPr>
          <w:rFonts w:cs="仿宋" w:asciiTheme="majorEastAsia" w:hAnsiTheme="majorEastAsia" w:eastAsiaTheme="majorEastAsia"/>
          <w:kern w:val="0"/>
          <w:sz w:val="30"/>
          <w:szCs w:val="30"/>
          <w:shd w:val="clear" w:color="auto" w:fill="FFFFFF"/>
        </w:rPr>
        <w:t>5</w:t>
      </w:r>
      <w:r>
        <w:rPr>
          <w:rFonts w:hint="eastAsia" w:cs="仿宋" w:asciiTheme="majorEastAsia" w:hAnsiTheme="majorEastAsia" w:eastAsiaTheme="majorEastAsia"/>
          <w:kern w:val="0"/>
          <w:sz w:val="30"/>
          <w:szCs w:val="30"/>
          <w:shd w:val="clear" w:color="auto" w:fill="FFFFFF"/>
        </w:rPr>
        <w:t>、“三公”经费：纳入县级财政预算管理的“三公”经费，是指县级部门用财政拨款安排的因公出国（境）费、公务用车购置及运维费和公务接待费。其中，因公出国（境）费反映部门公务出国（境）的住宿费、旅费、伙食补助费、杂费、培训费等支出；公务用车购置及运维费反映部门公务用车购置费及租用费、燃料费、维修费、过路过桥费、保险费、安全奖励费用等支出；公务接待费反映部门按规定开支的各类公务接待（含外宾接待）支出。</w:t>
      </w:r>
    </w:p>
    <w:p>
      <w:pPr>
        <w:ind w:firstLine="600" w:firstLineChars="200"/>
        <w:rPr>
          <w:rFonts w:cs="仿宋" w:asciiTheme="majorEastAsia" w:hAnsiTheme="majorEastAsia" w:eastAsiaTheme="majorEastAsia"/>
          <w:kern w:val="0"/>
          <w:sz w:val="30"/>
          <w:szCs w:val="30"/>
          <w:shd w:val="clear" w:color="auto" w:fill="FFFFFF"/>
        </w:rPr>
      </w:pPr>
      <w:r>
        <w:rPr>
          <w:rFonts w:cs="仿宋" w:asciiTheme="majorEastAsia" w:hAnsiTheme="majorEastAsia" w:eastAsiaTheme="majorEastAsia"/>
          <w:kern w:val="0"/>
          <w:sz w:val="30"/>
          <w:szCs w:val="30"/>
          <w:shd w:val="clear" w:color="auto" w:fill="FFFFFF"/>
        </w:rPr>
        <w:t>6</w:t>
      </w:r>
      <w:r>
        <w:rPr>
          <w:rFonts w:hint="eastAsia" w:cs="仿宋" w:asciiTheme="majorEastAsia" w:hAnsiTheme="majorEastAsia" w:eastAsiaTheme="majorEastAsia"/>
          <w:kern w:val="0"/>
          <w:sz w:val="30"/>
          <w:szCs w:val="30"/>
          <w:shd w:val="clear" w:color="auto" w:fill="FFFFFF"/>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pStyle w:val="8"/>
        <w:spacing w:line="600" w:lineRule="exact"/>
        <w:ind w:firstLine="600" w:firstLineChars="200"/>
        <w:rPr>
          <w:rFonts w:cs="仿宋" w:asciiTheme="majorEastAsia" w:hAnsiTheme="majorEastAsia" w:eastAsiaTheme="majorEastAsia"/>
          <w:color w:val="auto"/>
          <w:sz w:val="30"/>
          <w:szCs w:val="30"/>
          <w:shd w:val="clear" w:color="auto" w:fill="FFFFFF"/>
        </w:rPr>
      </w:pPr>
      <w:r>
        <w:rPr>
          <w:rFonts w:cs="宋体" w:asciiTheme="majorEastAsia" w:hAnsiTheme="majorEastAsia" w:eastAsiaTheme="majorEastAsia"/>
          <w:kern w:val="2"/>
          <w:sz w:val="30"/>
          <w:szCs w:val="30"/>
        </w:rPr>
        <w:t>7</w:t>
      </w:r>
      <w:r>
        <w:rPr>
          <w:rFonts w:hint="eastAsia" w:cs="仿宋" w:asciiTheme="majorEastAsia" w:hAnsiTheme="majorEastAsia" w:eastAsiaTheme="majorEastAsia"/>
          <w:color w:val="auto"/>
          <w:sz w:val="30"/>
          <w:szCs w:val="30"/>
          <w:shd w:val="clear" w:color="auto" w:fill="FFFFFF"/>
        </w:rPr>
        <w:t>、农村金融服务建设：以合作经济组织形式，创建以农村合作银行、农村信用合作担保公司、农业合作互助保险公司、农村产权交易所、融资租赁公司、农产品电子商务交易中心、金融超市为主的农村合作金融体系。</w:t>
      </w:r>
    </w:p>
    <w:p>
      <w:pPr>
        <w:pStyle w:val="8"/>
        <w:spacing w:line="600" w:lineRule="exact"/>
        <w:ind w:firstLine="600" w:firstLineChars="200"/>
        <w:rPr>
          <w:rFonts w:cs="仿宋" w:asciiTheme="majorEastAsia" w:hAnsiTheme="majorEastAsia" w:eastAsiaTheme="majorEastAsia"/>
          <w:color w:val="auto"/>
          <w:sz w:val="30"/>
          <w:szCs w:val="30"/>
          <w:shd w:val="clear" w:color="auto" w:fill="FFFFFF"/>
        </w:rPr>
      </w:pPr>
      <w:r>
        <w:rPr>
          <w:rFonts w:cs="仿宋" w:asciiTheme="majorEastAsia" w:hAnsiTheme="majorEastAsia" w:eastAsiaTheme="majorEastAsia"/>
          <w:color w:val="auto"/>
          <w:sz w:val="30"/>
          <w:szCs w:val="30"/>
          <w:shd w:val="clear" w:color="auto" w:fill="FFFFFF"/>
        </w:rPr>
        <w:t>8</w:t>
      </w:r>
      <w:r>
        <w:rPr>
          <w:rFonts w:hint="eastAsia" w:cs="仿宋" w:asciiTheme="majorEastAsia" w:hAnsiTheme="majorEastAsia" w:eastAsiaTheme="majorEastAsia"/>
          <w:color w:val="auto"/>
          <w:sz w:val="30"/>
          <w:szCs w:val="30"/>
          <w:shd w:val="clear" w:color="auto" w:fill="FFFFFF"/>
        </w:rPr>
        <w:t>、审计：是由专职机构和人员，对被审计部门的财政、财务收支及其他经济活动的真实性、合法性和效益性进行审查和评价的独立性经济监督活动。</w:t>
      </w:r>
    </w:p>
    <w:p>
      <w:pPr>
        <w:pStyle w:val="8"/>
        <w:spacing w:line="600" w:lineRule="exact"/>
        <w:ind w:firstLine="600" w:firstLineChars="200"/>
        <w:rPr>
          <w:rFonts w:cs="仿宋" w:asciiTheme="majorEastAsia" w:hAnsiTheme="majorEastAsia" w:eastAsiaTheme="majorEastAsia"/>
          <w:color w:val="auto"/>
          <w:sz w:val="30"/>
          <w:szCs w:val="30"/>
          <w:shd w:val="clear" w:color="auto" w:fill="FFFFFF"/>
        </w:rPr>
      </w:pPr>
      <w:r>
        <w:rPr>
          <w:rFonts w:cs="仿宋" w:asciiTheme="majorEastAsia" w:hAnsiTheme="majorEastAsia" w:eastAsiaTheme="majorEastAsia"/>
          <w:color w:val="auto"/>
          <w:sz w:val="30"/>
          <w:szCs w:val="30"/>
          <w:shd w:val="clear" w:color="auto" w:fill="FFFFFF"/>
        </w:rPr>
        <w:t>9</w:t>
      </w:r>
      <w:r>
        <w:rPr>
          <w:rFonts w:hint="eastAsia" w:cs="仿宋" w:asciiTheme="majorEastAsia" w:hAnsiTheme="majorEastAsia" w:eastAsiaTheme="majorEastAsia"/>
          <w:color w:val="auto"/>
          <w:sz w:val="30"/>
          <w:szCs w:val="30"/>
          <w:shd w:val="clear" w:color="auto" w:fill="FFFFFF"/>
        </w:rPr>
        <w:t>、审计证据：审计证据是指审计机关和审计人员获取的，用以证明审计事实真相，形成审计结论的证明材料。</w:t>
      </w:r>
    </w:p>
    <w:bookmarkEnd w:id="0"/>
    <w:p>
      <w:pPr>
        <w:autoSpaceDE w:val="0"/>
        <w:autoSpaceDN w:val="0"/>
        <w:adjustRightInd w:val="0"/>
        <w:jc w:val="left"/>
        <w:rPr>
          <w:rFonts w:asciiTheme="majorEastAsia" w:hAnsiTheme="majorEastAsia" w:eastAsiaTheme="majorEastAsia"/>
          <w:b/>
          <w:bCs/>
          <w:sz w:val="30"/>
          <w:szCs w:val="30"/>
        </w:rPr>
      </w:pPr>
    </w:p>
    <w:p>
      <w:pPr>
        <w:autoSpaceDE w:val="0"/>
        <w:autoSpaceDN w:val="0"/>
        <w:adjustRightInd w:val="0"/>
        <w:jc w:val="left"/>
        <w:rPr>
          <w:rFonts w:asciiTheme="majorEastAsia" w:hAnsiTheme="majorEastAsia" w:eastAsiaTheme="majorEastAsia"/>
          <w:b/>
          <w:bCs/>
          <w:sz w:val="30"/>
          <w:szCs w:val="30"/>
        </w:rPr>
      </w:pPr>
      <w:r>
        <w:rPr>
          <w:rFonts w:hint="eastAsia" w:asciiTheme="majorEastAsia" w:hAnsiTheme="majorEastAsia" w:eastAsiaTheme="majorEastAsia"/>
          <w:b/>
          <w:bCs/>
          <w:sz w:val="30"/>
          <w:szCs w:val="30"/>
        </w:rPr>
        <w:t>九、其他需要说明的事项</w:t>
      </w:r>
    </w:p>
    <w:p>
      <w:pPr>
        <w:ind w:firstLine="600" w:firstLineChars="200"/>
        <w:rPr>
          <w:rFonts w:cs="仿宋" w:asciiTheme="majorEastAsia" w:hAnsiTheme="majorEastAsia" w:eastAsiaTheme="majorEastAsia"/>
          <w:kern w:val="0"/>
          <w:sz w:val="30"/>
          <w:szCs w:val="30"/>
          <w:shd w:val="clear" w:color="auto" w:fill="FFFFFF"/>
        </w:rPr>
      </w:pPr>
      <w:r>
        <w:rPr>
          <w:rFonts w:hint="eastAsia" w:cs="仿宋" w:asciiTheme="majorEastAsia" w:hAnsiTheme="majorEastAsia" w:eastAsiaTheme="majorEastAsia"/>
          <w:kern w:val="0"/>
          <w:sz w:val="30"/>
          <w:szCs w:val="30"/>
          <w:shd w:val="clear" w:color="auto" w:fill="FFFFFF"/>
        </w:rPr>
        <w:t>我部门无其他需要说明的事项。</w:t>
      </w:r>
    </w:p>
    <w:p>
      <w:pPr>
        <w:rPr>
          <w:rFonts w:asciiTheme="majorEastAsia" w:hAnsiTheme="majorEastAsia" w:eastAsiaTheme="majorEastAsia"/>
          <w:sz w:val="30"/>
          <w:szCs w:val="30"/>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宋体-方正超大字符集">
    <w:altName w:val="宋体"/>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9A8F38"/>
    <w:multiLevelType w:val="singleLevel"/>
    <w:tmpl w:val="589A8F38"/>
    <w:lvl w:ilvl="0" w:tentative="0">
      <w:start w:val="1"/>
      <w:numFmt w:val="decimal"/>
      <w:suff w:val="nothing"/>
      <w:lvlText w:val="%1、"/>
      <w:lvlJc w:val="left"/>
    </w:lvl>
  </w:abstractNum>
  <w:abstractNum w:abstractNumId="1">
    <w:nsid w:val="589A9132"/>
    <w:multiLevelType w:val="singleLevel"/>
    <w:tmpl w:val="589A913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RhN2Y4MDAzNTBjMjY0ODI1MjliMDdlMDIzYjg1NzkifQ=="/>
  </w:docVars>
  <w:rsids>
    <w:rsidRoot w:val="00A5774A"/>
    <w:rsid w:val="0000366B"/>
    <w:rsid w:val="001625F1"/>
    <w:rsid w:val="001A6347"/>
    <w:rsid w:val="00352ACD"/>
    <w:rsid w:val="00372A86"/>
    <w:rsid w:val="00392A96"/>
    <w:rsid w:val="00515DD4"/>
    <w:rsid w:val="0055103D"/>
    <w:rsid w:val="00744023"/>
    <w:rsid w:val="007E1108"/>
    <w:rsid w:val="007F4BD1"/>
    <w:rsid w:val="008E71C8"/>
    <w:rsid w:val="0093599E"/>
    <w:rsid w:val="00A05358"/>
    <w:rsid w:val="00A2122A"/>
    <w:rsid w:val="00A5774A"/>
    <w:rsid w:val="00B83AC1"/>
    <w:rsid w:val="00D94858"/>
    <w:rsid w:val="00FD53FB"/>
    <w:rsid w:val="475A70CD"/>
    <w:rsid w:val="59AE71D4"/>
    <w:rsid w:val="72513B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rFonts w:ascii="Times New Roman" w:hAnsi="Times New Roman" w:eastAsia="宋体" w:cs="Times New Roman"/>
      <w:kern w:val="2"/>
      <w:sz w:val="18"/>
      <w:szCs w:val="18"/>
    </w:rPr>
  </w:style>
  <w:style w:type="character" w:customStyle="1" w:styleId="7">
    <w:name w:val="页脚 字符"/>
    <w:basedOn w:val="5"/>
    <w:link w:val="2"/>
    <w:autoRedefine/>
    <w:qFormat/>
    <w:uiPriority w:val="99"/>
    <w:rPr>
      <w:rFonts w:ascii="Times New Roman" w:hAnsi="Times New Roman" w:eastAsia="宋体" w:cs="Times New Roman"/>
      <w:kern w:val="2"/>
      <w:sz w:val="18"/>
      <w:szCs w:val="18"/>
    </w:rPr>
  </w:style>
  <w:style w:type="paragraph" w:customStyle="1" w:styleId="8">
    <w:name w:val="Default"/>
    <w:autoRedefine/>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36AE39-54D1-437C-AE83-D71A0A30860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17</Pages>
  <Words>1321</Words>
  <Characters>7533</Characters>
  <Lines>62</Lines>
  <Paragraphs>17</Paragraphs>
  <TotalTime>38</TotalTime>
  <ScaleCrop>false</ScaleCrop>
  <LinksUpToDate>false</LinksUpToDate>
  <CharactersWithSpaces>8837</CharactersWithSpaces>
  <Application>WPS Office_12.1.0.16364_F1E327BC-269C-435d-A152-05C5408002CA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2023-01-15T08:42:00Z</dcterms:created>
  <dc:creator>user</dc:creator>
  <cp:lastModifiedBy>菲菲</cp:lastModifiedBy>
  <dcterms:modified xsi:type="dcterms:W3CDTF">2024-10-16T07:55:04Z</dcterms:modified>
  <dc:title>2019年部门预算信息公开目录</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2052-12.1.0.16364</vt:lpwstr>
  </property>
  <property fmtid="{D5CDD505-2E9C-101B-9397-08002B2CF9AE}" pid="3" name="ICV">
    <vt:lpwstr>4175166BC4984C00A3815D6B42698B67_13</vt:lpwstr>
  </property>
</Properties>
</file>