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w:t>
      </w:r>
      <w:r>
        <w:rPr>
          <w:rFonts w:hint="eastAsia" w:ascii="方正小标宋简体" w:hAnsi="方正小标宋简体" w:eastAsia="方正小标宋简体" w:cs="方正小标宋简体"/>
          <w:sz w:val="44"/>
          <w:szCs w:val="44"/>
          <w:lang w:eastAsia="zh-CN"/>
        </w:rPr>
        <w:t>赞皇县</w:t>
      </w:r>
      <w:r>
        <w:rPr>
          <w:rFonts w:hint="eastAsia" w:ascii="方正小标宋简体" w:hAnsi="方正小标宋简体" w:eastAsia="方正小标宋简体" w:cs="方正小标宋简体"/>
          <w:sz w:val="44"/>
          <w:szCs w:val="44"/>
          <w:lang w:val="en-US" w:eastAsia="zh-CN"/>
        </w:rPr>
        <w:t>委</w:t>
      </w:r>
      <w:r>
        <w:rPr>
          <w:rFonts w:hint="eastAsia" w:ascii="方正小标宋简体" w:hAnsi="方正小标宋简体" w:eastAsia="方正小标宋简体" w:cs="方正小标宋简体"/>
          <w:sz w:val="44"/>
          <w:szCs w:val="44"/>
          <w:lang w:eastAsia="zh-CN"/>
        </w:rPr>
        <w:t>政法委</w:t>
      </w:r>
      <w:r>
        <w:rPr>
          <w:rFonts w:hint="eastAsia" w:ascii="方正小标宋简体" w:hAnsi="方正小标宋简体" w:eastAsia="方正小标宋简体" w:cs="方正小标宋简体"/>
          <w:sz w:val="44"/>
          <w:szCs w:val="44"/>
          <w:lang w:val="en-US" w:eastAsia="zh-CN"/>
        </w:rPr>
        <w:t>员会</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22</w:t>
      </w:r>
      <w:r>
        <w:rPr>
          <w:rFonts w:hint="eastAsia" w:ascii="方正小标宋简体" w:hAnsi="方正小标宋简体" w:eastAsia="方正小标宋简体" w:cs="方正小标宋简体"/>
          <w:sz w:val="44"/>
          <w:szCs w:val="44"/>
        </w:rPr>
        <w:t>年部门预算信息公开情况说明</w:t>
      </w:r>
    </w:p>
    <w:p>
      <w:pPr>
        <w:jc w:val="center"/>
        <w:rPr>
          <w:rFonts w:hint="eastAsia" w:ascii="Times New Roman" w:hAnsi="Times New Roman" w:eastAsia="方正小标宋_GBK" w:cs="Times New Roman"/>
          <w:sz w:val="44"/>
          <w:szCs w:val="44"/>
        </w:rPr>
      </w:pPr>
    </w:p>
    <w:p>
      <w:pPr>
        <w:ind w:firstLine="640"/>
        <w:rPr>
          <w:rFonts w:hint="eastAsia" w:ascii="仿宋" w:hAnsi="仿宋" w:eastAsia="仿宋" w:cs="Times New Roman"/>
          <w:sz w:val="32"/>
          <w:szCs w:val="32"/>
        </w:rPr>
      </w:pPr>
      <w:r>
        <w:rPr>
          <w:rFonts w:ascii="仿宋" w:hAnsi="仿宋" w:eastAsia="仿宋" w:cs="Times New Roman"/>
          <w:color w:val="000000" w:themeColor="text1"/>
          <w:sz w:val="32"/>
          <w:szCs w:val="32"/>
        </w:rPr>
        <w:t>按照</w:t>
      </w:r>
      <w:r>
        <w:rPr>
          <w:rFonts w:hint="eastAsia" w:ascii="仿宋" w:hAnsi="仿宋" w:eastAsia="仿宋" w:cs="Times New Roman"/>
          <w:color w:val="000000" w:themeColor="text1"/>
          <w:sz w:val="32"/>
          <w:szCs w:val="32"/>
        </w:rPr>
        <w:t>《</w:t>
      </w:r>
      <w:r>
        <w:rPr>
          <w:rFonts w:hint="eastAsia" w:ascii="仿宋" w:hAnsi="仿宋" w:eastAsia="仿宋" w:cs="Times New Roman"/>
          <w:color w:val="000000" w:themeColor="text1"/>
          <w:sz w:val="32"/>
          <w:szCs w:val="32"/>
          <w:lang w:val="en-US" w:eastAsia="zh-CN"/>
        </w:rPr>
        <w:t>中华人民共和国</w:t>
      </w:r>
      <w:r>
        <w:rPr>
          <w:rFonts w:hint="eastAsia" w:ascii="仿宋" w:hAnsi="仿宋" w:eastAsia="仿宋" w:cs="Times New Roman"/>
          <w:color w:val="000000" w:themeColor="text1"/>
          <w:sz w:val="32"/>
          <w:szCs w:val="32"/>
        </w:rPr>
        <w:t>预算法》、</w:t>
      </w:r>
      <w:r>
        <w:rPr>
          <w:rFonts w:ascii="仿宋" w:hAnsi="仿宋" w:eastAsia="仿宋" w:cs="Times New Roman"/>
          <w:color w:val="000000" w:themeColor="text1"/>
          <w:sz w:val="32"/>
          <w:szCs w:val="32"/>
        </w:rPr>
        <w:t>《地方预决算公开操作规程》和</w:t>
      </w:r>
      <w:r>
        <w:rPr>
          <w:rFonts w:hint="eastAsia" w:ascii="仿宋" w:hAnsi="仿宋" w:eastAsia="仿宋"/>
          <w:color w:val="000000" w:themeColor="text1"/>
          <w:sz w:val="32"/>
          <w:szCs w:val="32"/>
          <w:lang w:eastAsia="zh-CN"/>
        </w:rPr>
        <w:t>《</w:t>
      </w:r>
      <w:r>
        <w:rPr>
          <w:rFonts w:hint="eastAsia" w:ascii="仿宋" w:hAnsi="仿宋" w:eastAsia="仿宋"/>
          <w:color w:val="000000" w:themeColor="text1"/>
          <w:sz w:val="32"/>
          <w:szCs w:val="32"/>
          <w:lang w:val="en-US" w:eastAsia="zh-CN"/>
        </w:rPr>
        <w:t>河北省省级预算公开办法</w:t>
      </w:r>
      <w:r>
        <w:rPr>
          <w:rFonts w:hint="eastAsia" w:ascii="仿宋" w:hAnsi="仿宋" w:eastAsia="仿宋"/>
          <w:color w:val="000000" w:themeColor="text1"/>
          <w:sz w:val="32"/>
          <w:szCs w:val="32"/>
          <w:lang w:eastAsia="zh-CN"/>
        </w:rPr>
        <w:t>》</w:t>
      </w:r>
      <w:r>
        <w:rPr>
          <w:rFonts w:hint="eastAsia" w:ascii="仿宋" w:hAnsi="仿宋" w:eastAsia="仿宋" w:cs="Times New Roman"/>
          <w:color w:val="000000" w:themeColor="text1"/>
          <w:sz w:val="32"/>
          <w:szCs w:val="32"/>
        </w:rPr>
        <w:t>规定</w:t>
      </w:r>
      <w:r>
        <w:rPr>
          <w:rFonts w:ascii="仿宋" w:hAnsi="仿宋" w:eastAsia="仿宋" w:cs="Times New Roman"/>
          <w:color w:val="000000" w:themeColor="text1"/>
          <w:sz w:val="32"/>
          <w:szCs w:val="32"/>
        </w:rPr>
        <w:t>，</w:t>
      </w:r>
      <w:r>
        <w:rPr>
          <w:rFonts w:hint="eastAsia" w:ascii="仿宋" w:hAnsi="仿宋" w:eastAsia="仿宋" w:cs="Times New Roman"/>
          <w:sz w:val="32"/>
          <w:szCs w:val="32"/>
        </w:rPr>
        <w:t>现将</w:t>
      </w:r>
      <w:r>
        <w:rPr>
          <w:rFonts w:hint="eastAsia" w:ascii="仿宋" w:hAnsi="仿宋" w:eastAsia="仿宋" w:cs="Times New Roman"/>
          <w:sz w:val="32"/>
          <w:szCs w:val="32"/>
          <w:lang w:val="en-US" w:eastAsia="zh-CN"/>
        </w:rPr>
        <w:t>中共</w:t>
      </w:r>
      <w:r>
        <w:rPr>
          <w:rFonts w:hint="eastAsia" w:ascii="仿宋" w:hAnsi="仿宋" w:eastAsia="仿宋" w:cs="Times New Roman"/>
          <w:sz w:val="32"/>
          <w:szCs w:val="32"/>
        </w:rPr>
        <w:t>赞皇县</w:t>
      </w:r>
      <w:r>
        <w:rPr>
          <w:rFonts w:hint="eastAsia" w:ascii="仿宋" w:hAnsi="仿宋" w:eastAsia="仿宋" w:cs="Times New Roman"/>
          <w:sz w:val="32"/>
          <w:szCs w:val="32"/>
          <w:lang w:val="en-US" w:eastAsia="zh-CN"/>
        </w:rPr>
        <w:t>委</w:t>
      </w:r>
      <w:r>
        <w:rPr>
          <w:rFonts w:hint="eastAsia" w:ascii="仿宋" w:hAnsi="仿宋" w:eastAsia="仿宋" w:cs="Times New Roman"/>
          <w:sz w:val="32"/>
          <w:szCs w:val="32"/>
          <w:lang w:eastAsia="zh-CN"/>
        </w:rPr>
        <w:t>政法委</w:t>
      </w:r>
      <w:r>
        <w:rPr>
          <w:rFonts w:hint="eastAsia" w:ascii="仿宋" w:hAnsi="仿宋" w:eastAsia="仿宋" w:cs="Times New Roman"/>
          <w:sz w:val="32"/>
          <w:szCs w:val="32"/>
          <w:lang w:val="en-US" w:eastAsia="zh-CN"/>
        </w:rPr>
        <w:t>员会</w:t>
      </w:r>
      <w:r>
        <w:rPr>
          <w:rFonts w:hint="eastAsia" w:ascii="仿宋" w:hAnsi="仿宋" w:eastAsia="仿宋" w:cs="Times New Roman"/>
          <w:sz w:val="32"/>
          <w:szCs w:val="32"/>
        </w:rPr>
        <w:t>202</w:t>
      </w: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bookmarkStart w:id="9" w:name="_GoBack"/>
      <w:bookmarkEnd w:id="9"/>
    </w:p>
    <w:p>
      <w:pPr>
        <w:ind w:firstLine="643" w:firstLineChars="200"/>
        <w:rPr>
          <w:rFonts w:hint="eastAsia" w:ascii="楷体" w:hAnsi="楷体" w:eastAsia="楷体" w:cs="楷体"/>
          <w:b/>
          <w:bCs w:val="0"/>
          <w:sz w:val="32"/>
          <w:szCs w:val="32"/>
        </w:rPr>
      </w:pPr>
      <w:r>
        <w:rPr>
          <w:rFonts w:hint="eastAsia" w:ascii="楷体" w:hAnsi="楷体" w:eastAsia="楷体" w:cs="楷体"/>
          <w:b/>
          <w:bCs w:val="0"/>
          <w:sz w:val="32"/>
          <w:szCs w:val="32"/>
        </w:rPr>
        <w:t>部门职责：</w:t>
      </w:r>
    </w:p>
    <w:p>
      <w:pPr>
        <w:ind w:firstLine="640" w:firstLineChars="200"/>
        <w:rPr>
          <w:rFonts w:hint="eastAsia" w:ascii="仿宋" w:hAnsi="仿宋" w:eastAsia="仿宋" w:cs="仿宋"/>
          <w:sz w:val="32"/>
          <w:szCs w:val="32"/>
        </w:rPr>
      </w:pPr>
      <w:r>
        <w:rPr>
          <w:rFonts w:hint="eastAsia" w:ascii="仿宋" w:hAnsi="仿宋" w:eastAsia="仿宋" w:cs="仿宋"/>
          <w:b w:val="0"/>
          <w:bCs/>
          <w:sz w:val="32"/>
          <w:szCs w:val="32"/>
        </w:rPr>
        <w:t>（</w:t>
      </w:r>
      <w:r>
        <w:rPr>
          <w:rFonts w:hint="eastAsia" w:ascii="仿宋" w:hAnsi="仿宋" w:eastAsia="仿宋" w:cs="仿宋"/>
          <w:sz w:val="32"/>
          <w:szCs w:val="32"/>
        </w:rPr>
        <w:t>一）贯彻习近平新时代中国特色社会主义思想，坚持党对政法工作的绝对领导，坚决执行党的路线方针政策和党中央重大决策部署，推动完善和落实政治轮训和政治督察制度。</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（二）贯彻党中央以及上级党组织决定，研究协调政法单位之间、政法单位和有关部门、地方之间有关重大事项，统一政法单位思想和行动。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（三）加强对政法领域重大实践和理论问题调查研究，提出重大决策部署和改革措施的意见和建议，协助党委决策和统筹推进政法改革等各项工作。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了解掌握和分析研判社会稳定形势、政法工作情况动态，创新完善多部门参与的平安建设工作协调机制，协调推动预防、化解影响稳定的社会矛盾和风险，协调应对和妥善处置重大突发事件，协调指导政法单位和相关部门做好反邪教、反暴恐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（五）加强对政法工作的督查，统筹协调社会治安综合治理、维护社会稳定、反邪教、反暴恐等有关国家法律法规和政策的实施工作。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六）支持和监督政法单位依法行使职权，检查政法单位执行党的路线方针政策、党中央重大决策部署和国家法律法规的情况，指导和协调政法单位密切配合，完善与纪检监察机关工作衔接和协作配合机制，推进严格执法、公正司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七）指导和推动政法单位党的建设和政法队伍建设，协助党委及其组织部门加强政法单位领导班子和干部队伍建设，协助党委和纪检监察机关做好监督检查、审查调查工作，派员列席同级政法单位党组（党委）民主生活会。</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八）落实中央和地方各级国家安全领导机构、全面依法治国领导机构的决策部署，支持配合其办事机构工作；指导政法单位加强国家政治安全战略研究、法治中国建设重大问题研究，提出建议和工作意见，指导和协调政法单位维护政治安全工作和执法司法相关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（九）掌握分析政法舆情动态，指导和协调政法单位和有关部门做好依法办理、宣传报道和舆论引导等相关工作。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（十）完成党委和上级党委政法委员会交办的其他任务。</w:t>
      </w:r>
    </w:p>
    <w:p>
      <w:pPr>
        <w:autoSpaceDE w:val="0"/>
        <w:autoSpaceDN w:val="0"/>
        <w:adjustRightInd w:val="0"/>
        <w:ind w:firstLine="643" w:firstLineChars="200"/>
        <w:jc w:val="left"/>
        <w:rPr>
          <w:rFonts w:hint="eastAsia" w:ascii="楷体" w:hAnsi="楷体" w:eastAsia="楷体" w:cs="楷体"/>
          <w:b/>
          <w:bCs w:val="0"/>
          <w:sz w:val="32"/>
          <w:szCs w:val="32"/>
        </w:rPr>
      </w:pPr>
      <w:r>
        <w:rPr>
          <w:rFonts w:hint="eastAsia" w:ascii="楷体" w:hAnsi="楷体" w:eastAsia="楷体" w:cs="楷体"/>
          <w:b/>
          <w:bCs w:val="0"/>
          <w:sz w:val="32"/>
          <w:szCs w:val="32"/>
        </w:rPr>
        <w:t>机构设置：</w:t>
      </w:r>
    </w:p>
    <w:p>
      <w:pPr>
        <w:jc w:val="center"/>
        <w:outlineLvl w:val="0"/>
        <w:rPr>
          <w:rFonts w:hint="eastAsia" w:ascii="仿宋" w:hAnsi="仿宋" w:eastAsia="仿宋" w:cs="仿宋"/>
          <w:b/>
          <w:bCs/>
          <w:sz w:val="32"/>
          <w:szCs w:val="24"/>
        </w:rPr>
      </w:pPr>
      <w:r>
        <w:rPr>
          <w:rFonts w:hint="eastAsia" w:ascii="仿宋" w:hAnsi="仿宋" w:eastAsia="仿宋" w:cs="仿宋"/>
          <w:b/>
          <w:bCs/>
          <w:sz w:val="32"/>
          <w:szCs w:val="24"/>
        </w:rPr>
        <w:t>部门机构设置情况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中共赞皇县委政法委员会</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按照预算管理有关规定，目前我省部门预算的编制实行综合预算管理，即全部收入和支出都反映在预算中。</w:t>
      </w:r>
      <w:r>
        <w:rPr>
          <w:rFonts w:hint="eastAsia" w:ascii="仿宋" w:hAnsi="仿宋" w:eastAsia="仿宋" w:cs="Times New Roman"/>
          <w:sz w:val="32"/>
          <w:szCs w:val="32"/>
          <w:lang w:eastAsia="zh-CN"/>
        </w:rPr>
        <w:t>县政法委</w:t>
      </w:r>
      <w:r>
        <w:rPr>
          <w:rFonts w:hint="eastAsia" w:ascii="仿宋" w:hAnsi="仿宋" w:eastAsia="仿宋" w:cs="Times New Roman"/>
          <w:sz w:val="32"/>
          <w:szCs w:val="32"/>
        </w:rPr>
        <w:t>的收支包含在部门预算中。</w:t>
      </w:r>
    </w:p>
    <w:p>
      <w:pPr>
        <w:ind w:firstLine="643" w:firstLineChars="200"/>
        <w:rPr>
          <w:rFonts w:hint="eastAsia" w:ascii="楷体" w:hAnsi="楷体" w:eastAsia="楷体" w:cs="楷体"/>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反映本部门当年全部收入。</w:t>
      </w: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435.59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435.59</w:t>
      </w:r>
      <w:r>
        <w:rPr>
          <w:rFonts w:hint="eastAsia" w:ascii="仿宋" w:hAnsi="仿宋" w:eastAsia="仿宋" w:cs="仿宋"/>
          <w:sz w:val="32"/>
          <w:szCs w:val="32"/>
        </w:rPr>
        <w:t>万元，基金预算收入0万元，</w:t>
      </w:r>
      <w:r>
        <w:rPr>
          <w:rFonts w:hint="eastAsia" w:ascii="仿宋" w:hAnsi="仿宋" w:eastAsia="仿宋" w:cs="仿宋"/>
          <w:sz w:val="32"/>
          <w:szCs w:val="32"/>
          <w:lang w:eastAsia="zh-CN"/>
        </w:rPr>
        <w:t>国有资本经营预算收入</w:t>
      </w:r>
      <w:r>
        <w:rPr>
          <w:rFonts w:hint="eastAsia" w:ascii="仿宋" w:hAnsi="仿宋" w:eastAsia="仿宋" w:cs="仿宋"/>
          <w:sz w:val="32"/>
          <w:szCs w:val="32"/>
          <w:lang w:val="en-US" w:eastAsia="zh-CN"/>
        </w:rPr>
        <w:t>0万元，</w:t>
      </w:r>
      <w:r>
        <w:rPr>
          <w:rFonts w:hint="eastAsia" w:ascii="仿宋" w:hAnsi="仿宋" w:eastAsia="仿宋" w:cs="仿宋"/>
          <w:sz w:val="32"/>
          <w:szCs w:val="32"/>
        </w:rPr>
        <w:t>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楷体" w:hAnsi="楷体" w:eastAsia="楷体" w:cs="楷体"/>
          <w:b/>
          <w:bCs/>
          <w:sz w:val="32"/>
          <w:szCs w:val="32"/>
        </w:rPr>
      </w:pPr>
      <w:r>
        <w:rPr>
          <w:rFonts w:hint="eastAsia" w:ascii="楷体" w:hAnsi="楷体" w:eastAsia="楷体" w:cs="楷体"/>
          <w:sz w:val="32"/>
          <w:szCs w:val="32"/>
          <w:lang w:eastAsia="zh-CN"/>
        </w:rPr>
        <w:t>（二）</w:t>
      </w:r>
      <w:r>
        <w:rPr>
          <w:rFonts w:hint="eastAsia" w:ascii="楷体" w:hAnsi="楷体" w:eastAsia="楷体" w:cs="楷体"/>
          <w:b/>
          <w:bCs/>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中共赞皇县委政法委员会</w:t>
      </w:r>
      <w:r>
        <w:rPr>
          <w:rFonts w:hint="eastAsia" w:ascii="仿宋" w:hAnsi="仿宋" w:eastAsia="仿宋" w:cs="仿宋"/>
          <w:sz w:val="32"/>
          <w:szCs w:val="32"/>
        </w:rPr>
        <w:t>年度部门预算中支出预算的总体情况。</w:t>
      </w:r>
      <w:r>
        <w:rPr>
          <w:rFonts w:hint="eastAsia" w:ascii="仿宋" w:hAnsi="仿宋" w:eastAsia="仿宋" w:cs="仿宋"/>
          <w:sz w:val="32"/>
          <w:szCs w:val="32"/>
          <w:lang w:val="en-US" w:eastAsia="zh-CN"/>
        </w:rPr>
        <w:t>2022</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435.59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248.05</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220.01</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28.04</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187.54</w:t>
      </w:r>
      <w:r>
        <w:rPr>
          <w:rFonts w:hint="eastAsia" w:ascii="仿宋" w:hAnsi="仿宋" w:eastAsia="仿宋" w:cs="仿宋"/>
          <w:sz w:val="32"/>
          <w:szCs w:val="32"/>
        </w:rPr>
        <w:t>万元</w:t>
      </w:r>
      <w:r>
        <w:rPr>
          <w:rFonts w:hint="eastAsia" w:ascii="仿宋" w:hAnsi="仿宋" w:eastAsia="仿宋" w:cs="仿宋"/>
          <w:sz w:val="32"/>
          <w:szCs w:val="32"/>
          <w:lang w:val="en-US" w:eastAsia="zh-CN"/>
        </w:rPr>
        <w:t>,主要为见义勇为基金、人民调解经费、铁路护路联防经费、严重精神障碍患者监护人责任险以奖代补资金、综治工作经费、综治信息系统、政法租赁及维护费用等。</w:t>
      </w:r>
    </w:p>
    <w:p>
      <w:pPr>
        <w:ind w:firstLine="643" w:firstLineChars="200"/>
        <w:rPr>
          <w:rFonts w:ascii="仿宋" w:hAnsi="仿宋" w:eastAsia="仿宋" w:cs="仿宋"/>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比上年增减情况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部门预算收支安排435.59万元，较2021年增加139.8万元，其中：基本支出增加91.4万元，其中人员经费增加84.24万元，日常公用经费增加7.16万元，因为人员调动增加，造成人员经费增加和日常公用相应增加；项目支出减少2.3万元，主要是减少人民调解和高铁护路资金资金；其他支出无增减变化。</w:t>
      </w:r>
    </w:p>
    <w:p>
      <w:pPr>
        <w:autoSpaceDE w:val="0"/>
        <w:autoSpaceDN w:val="0"/>
        <w:adjustRightInd w:val="0"/>
        <w:ind w:left="198" w:firstLine="640" w:firstLineChars="200"/>
        <w:jc w:val="left"/>
        <w:rPr>
          <w:rFonts w:hint="eastAsia" w:ascii="黑体" w:hAnsi="黑体" w:eastAsia="黑体" w:cs="黑体"/>
          <w:b w:val="0"/>
          <w:bCs w:val="0"/>
          <w:sz w:val="32"/>
          <w:szCs w:val="32"/>
        </w:rPr>
      </w:pPr>
      <w:r>
        <w:rPr>
          <w:rFonts w:hint="eastAsia" w:ascii="黑体" w:hAnsi="黑体" w:eastAsia="黑体" w:cs="黑体"/>
          <w:b w:val="0"/>
          <w:bCs w:val="0"/>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w:t>
      </w:r>
      <w:r>
        <w:rPr>
          <w:rFonts w:hint="eastAsia" w:ascii="仿宋" w:hAnsi="仿宋" w:eastAsia="仿宋" w:cs="仿宋"/>
          <w:sz w:val="32"/>
          <w:szCs w:val="32"/>
          <w:lang w:eastAsia="zh-CN"/>
        </w:rPr>
        <w:t>机关</w:t>
      </w:r>
      <w:r>
        <w:rPr>
          <w:rFonts w:hint="eastAsia" w:ascii="仿宋" w:hAnsi="仿宋" w:eastAsia="仿宋" w:cs="仿宋"/>
          <w:sz w:val="32"/>
          <w:szCs w:val="32"/>
        </w:rPr>
        <w:t>运行经费共计安排</w:t>
      </w:r>
      <w:r>
        <w:rPr>
          <w:rFonts w:hint="eastAsia" w:ascii="仿宋" w:hAnsi="仿宋" w:eastAsia="仿宋" w:cs="仿宋"/>
          <w:sz w:val="32"/>
          <w:szCs w:val="32"/>
          <w:lang w:val="en-US" w:eastAsia="zh-CN"/>
        </w:rPr>
        <w:t>28.04</w:t>
      </w:r>
      <w:r>
        <w:rPr>
          <w:rFonts w:hint="eastAsia" w:ascii="仿宋" w:hAnsi="仿宋" w:eastAsia="仿宋" w:cs="仿宋"/>
          <w:sz w:val="32"/>
          <w:szCs w:val="32"/>
        </w:rPr>
        <w:t>万元，主要用于</w:t>
      </w:r>
      <w:r>
        <w:rPr>
          <w:rFonts w:hint="eastAsia" w:ascii="仿宋" w:hAnsi="仿宋" w:eastAsia="仿宋" w:cs="仿宋"/>
          <w:sz w:val="32"/>
          <w:szCs w:val="32"/>
          <w:lang w:eastAsia="zh-CN"/>
        </w:rPr>
        <w:t>办公</w:t>
      </w:r>
      <w:r>
        <w:rPr>
          <w:rFonts w:hint="eastAsia" w:ascii="仿宋" w:hAnsi="仿宋" w:eastAsia="仿宋" w:cs="仿宋"/>
          <w:sz w:val="32"/>
          <w:szCs w:val="32"/>
        </w:rPr>
        <w:t>费</w:t>
      </w:r>
      <w:r>
        <w:rPr>
          <w:rFonts w:hint="eastAsia" w:ascii="仿宋" w:hAnsi="仿宋" w:eastAsia="仿宋" w:cs="仿宋"/>
          <w:sz w:val="32"/>
          <w:szCs w:val="32"/>
          <w:lang w:eastAsia="zh-CN"/>
        </w:rPr>
        <w:t>、差旅费、维修费、邮电费、公务交通补贴</w:t>
      </w:r>
      <w:r>
        <w:rPr>
          <w:rFonts w:hint="eastAsia" w:ascii="仿宋" w:hAnsi="仿宋" w:eastAsia="仿宋" w:cs="仿宋"/>
          <w:sz w:val="32"/>
          <w:szCs w:val="32"/>
        </w:rPr>
        <w:t>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年，财政拨款“三公”经费预算安排</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w:t>
      </w:r>
      <w:r>
        <w:rPr>
          <w:rFonts w:hint="eastAsia" w:ascii="仿宋" w:hAnsi="仿宋" w:eastAsia="仿宋" w:cs="仿宋"/>
          <w:sz w:val="32"/>
          <w:szCs w:val="32"/>
          <w:lang w:eastAsia="zh-CN"/>
        </w:rPr>
        <w:t>：</w:t>
      </w:r>
      <w:r>
        <w:rPr>
          <w:rFonts w:hint="eastAsia" w:ascii="仿宋" w:hAnsi="仿宋" w:eastAsia="仿宋" w:cs="仿宋"/>
          <w:sz w:val="32"/>
          <w:szCs w:val="32"/>
        </w:rPr>
        <w:t>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color w:val="000000" w:themeColor="text1"/>
          <w:sz w:val="32"/>
          <w:szCs w:val="32"/>
          <w:highlight w:val="none"/>
        </w:rPr>
        <w:t>，</w:t>
      </w:r>
      <w:r>
        <w:rPr>
          <w:rFonts w:hint="eastAsia" w:ascii="仿宋" w:hAnsi="仿宋" w:eastAsia="仿宋"/>
          <w:color w:val="000000" w:themeColor="text1"/>
          <w:sz w:val="32"/>
          <w:szCs w:val="32"/>
          <w:highlight w:val="none"/>
        </w:rPr>
        <w:t>与202</w:t>
      </w:r>
      <w:r>
        <w:rPr>
          <w:rFonts w:hint="eastAsia" w:ascii="仿宋" w:hAnsi="仿宋" w:eastAsia="仿宋"/>
          <w:color w:val="000000" w:themeColor="text1"/>
          <w:sz w:val="32"/>
          <w:szCs w:val="32"/>
          <w:highlight w:val="none"/>
          <w:lang w:val="en-US" w:eastAsia="zh-CN"/>
        </w:rPr>
        <w:t>1</w:t>
      </w:r>
      <w:r>
        <w:rPr>
          <w:rFonts w:hint="eastAsia" w:ascii="仿宋" w:hAnsi="仿宋" w:eastAsia="仿宋"/>
          <w:color w:val="000000" w:themeColor="text1"/>
          <w:sz w:val="32"/>
          <w:szCs w:val="32"/>
          <w:highlight w:val="none"/>
        </w:rPr>
        <w:t xml:space="preserve"> 年持平，无增减变化</w:t>
      </w:r>
      <w:r>
        <w:rPr>
          <w:rFonts w:hint="eastAsia" w:ascii="仿宋" w:hAnsi="仿宋" w:eastAsia="仿宋" w:cs="仿宋"/>
          <w:sz w:val="32"/>
          <w:szCs w:val="32"/>
        </w:rPr>
        <w:t>；公务用车购置及运维费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w:t>
      </w:r>
      <w:r>
        <w:rPr>
          <w:rFonts w:hint="eastAsia" w:ascii="仿宋" w:hAnsi="仿宋" w:eastAsia="仿宋" w:cs="仿宋"/>
          <w:sz w:val="32"/>
          <w:szCs w:val="32"/>
          <w:lang w:eastAsia="zh-CN"/>
        </w:rPr>
        <w:t>运行</w:t>
      </w:r>
      <w:r>
        <w:rPr>
          <w:rFonts w:hint="eastAsia" w:ascii="仿宋" w:hAnsi="仿宋" w:eastAsia="仿宋" w:cs="仿宋"/>
          <w:sz w:val="32"/>
          <w:szCs w:val="32"/>
        </w:rPr>
        <w:t>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color w:val="000000" w:themeColor="text1"/>
          <w:sz w:val="32"/>
          <w:szCs w:val="32"/>
        </w:rPr>
        <w:t>，与202</w:t>
      </w:r>
      <w:r>
        <w:rPr>
          <w:rFonts w:hint="eastAsia" w:ascii="仿宋" w:hAnsi="仿宋" w:eastAsia="仿宋" w:cs="仿宋_GB2312"/>
          <w:color w:val="000000" w:themeColor="text1"/>
          <w:sz w:val="32"/>
          <w:szCs w:val="32"/>
          <w:lang w:val="en-US" w:eastAsia="zh-CN"/>
        </w:rPr>
        <w:t>1</w:t>
      </w:r>
      <w:r>
        <w:rPr>
          <w:rFonts w:hint="eastAsia" w:ascii="仿宋" w:hAnsi="仿宋" w:eastAsia="仿宋" w:cs="仿宋_GB2312"/>
          <w:color w:val="000000" w:themeColor="text1"/>
          <w:sz w:val="32"/>
          <w:szCs w:val="32"/>
        </w:rPr>
        <w:t xml:space="preserve"> 年持平，无增减变化</w:t>
      </w:r>
      <w:r>
        <w:rPr>
          <w:rFonts w:hint="eastAsia" w:ascii="仿宋" w:hAnsi="仿宋" w:eastAsia="仿宋" w:cs="仿宋_GB2312"/>
          <w:color w:val="000000" w:themeColor="text1"/>
          <w:sz w:val="32"/>
          <w:szCs w:val="32"/>
          <w:lang w:eastAsia="zh-CN"/>
        </w:rPr>
        <w:t>；</w:t>
      </w:r>
      <w:r>
        <w:rPr>
          <w:rFonts w:hint="eastAsia" w:ascii="仿宋" w:hAnsi="仿宋" w:eastAsia="仿宋" w:cs="仿宋"/>
          <w:sz w:val="32"/>
          <w:szCs w:val="32"/>
          <w:lang w:eastAsia="zh-CN"/>
        </w:rPr>
        <w:t>车辆</w:t>
      </w:r>
      <w:r>
        <w:rPr>
          <w:rFonts w:hint="eastAsia" w:ascii="仿宋" w:hAnsi="仿宋" w:eastAsia="仿宋" w:cs="仿宋"/>
          <w:sz w:val="32"/>
          <w:szCs w:val="32"/>
        </w:rPr>
        <w:t>购置费为0万元</w:t>
      </w:r>
      <w:r>
        <w:rPr>
          <w:rFonts w:hint="eastAsia" w:ascii="仿宋" w:hAnsi="仿宋" w:eastAsia="仿宋" w:cs="仿宋_GB2312"/>
          <w:color w:val="000000" w:themeColor="text1"/>
          <w:sz w:val="32"/>
          <w:szCs w:val="32"/>
        </w:rPr>
        <w:t>，</w:t>
      </w:r>
      <w:r>
        <w:rPr>
          <w:rFonts w:hint="eastAsia" w:ascii="仿宋" w:hAnsi="仿宋" w:eastAsia="仿宋"/>
          <w:color w:val="000000" w:themeColor="text1"/>
          <w:sz w:val="32"/>
          <w:szCs w:val="32"/>
        </w:rPr>
        <w:t>与202</w:t>
      </w:r>
      <w:r>
        <w:rPr>
          <w:rFonts w:hint="eastAsia" w:ascii="仿宋" w:hAnsi="仿宋" w:eastAsia="仿宋"/>
          <w:color w:val="000000" w:themeColor="text1"/>
          <w:sz w:val="32"/>
          <w:szCs w:val="32"/>
          <w:lang w:val="en-US" w:eastAsia="zh-CN"/>
        </w:rPr>
        <w:t>1</w:t>
      </w:r>
      <w:r>
        <w:rPr>
          <w:rFonts w:hint="eastAsia" w:ascii="仿宋" w:hAnsi="仿宋" w:eastAsia="仿宋"/>
          <w:color w:val="000000" w:themeColor="text1"/>
          <w:sz w:val="32"/>
          <w:szCs w:val="32"/>
        </w:rPr>
        <w:t>年持平，无增减变化。</w:t>
      </w:r>
      <w:r>
        <w:rPr>
          <w:rFonts w:hint="eastAsia" w:ascii="仿宋" w:hAnsi="仿宋" w:eastAsia="仿宋" w:cs="仿宋"/>
          <w:sz w:val="32"/>
          <w:szCs w:val="32"/>
        </w:rPr>
        <w:t>)；公务接待费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color w:val="000000" w:themeColor="text1"/>
          <w:sz w:val="32"/>
          <w:szCs w:val="32"/>
        </w:rPr>
        <w:t>，</w:t>
      </w:r>
      <w:r>
        <w:rPr>
          <w:rFonts w:hint="eastAsia" w:ascii="仿宋" w:hAnsi="仿宋" w:eastAsia="仿宋"/>
          <w:color w:val="000000" w:themeColor="text1"/>
          <w:sz w:val="32"/>
          <w:szCs w:val="32"/>
        </w:rPr>
        <w:t>与202</w:t>
      </w:r>
      <w:r>
        <w:rPr>
          <w:rFonts w:hint="eastAsia" w:ascii="仿宋" w:hAnsi="仿宋" w:eastAsia="仿宋"/>
          <w:color w:val="000000" w:themeColor="text1"/>
          <w:sz w:val="32"/>
          <w:szCs w:val="32"/>
          <w:lang w:val="en-US" w:eastAsia="zh-CN"/>
        </w:rPr>
        <w:t>1</w:t>
      </w:r>
      <w:r>
        <w:rPr>
          <w:rFonts w:hint="eastAsia" w:ascii="仿宋" w:hAnsi="仿宋" w:eastAsia="仿宋"/>
          <w:color w:val="000000" w:themeColor="text1"/>
          <w:sz w:val="32"/>
          <w:szCs w:val="32"/>
        </w:rPr>
        <w:t>年持平，无增减变化</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三公</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经费与2021年持平，无增减变化</w:t>
      </w:r>
      <w:r>
        <w:rPr>
          <w:rFonts w:hint="eastAsia" w:ascii="仿宋" w:hAnsi="仿宋" w:eastAsia="仿宋" w:cs="仿宋"/>
          <w:sz w:val="32"/>
          <w:szCs w:val="32"/>
        </w:rPr>
        <w:t>。</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我部门无公务用车。</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hint="eastAsia" w:ascii="黑体" w:hAnsi="黑体" w:eastAsia="黑体" w:cs="黑体"/>
          <w:b w:val="0"/>
          <w:bCs/>
          <w:sz w:val="32"/>
          <w:szCs w:val="32"/>
          <w:lang w:eastAsia="zh-CN"/>
        </w:rPr>
      </w:pPr>
      <w:bookmarkStart w:id="0" w:name="_Toc471398463"/>
      <w:r>
        <w:rPr>
          <w:rFonts w:hint="eastAsia" w:ascii="楷体" w:hAnsi="楷体" w:eastAsia="楷体" w:cs="楷体"/>
          <w:b/>
          <w:bCs w:val="0"/>
          <w:sz w:val="32"/>
          <w:szCs w:val="32"/>
          <w:lang w:eastAsia="zh-CN"/>
        </w:rPr>
        <w:t>第一部分</w:t>
      </w:r>
      <w:r>
        <w:rPr>
          <w:rFonts w:hint="eastAsia" w:ascii="楷体" w:hAnsi="楷体" w:eastAsia="楷体" w:cs="楷体"/>
          <w:b/>
          <w:bCs w:val="0"/>
          <w:sz w:val="32"/>
          <w:szCs w:val="32"/>
          <w:lang w:val="en-US" w:eastAsia="zh-CN"/>
        </w:rPr>
        <w:t xml:space="preserve">  部门整体绩效目标</w:t>
      </w:r>
    </w:p>
    <w:p>
      <w:pPr>
        <w:ind w:firstLine="640" w:firstLineChars="200"/>
        <w:jc w:val="left"/>
        <w:rPr>
          <w:rFonts w:ascii="Times New Roman" w:hAnsi="Times New Roman" w:eastAsia="方正仿宋_GBK" w:cs="Times New Roman"/>
          <w:b/>
          <w:sz w:val="32"/>
          <w:szCs w:val="32"/>
        </w:rPr>
      </w:pPr>
      <w:r>
        <w:rPr>
          <w:rFonts w:hint="eastAsia" w:ascii="黑体" w:hAnsi="黑体" w:eastAsia="黑体" w:cs="黑体"/>
          <w:b w:val="0"/>
          <w:bCs/>
          <w:sz w:val="32"/>
          <w:szCs w:val="32"/>
          <w:lang w:eastAsia="zh-CN"/>
        </w:rPr>
        <w:t>（一）</w:t>
      </w:r>
      <w:r>
        <w:rPr>
          <w:rFonts w:hint="eastAsia" w:ascii="黑体" w:hAnsi="黑体" w:eastAsia="黑体" w:cs="黑体"/>
          <w:b w:val="0"/>
          <w:bCs/>
          <w:sz w:val="32"/>
          <w:szCs w:val="32"/>
        </w:rPr>
        <w:t>总体绩效目标：</w:t>
      </w:r>
    </w:p>
    <w:p>
      <w:pPr>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ascii="Times New Roman" w:eastAsia="方正仿宋_GBK"/>
          <w:lang w:eastAsia="zh-CN"/>
        </w:rPr>
        <w:t xml:space="preserve"> </w:t>
      </w:r>
      <w:r>
        <w:rPr>
          <w:rFonts w:hint="eastAsia" w:ascii="仿宋" w:hAnsi="仿宋" w:eastAsia="仿宋" w:cs="仿宋"/>
          <w:sz w:val="32"/>
          <w:szCs w:val="32"/>
          <w:lang w:eastAsia="zh-CN"/>
        </w:rPr>
        <w:t>一是突出情报引领，强化矛盾纠纷排查调处，坚决维护社会稳定，权利维护政治安全和社会大局稳定。二是创新管理方式，强化社会治安综合治理，努力提升平安建设水平。全面落实综治领导责任制，深入推进扫黑除恶专项斗争，强化立体化信息化治安防控，提升社会矛盾纠纷防空能力。1.以打击突出违法犯罪为重点，努力提升打击犯罪能力。结合有关部门加大宣传力度，提高群众的防范意识。2.以平安创建为契机，全力提高社会治安驾驭能力。严密社会面管控，深入推进网格化管理机制，加强社会信息搜集、上报、汇总、分析，有效提升打击、防控、处置和服务能力。严厉打击“黄赌毒”、食药品以及环境污染犯罪。要发动群众检举揭发黄赌毒线索，加大线索核查和暗访侦查，对“黄赌毒”、食药品以及环境污染实施精确打击，全面净化食品、药品市场环境。广泛搜集环境安全违法犯罪线索，积极沟通环保部门，加大对厂矿企业的排查力度，主动发现相关案件线索，严厉打击环境污染犯罪行为。提升综治信息化管理化水平，新建和维护好“雪亮工程”，在监控数量逐渐增加的基础上，从实战角度出发，着重提升视频监控整体运用效能。3.学习新时代“枫桥”经验，加强诉调对接中心建设，增强社会治安综合治理基础设施建设，充分运用综治视联网网络，提升社会治安综合治理水平。三是深化队伍建设，不断增强核心战斗力，服务保障发展。</w:t>
      </w:r>
    </w:p>
    <w:p>
      <w:pPr>
        <w:ind w:firstLine="640" w:firstLineChars="200"/>
        <w:jc w:val="left"/>
        <w:rPr>
          <w:rFonts w:hint="eastAsia" w:ascii="黑体" w:hAnsi="黑体" w:eastAsia="黑体" w:cs="黑体"/>
          <w:b w:val="0"/>
          <w:bCs/>
          <w:sz w:val="32"/>
          <w:szCs w:val="32"/>
        </w:rPr>
      </w:pPr>
      <w:r>
        <w:rPr>
          <w:rFonts w:hint="eastAsia" w:ascii="黑体" w:hAnsi="黑体" w:eastAsia="黑体" w:cs="黑体"/>
          <w:b w:val="0"/>
          <w:bCs/>
          <w:sz w:val="32"/>
          <w:szCs w:val="32"/>
          <w:lang w:eastAsia="zh-CN"/>
        </w:rPr>
        <w:t>（二）分项</w:t>
      </w:r>
      <w:r>
        <w:rPr>
          <w:rFonts w:hint="eastAsia" w:ascii="黑体" w:hAnsi="黑体" w:eastAsia="黑体" w:cs="黑体"/>
          <w:b w:val="0"/>
          <w:bCs/>
          <w:sz w:val="32"/>
          <w:szCs w:val="32"/>
        </w:rPr>
        <w:t>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维护社会稳定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rPr>
        <w:t>绩效目标： 指导、协调和督导全县各级各部门排查、化解影响社会的重大不稳定隐患、群体性时间和突发性事件及影响社会稳定的事件。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rPr>
        <w:t>绩效指标：妥善处置重大不稳定隐患、群体性事件和突发事件达100%；及时发现各类涉稳信息，对发现的各类涉稳舆情做到及时发现、及时处置、及时督办，充分发挥各职能部门职能优势，涉及县舆情炒作减少至1%以下；各项工作机制进一步完善健全，有效维护我县社会大局稳定，确保社会秩序良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lang w:val="en-US" w:eastAsia="zh-CN"/>
        </w:rPr>
        <w:t>（二）</w:t>
      </w:r>
      <w:r>
        <w:rPr>
          <w:rFonts w:hint="eastAsia" w:ascii="仿宋" w:hAnsi="仿宋" w:eastAsia="仿宋" w:cs="仿宋"/>
          <w:sz w:val="32"/>
          <w:szCs w:val="32"/>
        </w:rPr>
        <w:t>社会治安综合治理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rPr>
        <w:t>绩效目标： 负责全县社会治安综合治理工作，推动各项措施的落实。</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line="500" w:lineRule="exact"/>
        <w:ind w:firstLine="561"/>
        <w:jc w:val="left"/>
        <w:rPr>
          <w:rFonts w:hint="eastAsia" w:ascii="仿宋" w:hAnsi="仿宋" w:eastAsia="仿宋" w:cs="仿宋"/>
          <w:sz w:val="32"/>
          <w:szCs w:val="32"/>
        </w:rPr>
      </w:pPr>
      <w:r>
        <w:rPr>
          <w:rFonts w:hint="eastAsia" w:ascii="仿宋" w:hAnsi="仿宋" w:eastAsia="仿宋" w:cs="仿宋"/>
          <w:sz w:val="32"/>
          <w:szCs w:val="32"/>
        </w:rPr>
        <w:t>绩效指标：推动严重精神病障碍患者群体帮扶救助工作，确保重度精神病患者和家庭困难患者100%纳入管理范围，为社会管理工作提供新模式；为重大案件顺利侦破提供相应的支持，开展司法救助等活动，开展司法救助案件不低于5件；确保平安建设顺利开展，开展4次以上高铁、高速沿线隐患排查与护卫安防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ind w:firstLine="560"/>
        <w:jc w:val="left"/>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协调落实政法机关依法履职</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after="120"/>
        <w:ind w:firstLine="560"/>
        <w:jc w:val="left"/>
        <w:rPr>
          <w:rFonts w:hint="eastAsia" w:ascii="仿宋" w:hAnsi="仿宋" w:eastAsia="仿宋" w:cs="仿宋"/>
          <w:sz w:val="32"/>
          <w:szCs w:val="32"/>
        </w:rPr>
      </w:pPr>
      <w:r>
        <w:rPr>
          <w:rFonts w:hint="eastAsia" w:ascii="仿宋" w:hAnsi="仿宋" w:eastAsia="仿宋" w:cs="仿宋"/>
          <w:sz w:val="32"/>
          <w:szCs w:val="32"/>
        </w:rPr>
        <w:t>绩效目标： 政法队伍整体素质和工作水平得到提高，加强机关事务性管理，提高政法机关自身工作能力</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rPr>
          <w:rFonts w:ascii="仿宋" w:hAnsi="仿宋" w:eastAsia="仿宋"/>
          <w:color w:val="313131"/>
          <w:sz w:val="28"/>
        </w:rPr>
      </w:pPr>
      <w:r>
        <w:rPr>
          <w:rFonts w:hint="eastAsia" w:ascii="仿宋" w:hAnsi="仿宋" w:eastAsia="仿宋" w:cs="仿宋"/>
          <w:sz w:val="32"/>
          <w:szCs w:val="32"/>
        </w:rPr>
        <w:t>绩效指标：落实从优待警政策，确保个人治疗费用自费部分达2万元以上的干警100%得到帮扶救助，对干警资助资金审核把关，及时发放；组织不低于2次政法系统英模先进典型宣传，做好机关干部选学工作；开展2次政法系统警示教育活动，牢固树立依法办事的意识。</w:t>
      </w:r>
      <w:r>
        <w:rPr>
          <w:rFonts w:ascii="仿宋" w:hAnsi="仿宋" w:eastAsia="仿宋"/>
          <w:color w:val="313131"/>
          <w:sz w:val="28"/>
        </w:rPr>
        <w:t xml:space="preserve"> </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firstLine="640" w:firstLineChars="200"/>
        <w:rPr>
          <w:rFonts w:hint="eastAsia" w:ascii="黑体" w:hAnsi="黑体" w:eastAsia="黑体" w:cs="黑体"/>
          <w:color w:val="313131"/>
          <w:sz w:val="32"/>
          <w:szCs w:val="32"/>
          <w:lang w:eastAsia="zh-CN"/>
        </w:rPr>
      </w:pPr>
      <w:r>
        <w:rPr>
          <w:rFonts w:hint="eastAsia" w:ascii="黑体" w:hAnsi="黑体" w:eastAsia="黑体" w:cs="黑体"/>
          <w:color w:val="313131"/>
          <w:sz w:val="32"/>
          <w:szCs w:val="32"/>
          <w:lang w:eastAsia="zh-CN"/>
        </w:rPr>
        <w:t>（三）工作保障措施</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firstLine="640" w:firstLineChars="200"/>
        <w:rPr>
          <w:rFonts w:hint="eastAsia" w:ascii="仿宋" w:hAnsi="仿宋" w:eastAsia="仿宋" w:cs="仿宋"/>
          <w:sz w:val="32"/>
          <w:szCs w:val="32"/>
        </w:rPr>
      </w:pPr>
      <w:r>
        <w:rPr>
          <w:rFonts w:hint="eastAsia" w:ascii="仿宋" w:hAnsi="仿宋" w:eastAsia="仿宋" w:cs="仿宋"/>
          <w:color w:val="313131"/>
          <w:sz w:val="32"/>
          <w:szCs w:val="32"/>
          <w:lang w:val="en-US" w:eastAsia="zh-CN"/>
        </w:rPr>
        <w:t>（一）</w:t>
      </w:r>
      <w:r>
        <w:rPr>
          <w:rFonts w:hint="eastAsia" w:ascii="仿宋" w:hAnsi="仿宋" w:eastAsia="仿宋" w:cs="仿宋"/>
          <w:color w:val="313131"/>
          <w:sz w:val="32"/>
          <w:szCs w:val="32"/>
        </w:rPr>
        <w:t>健全绩效管理体制机制</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政法委加强制度建设，提升</w:t>
      </w:r>
      <w:r>
        <w:rPr>
          <w:rStyle w:val="19"/>
          <w:rFonts w:hint="eastAsia" w:ascii="仿宋" w:hAnsi="仿宋" w:eastAsia="仿宋" w:cs="仿宋"/>
          <w:sz w:val="32"/>
          <w:szCs w:val="32"/>
        </w:rPr>
        <w:fldChar w:fldCharType="begin"/>
      </w:r>
      <w:r>
        <w:rPr>
          <w:rStyle w:val="19"/>
          <w:rFonts w:hint="eastAsia" w:ascii="仿宋" w:hAnsi="仿宋" w:eastAsia="仿宋" w:cs="仿宋"/>
          <w:sz w:val="32"/>
          <w:szCs w:val="32"/>
        </w:rPr>
        <w:instrText xml:space="preserve"> HYPERLINK "http://www.mswk.cn/Article/SpecialList.asp?page=2" </w:instrText>
      </w:r>
      <w:r>
        <w:rPr>
          <w:rStyle w:val="19"/>
          <w:rFonts w:hint="eastAsia" w:ascii="仿宋" w:hAnsi="仿宋" w:eastAsia="仿宋" w:cs="仿宋"/>
          <w:sz w:val="32"/>
          <w:szCs w:val="32"/>
        </w:rPr>
        <w:fldChar w:fldCharType="separate"/>
      </w:r>
      <w:r>
        <w:rPr>
          <w:rStyle w:val="19"/>
          <w:rFonts w:hint="eastAsia" w:ascii="仿宋" w:hAnsi="仿宋" w:eastAsia="仿宋" w:cs="仿宋"/>
          <w:sz w:val="32"/>
          <w:szCs w:val="32"/>
        </w:rPr>
        <w:t>自评</w:t>
      </w:r>
      <w:r>
        <w:rPr>
          <w:rFonts w:hint="eastAsia" w:ascii="仿宋" w:hAnsi="仿宋" w:eastAsia="仿宋" w:cs="仿宋"/>
          <w:color w:val="313131"/>
          <w:sz w:val="32"/>
          <w:szCs w:val="32"/>
        </w:rPr>
        <w:fldChar w:fldCharType="end"/>
      </w:r>
      <w:r>
        <w:rPr>
          <w:rFonts w:hint="eastAsia" w:ascii="仿宋" w:hAnsi="仿宋" w:eastAsia="仿宋" w:cs="仿宋"/>
          <w:color w:val="313131"/>
          <w:sz w:val="32"/>
          <w:szCs w:val="32"/>
        </w:rPr>
        <w:t>质量，预算绩效管理取得一定成效。为了更好落实绩效目标，督办</w:t>
      </w:r>
      <w:r>
        <w:rPr>
          <w:rStyle w:val="19"/>
          <w:rFonts w:hint="eastAsia" w:ascii="仿宋" w:hAnsi="仿宋" w:eastAsia="仿宋" w:cs="仿宋"/>
          <w:sz w:val="32"/>
          <w:szCs w:val="32"/>
        </w:rPr>
        <w:fldChar w:fldCharType="begin"/>
      </w:r>
      <w:r>
        <w:rPr>
          <w:rStyle w:val="19"/>
          <w:rFonts w:hint="eastAsia" w:ascii="仿宋" w:hAnsi="仿宋" w:eastAsia="仿宋" w:cs="仿宋"/>
          <w:sz w:val="32"/>
          <w:szCs w:val="32"/>
        </w:rPr>
        <w:instrText xml:space="preserve"> HYPERLINK "http://www.mswk.cn/Article/SpecialList.asp?page=2" </w:instrText>
      </w:r>
      <w:r>
        <w:rPr>
          <w:rStyle w:val="19"/>
          <w:rFonts w:hint="eastAsia" w:ascii="仿宋" w:hAnsi="仿宋" w:eastAsia="仿宋" w:cs="仿宋"/>
          <w:sz w:val="32"/>
          <w:szCs w:val="32"/>
        </w:rPr>
        <w:fldChar w:fldCharType="separate"/>
      </w:r>
      <w:r>
        <w:rPr>
          <w:rStyle w:val="19"/>
          <w:rFonts w:hint="eastAsia" w:ascii="仿宋" w:hAnsi="仿宋" w:eastAsia="仿宋" w:cs="仿宋"/>
          <w:sz w:val="32"/>
          <w:szCs w:val="32"/>
        </w:rPr>
        <w:t>自评</w:t>
      </w:r>
      <w:r>
        <w:rPr>
          <w:rFonts w:hint="eastAsia" w:ascii="仿宋" w:hAnsi="仿宋" w:eastAsia="仿宋" w:cs="仿宋"/>
          <w:color w:val="313131"/>
          <w:sz w:val="32"/>
          <w:szCs w:val="32"/>
        </w:rPr>
        <w:fldChar w:fldCharType="end"/>
      </w:r>
      <w:r>
        <w:rPr>
          <w:rFonts w:hint="eastAsia" w:ascii="仿宋" w:hAnsi="仿宋" w:eastAsia="仿宋" w:cs="仿宋"/>
          <w:color w:val="313131"/>
          <w:sz w:val="32"/>
          <w:szCs w:val="32"/>
        </w:rPr>
        <w:t>、反馈问题和应用评价结果，我们进一步健全了绩效管理工作机制，加强制度建设，出台了相关办法。同时要求强化资金意识，将资金落到实处，以绩效目标为导向，以绩效评价为抓手，以改进预算管理为目的，在提高公共产品质量和控制节约成本的同时，充分发挥财政资金使用效益，不断提升政法工作水平。</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rPr>
          <w:rFonts w:hint="eastAsia" w:ascii="仿宋" w:hAnsi="仿宋" w:eastAsia="仿宋" w:cs="仿宋"/>
          <w:color w:val="313131"/>
          <w:sz w:val="32"/>
          <w:szCs w:val="32"/>
        </w:rPr>
      </w:pPr>
      <w:r>
        <w:rPr>
          <w:rFonts w:hint="eastAsia" w:ascii="仿宋" w:hAnsi="仿宋" w:eastAsia="仿宋" w:cs="仿宋"/>
          <w:color w:val="313131"/>
          <w:sz w:val="32"/>
          <w:szCs w:val="32"/>
        </w:rPr>
        <w:t xml:space="preserve">   </w:t>
      </w:r>
      <w:r>
        <w:rPr>
          <w:rFonts w:hint="eastAsia" w:ascii="仿宋" w:hAnsi="仿宋" w:eastAsia="仿宋" w:cs="仿宋"/>
          <w:color w:val="313131"/>
          <w:sz w:val="32"/>
          <w:szCs w:val="32"/>
          <w:lang w:eastAsia="zh-CN"/>
        </w:rPr>
        <w:t>（二）</w:t>
      </w:r>
      <w:r>
        <w:rPr>
          <w:rFonts w:hint="eastAsia" w:ascii="仿宋" w:hAnsi="仿宋" w:eastAsia="仿宋" w:cs="仿宋"/>
          <w:color w:val="313131"/>
          <w:sz w:val="32"/>
          <w:szCs w:val="32"/>
        </w:rPr>
        <w:t>加强支出管理</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强化预算执行意识，完善支出责任制，按照预算安排及时组织项目实施，尽早办事、尽早支出、充分发挥财政资金使用效益。项目支出到六月底、十月底支出进度分别达到60%，90%以上。制定具体的分月用款计划，实现均衡支出，防止年终突击花钱。</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rPr>
          <w:rFonts w:hint="eastAsia" w:ascii="仿宋" w:hAnsi="仿宋" w:eastAsia="仿宋" w:cs="仿宋"/>
          <w:color w:val="313131"/>
          <w:sz w:val="32"/>
          <w:szCs w:val="32"/>
        </w:rPr>
      </w:pPr>
      <w:r>
        <w:rPr>
          <w:rFonts w:hint="eastAsia" w:ascii="仿宋" w:hAnsi="仿宋" w:eastAsia="仿宋" w:cs="仿宋"/>
          <w:color w:val="313131"/>
          <w:sz w:val="32"/>
          <w:szCs w:val="32"/>
        </w:rPr>
        <w:t xml:space="preserve">    </w:t>
      </w:r>
      <w:r>
        <w:rPr>
          <w:rFonts w:hint="eastAsia" w:ascii="仿宋" w:hAnsi="仿宋" w:eastAsia="仿宋" w:cs="仿宋"/>
          <w:color w:val="313131"/>
          <w:sz w:val="32"/>
          <w:szCs w:val="32"/>
          <w:lang w:val="en-US" w:eastAsia="zh-CN"/>
        </w:rPr>
        <w:t>（三）</w:t>
      </w:r>
      <w:r>
        <w:rPr>
          <w:rFonts w:hint="eastAsia" w:ascii="仿宋" w:hAnsi="仿宋" w:eastAsia="仿宋" w:cs="仿宋"/>
          <w:color w:val="313131"/>
          <w:sz w:val="32"/>
          <w:szCs w:val="32"/>
        </w:rPr>
        <w:t>加强绩效运行监控</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对年初制定的本单位的所有预算绩效项目开展预算绩效目标中期监控工作，本单位整体和专项资金的绩效监控表，对照年初制定的绩效目标，及时发现项目运行是否偏离既定的绩效目标，确保财政支出按照已批复的绩效目标执行，同时确保绩效目标如期实现，不断提高财政资金配置和使用效益。</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firstLine="560"/>
        <w:rPr>
          <w:rFonts w:hint="eastAsia" w:ascii="仿宋" w:hAnsi="仿宋" w:eastAsia="仿宋" w:cs="仿宋"/>
          <w:color w:val="313131"/>
          <w:sz w:val="32"/>
          <w:szCs w:val="32"/>
        </w:rPr>
      </w:pPr>
      <w:r>
        <w:rPr>
          <w:rFonts w:hint="eastAsia" w:ascii="仿宋" w:hAnsi="仿宋" w:eastAsia="仿宋" w:cs="仿宋"/>
          <w:color w:val="313131"/>
          <w:sz w:val="32"/>
          <w:szCs w:val="32"/>
          <w:lang w:eastAsia="zh-CN"/>
        </w:rPr>
        <w:t>（四）</w:t>
      </w:r>
      <w:r>
        <w:rPr>
          <w:rFonts w:hint="eastAsia" w:ascii="仿宋" w:hAnsi="仿宋" w:eastAsia="仿宋" w:cs="仿宋"/>
          <w:color w:val="313131"/>
          <w:sz w:val="32"/>
          <w:szCs w:val="32"/>
        </w:rPr>
        <w:t>做好绩效自评</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政法委认真做好20</w:t>
      </w:r>
      <w:r>
        <w:rPr>
          <w:rFonts w:hint="eastAsia" w:ascii="仿宋" w:hAnsi="仿宋" w:eastAsia="仿宋" w:cs="仿宋"/>
          <w:color w:val="313131"/>
          <w:sz w:val="32"/>
          <w:szCs w:val="32"/>
          <w:lang w:val="en-US" w:eastAsia="zh-CN"/>
        </w:rPr>
        <w:t>21</w:t>
      </w:r>
      <w:r>
        <w:rPr>
          <w:rFonts w:hint="eastAsia" w:ascii="仿宋" w:hAnsi="仿宋" w:eastAsia="仿宋" w:cs="仿宋"/>
          <w:color w:val="313131"/>
          <w:sz w:val="32"/>
          <w:szCs w:val="32"/>
        </w:rPr>
        <w:t>年财政资金绩效自评工作，对20</w:t>
      </w:r>
      <w:r>
        <w:rPr>
          <w:rFonts w:hint="eastAsia" w:ascii="仿宋" w:hAnsi="仿宋" w:eastAsia="仿宋" w:cs="仿宋"/>
          <w:color w:val="313131"/>
          <w:sz w:val="32"/>
          <w:szCs w:val="32"/>
          <w:lang w:val="en-US" w:eastAsia="zh-CN"/>
        </w:rPr>
        <w:t>21</w:t>
      </w:r>
      <w:r>
        <w:rPr>
          <w:rFonts w:hint="eastAsia" w:ascii="仿宋" w:hAnsi="仿宋" w:eastAsia="仿宋" w:cs="仿宋"/>
          <w:color w:val="313131"/>
          <w:sz w:val="32"/>
          <w:szCs w:val="32"/>
        </w:rPr>
        <w:t>年本单位的财政资金使用情况进行总结、回顾。通过财政资金绩效自评，让本单位了解到了经费使用率、使用效果，更能在自评的过程中发现本身的不足，在下一年度能够有效避免。并将绩效自评报告在政府门户网站上予以公开，接受社会公众的监督。</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firstLine="640" w:firstLineChars="200"/>
        <w:rPr>
          <w:rFonts w:hint="eastAsia" w:ascii="仿宋" w:hAnsi="仿宋" w:eastAsia="仿宋" w:cs="仿宋"/>
          <w:color w:val="313131"/>
          <w:sz w:val="32"/>
          <w:szCs w:val="32"/>
        </w:rPr>
      </w:pPr>
      <w:r>
        <w:rPr>
          <w:rFonts w:hint="eastAsia" w:ascii="仿宋" w:hAnsi="仿宋" w:eastAsia="仿宋" w:cs="仿宋"/>
          <w:color w:val="313131"/>
          <w:sz w:val="32"/>
          <w:szCs w:val="32"/>
          <w:lang w:val="en-US" w:eastAsia="zh-CN"/>
        </w:rPr>
        <w:t>（五）</w:t>
      </w:r>
      <w:r>
        <w:rPr>
          <w:rFonts w:hint="eastAsia" w:ascii="仿宋" w:hAnsi="仿宋" w:eastAsia="仿宋" w:cs="仿宋"/>
          <w:color w:val="313131"/>
          <w:sz w:val="32"/>
          <w:szCs w:val="32"/>
        </w:rPr>
        <w:t>规范财务资产管理</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完善财务管理制度，严格审批程序，加强固定资产登记、使用和报废处置管理，做到支出合理、物尽其用。</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firstLine="640" w:firstLineChars="200"/>
        <w:rPr>
          <w:rFonts w:hint="eastAsia" w:ascii="仿宋" w:hAnsi="仿宋" w:eastAsia="仿宋" w:cs="仿宋"/>
          <w:sz w:val="32"/>
          <w:szCs w:val="32"/>
        </w:rPr>
      </w:pPr>
      <w:r>
        <w:rPr>
          <w:rFonts w:hint="eastAsia" w:ascii="仿宋" w:hAnsi="仿宋" w:eastAsia="仿宋" w:cs="仿宋"/>
          <w:color w:val="313131"/>
          <w:sz w:val="32"/>
          <w:szCs w:val="32"/>
          <w:lang w:val="en-US" w:eastAsia="zh-CN"/>
        </w:rPr>
        <w:t>（六）</w:t>
      </w:r>
      <w:r>
        <w:rPr>
          <w:rFonts w:hint="eastAsia" w:ascii="仿宋" w:hAnsi="仿宋" w:eastAsia="仿宋" w:cs="仿宋"/>
          <w:color w:val="313131"/>
          <w:sz w:val="32"/>
          <w:szCs w:val="32"/>
        </w:rPr>
        <w:t>、加强内部监督</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为完善绩效评价制度，进一步提高绩效评价工作质量，政法委制定并完善了绩效评价方案，从专项资金绩效目标、资金管理、财务信息质量以及专项资金经济社会效益等方面设置一级绩效指标，每个一级绩效指标，按照工作内容、工作措施、工作时限和要达到的预期效果，进一步分解细化，形成完整的绩效评价报告，确保了资金安全有效，并对下一年度专项经费的安排提供了有效的参考依据。</w:t>
      </w:r>
    </w:p>
    <w:p>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75" w:lineRule="atLeast"/>
        <w:ind w:right="136"/>
        <w:rPr>
          <w:rFonts w:hint="eastAsia" w:ascii="仿宋" w:hAnsi="仿宋" w:eastAsia="仿宋" w:cs="仿宋"/>
          <w:sz w:val="32"/>
          <w:szCs w:val="32"/>
        </w:rPr>
      </w:pPr>
      <w:r>
        <w:rPr>
          <w:rFonts w:hint="eastAsia" w:ascii="仿宋" w:hAnsi="仿宋" w:eastAsia="仿宋" w:cs="仿宋"/>
          <w:color w:val="313131"/>
          <w:sz w:val="32"/>
          <w:szCs w:val="32"/>
        </w:rPr>
        <w:t xml:space="preserve">  </w:t>
      </w:r>
      <w:r>
        <w:rPr>
          <w:rFonts w:hint="eastAsia" w:ascii="仿宋" w:hAnsi="仿宋" w:eastAsia="仿宋" w:cs="仿宋"/>
          <w:color w:val="313131"/>
          <w:sz w:val="32"/>
          <w:szCs w:val="32"/>
          <w:lang w:eastAsia="zh-CN"/>
        </w:rPr>
        <w:t>（七）</w:t>
      </w:r>
      <w:r>
        <w:rPr>
          <w:rFonts w:hint="eastAsia" w:ascii="仿宋" w:hAnsi="仿宋" w:eastAsia="仿宋" w:cs="仿宋"/>
          <w:color w:val="313131"/>
          <w:sz w:val="32"/>
          <w:szCs w:val="32"/>
        </w:rPr>
        <w:t>建立绩效管理业务培训的长效机制</w:t>
      </w:r>
      <w:r>
        <w:rPr>
          <w:rFonts w:hint="eastAsia" w:ascii="仿宋" w:hAnsi="仿宋" w:eastAsia="仿宋" w:cs="仿宋"/>
          <w:color w:val="313131"/>
          <w:sz w:val="32"/>
          <w:szCs w:val="32"/>
          <w:lang w:eastAsia="zh-CN"/>
        </w:rPr>
        <w:t>。</w:t>
      </w:r>
      <w:r>
        <w:rPr>
          <w:rFonts w:hint="eastAsia" w:ascii="仿宋" w:hAnsi="仿宋" w:eastAsia="仿宋" w:cs="仿宋"/>
          <w:color w:val="313131"/>
          <w:sz w:val="32"/>
          <w:szCs w:val="32"/>
        </w:rPr>
        <w:t>绩效评价专业性强，涉及面广，要求我们财务人员及时充电，更新知识，同时上级绩效管理部门有</w:t>
      </w:r>
      <w:r>
        <w:rPr>
          <w:rStyle w:val="19"/>
          <w:rFonts w:hint="eastAsia" w:ascii="仿宋" w:hAnsi="仿宋" w:eastAsia="仿宋" w:cs="仿宋"/>
          <w:sz w:val="32"/>
          <w:szCs w:val="32"/>
        </w:rPr>
        <w:fldChar w:fldCharType="begin"/>
      </w:r>
      <w:r>
        <w:rPr>
          <w:rStyle w:val="19"/>
          <w:rFonts w:hint="eastAsia" w:ascii="仿宋" w:hAnsi="仿宋" w:eastAsia="仿宋" w:cs="仿宋"/>
          <w:sz w:val="32"/>
          <w:szCs w:val="32"/>
        </w:rPr>
        <w:instrText xml:space="preserve"> HYPERLINK "http://www.mswk.cn/Article/List/List_122.html" </w:instrText>
      </w:r>
      <w:r>
        <w:rPr>
          <w:rStyle w:val="19"/>
          <w:rFonts w:hint="eastAsia" w:ascii="仿宋" w:hAnsi="仿宋" w:eastAsia="仿宋" w:cs="仿宋"/>
          <w:sz w:val="32"/>
          <w:szCs w:val="32"/>
        </w:rPr>
        <w:fldChar w:fldCharType="separate"/>
      </w:r>
      <w:r>
        <w:rPr>
          <w:rStyle w:val="19"/>
          <w:rFonts w:hint="eastAsia" w:ascii="仿宋" w:hAnsi="仿宋" w:eastAsia="仿宋" w:cs="仿宋"/>
          <w:sz w:val="32"/>
          <w:szCs w:val="32"/>
        </w:rPr>
        <w:t>计划</w:t>
      </w:r>
      <w:r>
        <w:rPr>
          <w:rFonts w:hint="eastAsia" w:ascii="仿宋" w:hAnsi="仿宋" w:eastAsia="仿宋" w:cs="仿宋"/>
          <w:color w:val="313131"/>
          <w:sz w:val="32"/>
          <w:szCs w:val="32"/>
        </w:rPr>
        <w:fldChar w:fldCharType="end"/>
      </w:r>
      <w:r>
        <w:rPr>
          <w:rFonts w:hint="eastAsia" w:ascii="仿宋" w:hAnsi="仿宋" w:eastAsia="仿宋" w:cs="仿宋"/>
          <w:color w:val="313131"/>
          <w:sz w:val="32"/>
          <w:szCs w:val="32"/>
        </w:rPr>
        <w:t>组织到先进绩效管理单位去参观学习取长补短，相互促进。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 w:hAnsi="仿宋" w:eastAsia="仿宋" w:cs="仿宋"/>
          <w:sz w:val="32"/>
          <w:szCs w:val="32"/>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eastAsia="zh-CN"/>
        </w:rPr>
      </w:pPr>
    </w:p>
    <w:p>
      <w:pPr>
        <w:ind w:firstLine="560"/>
        <w:rPr>
          <w:rFonts w:hint="eastAsia" w:ascii="黑体" w:hAnsi="黑体" w:eastAsia="黑体" w:cs="黑体"/>
          <w:b/>
          <w:bCs w:val="0"/>
          <w:sz w:val="32"/>
          <w:szCs w:val="32"/>
          <w:lang w:val="en-US" w:eastAsia="zh-CN"/>
        </w:rPr>
      </w:pPr>
      <w:r>
        <w:rPr>
          <w:rFonts w:hint="eastAsia" w:ascii="黑体" w:hAnsi="黑体" w:eastAsia="黑体" w:cs="黑体"/>
          <w:b/>
          <w:bCs w:val="0"/>
          <w:sz w:val="32"/>
          <w:szCs w:val="32"/>
          <w:lang w:eastAsia="zh-CN"/>
        </w:rPr>
        <w:t>第二部分</w:t>
      </w:r>
      <w:r>
        <w:rPr>
          <w:rFonts w:hint="eastAsia" w:ascii="黑体" w:hAnsi="黑体" w:eastAsia="黑体" w:cs="黑体"/>
          <w:b/>
          <w:bCs w:val="0"/>
          <w:sz w:val="32"/>
          <w:szCs w:val="32"/>
          <w:lang w:val="en-US" w:eastAsia="zh-CN"/>
        </w:rPr>
        <w:t xml:space="preserve">  预算项目绩效目标</w:t>
      </w:r>
    </w:p>
    <w:p>
      <w:pPr>
        <w:spacing w:line="300" w:lineRule="exact"/>
        <w:ind w:firstLine="420" w:firstLineChars="200"/>
        <w:jc w:val="left"/>
        <w:rPr>
          <w:rFonts w:hint="eastAsia" w:ascii="方正仿宋_GBK" w:eastAsia="方正仿宋_GBK"/>
          <w:b/>
          <w:sz w:val="28"/>
          <w:lang w:val="en-US" w:eastAsia="zh-CN"/>
        </w:rPr>
      </w:pPr>
      <w:r>
        <w:rPr>
          <w:rFonts w:hint="eastAsia"/>
          <w:lang w:val="en-US" w:eastAsia="zh-CN"/>
        </w:rPr>
        <w:t xml:space="preserve">                                        </w:t>
      </w:r>
    </w:p>
    <w:p>
      <w:pPr>
        <w:spacing w:before="0" w:after="0" w:line="240" w:lineRule="auto"/>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p>
      <w:pPr>
        <w:spacing w:before="0" w:after="0"/>
        <w:jc w:val="left"/>
        <w:outlineLvl w:val="3"/>
        <w:rPr>
          <w:rFonts w:hint="eastAsia" w:asciiTheme="minorEastAsia" w:hAnsiTheme="minorEastAsia" w:eastAsiaTheme="minorEastAsia" w:cstheme="minorEastAsia"/>
          <w:b/>
          <w:bCs/>
        </w:rPr>
      </w:pPr>
      <w:bookmarkStart w:id="1" w:name="_Toc_4_4_0000000005"/>
      <w:r>
        <w:rPr>
          <w:rFonts w:hint="eastAsia" w:asciiTheme="minorEastAsia" w:hAnsiTheme="minorEastAsia" w:cstheme="minorEastAsia"/>
          <w:b/>
          <w:bCs/>
          <w:color w:val="000000"/>
          <w:sz w:val="28"/>
          <w:lang w:val="en-US" w:eastAsia="zh-CN"/>
        </w:rPr>
        <w:t>1.</w:t>
      </w:r>
      <w:r>
        <w:rPr>
          <w:rFonts w:hint="eastAsia" w:asciiTheme="minorEastAsia" w:hAnsiTheme="minorEastAsia" w:eastAsiaTheme="minorEastAsia" w:cstheme="minorEastAsia"/>
          <w:b/>
          <w:bCs/>
          <w:color w:val="000000"/>
          <w:sz w:val="28"/>
        </w:rPr>
        <w:t>2022年政法委人民调解（县安排）绩效目标表</w:t>
      </w:r>
      <w:bookmarkEnd w:id="1"/>
    </w:p>
    <w:tbl>
      <w:tblPr>
        <w:tblStyle w:val="8"/>
        <w:tblW w:w="9399"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437"/>
        <w:gridCol w:w="1327"/>
        <w:gridCol w:w="1327"/>
        <w:gridCol w:w="1217"/>
        <w:gridCol w:w="110"/>
        <w:gridCol w:w="1217"/>
        <w:gridCol w:w="110"/>
        <w:gridCol w:w="1217"/>
        <w:gridCol w:w="11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97" w:hRule="atLeast"/>
        </w:trPr>
        <w:tc>
          <w:tcPr>
            <w:tcW w:w="6635" w:type="dxa"/>
            <w:gridSpan w:val="5"/>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gridSpan w:val="2"/>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gridSpan w:val="2"/>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项目编码</w:t>
            </w:r>
          </w:p>
        </w:tc>
        <w:tc>
          <w:tcPr>
            <w:tcW w:w="2764" w:type="dxa"/>
            <w:gridSpan w:val="2"/>
            <w:vAlign w:val="center"/>
          </w:tcPr>
          <w:p>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13012922P008472100017</w:t>
            </w:r>
          </w:p>
        </w:tc>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项目名称</w:t>
            </w:r>
          </w:p>
        </w:tc>
        <w:tc>
          <w:tcPr>
            <w:tcW w:w="3981" w:type="dxa"/>
            <w:gridSpan w:val="6"/>
            <w:vAlign w:val="center"/>
          </w:tcPr>
          <w:p>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2022年政法委人民调解（县安排）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预算规模及资金用途</w:t>
            </w:r>
          </w:p>
        </w:tc>
        <w:tc>
          <w:tcPr>
            <w:tcW w:w="143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预算数</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1.60</w:t>
            </w:r>
          </w:p>
        </w:tc>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其中：财政    资金</w:t>
            </w:r>
          </w:p>
        </w:tc>
        <w:tc>
          <w:tcPr>
            <w:tcW w:w="1327" w:type="dxa"/>
            <w:gridSpan w:val="2"/>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1.60</w:t>
            </w:r>
          </w:p>
        </w:tc>
        <w:tc>
          <w:tcPr>
            <w:tcW w:w="1327" w:type="dxa"/>
            <w:gridSpan w:val="2"/>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其他资金</w:t>
            </w:r>
          </w:p>
        </w:tc>
        <w:tc>
          <w:tcPr>
            <w:tcW w:w="1327" w:type="dxa"/>
            <w:gridSpan w:val="2"/>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pPr>
              <w:rPr>
                <w:rFonts w:hint="eastAsia" w:asciiTheme="minorEastAsia" w:hAnsiTheme="minorEastAsia" w:eastAsiaTheme="minorEastAsia" w:cstheme="minorEastAsia"/>
                <w:sz w:val="21"/>
                <w:szCs w:val="21"/>
              </w:rPr>
            </w:pPr>
          </w:p>
        </w:tc>
        <w:tc>
          <w:tcPr>
            <w:tcW w:w="8072" w:type="dxa"/>
            <w:gridSpan w:val="9"/>
            <w:vAlign w:val="center"/>
          </w:tcPr>
          <w:p>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缓解社会矛盾，促进社会安定团结;能够促进社会主义精神文明建设;预防犯罪，减少犯罪;积极推动社会生产力的发展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资金支出计划（%）</w:t>
            </w:r>
          </w:p>
        </w:tc>
        <w:tc>
          <w:tcPr>
            <w:tcW w:w="143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3月底</w:t>
            </w:r>
          </w:p>
        </w:tc>
        <w:tc>
          <w:tcPr>
            <w:tcW w:w="1327" w:type="dxa"/>
          </w:tcPr>
          <w:p>
            <w:pPr>
              <w:rPr>
                <w:rFonts w:hint="eastAsia" w:asciiTheme="minorEastAsia" w:hAnsiTheme="minorEastAsia" w:eastAsiaTheme="minorEastAsia" w:cstheme="minorEastAsia"/>
                <w:sz w:val="21"/>
                <w:szCs w:val="21"/>
              </w:rPr>
            </w:pPr>
          </w:p>
        </w:tc>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6月底</w:t>
            </w:r>
          </w:p>
        </w:tc>
        <w:tc>
          <w:tcPr>
            <w:tcW w:w="1327" w:type="dxa"/>
            <w:gridSpan w:val="2"/>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10月底</w:t>
            </w:r>
          </w:p>
        </w:tc>
        <w:tc>
          <w:tcPr>
            <w:tcW w:w="1327" w:type="dxa"/>
            <w:gridSpan w:val="2"/>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12月底</w:t>
            </w:r>
          </w:p>
        </w:tc>
        <w:tc>
          <w:tcPr>
            <w:tcW w:w="1327" w:type="dxa"/>
            <w:gridSpan w:val="2"/>
          </w:tcPr>
          <w:p>
            <w:pPr>
              <w:rPr>
                <w:rFonts w:hint="eastAsia" w:asciiTheme="minorEastAsia" w:hAnsiTheme="minorEastAsia" w:eastAsiaTheme="minorEastAsia" w:cstheme="minorEastAsia"/>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pPr>
              <w:rPr>
                <w:rFonts w:hint="eastAsia" w:asciiTheme="minorEastAsia" w:hAnsiTheme="minorEastAsia" w:eastAsiaTheme="minorEastAsia" w:cstheme="minorEastAsia"/>
                <w:sz w:val="21"/>
                <w:szCs w:val="21"/>
              </w:rPr>
            </w:pPr>
          </w:p>
        </w:tc>
        <w:tc>
          <w:tcPr>
            <w:tcW w:w="1437" w:type="dxa"/>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30%</w:t>
            </w:r>
          </w:p>
        </w:tc>
        <w:tc>
          <w:tcPr>
            <w:tcW w:w="1327" w:type="dxa"/>
          </w:tcPr>
          <w:p>
            <w:pPr>
              <w:rPr>
                <w:rFonts w:hint="eastAsia" w:asciiTheme="minorEastAsia" w:hAnsiTheme="minorEastAsia" w:eastAsiaTheme="minorEastAsia" w:cstheme="minorEastAsia"/>
                <w:sz w:val="21"/>
                <w:szCs w:val="21"/>
              </w:rPr>
            </w:pPr>
          </w:p>
        </w:tc>
        <w:tc>
          <w:tcPr>
            <w:tcW w:w="1327" w:type="dxa"/>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60%</w:t>
            </w:r>
          </w:p>
        </w:tc>
        <w:tc>
          <w:tcPr>
            <w:tcW w:w="1327" w:type="dxa"/>
            <w:gridSpan w:val="2"/>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90%</w:t>
            </w:r>
          </w:p>
        </w:tc>
        <w:tc>
          <w:tcPr>
            <w:tcW w:w="1327" w:type="dxa"/>
            <w:gridSpan w:val="2"/>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100%</w:t>
            </w:r>
          </w:p>
        </w:tc>
        <w:tc>
          <w:tcPr>
            <w:tcW w:w="1327" w:type="dxa"/>
            <w:gridSpan w:val="2"/>
          </w:tcPr>
          <w:p>
            <w:pPr>
              <w:rPr>
                <w:rFonts w:hint="eastAsia" w:asciiTheme="minorEastAsia" w:hAnsiTheme="minorEastAsia" w:eastAsiaTheme="minorEastAsia" w:cstheme="minorEastAsia"/>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绩效目标</w:t>
            </w:r>
          </w:p>
        </w:tc>
        <w:tc>
          <w:tcPr>
            <w:tcW w:w="8072" w:type="dxa"/>
            <w:gridSpan w:val="9"/>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1.对纠纷当事人进行说服规劝</w:t>
            </w:r>
          </w:p>
          <w:p>
            <w:pPr>
              <w:pStyle w:val="22"/>
              <w:rPr>
                <w:rFonts w:hint="eastAsia" w:asciiTheme="minorEastAsia" w:hAnsiTheme="minorEastAsia" w:eastAsiaTheme="minorEastAsia" w:cstheme="minorEastAsia"/>
                <w:sz w:val="21"/>
                <w:szCs w:val="21"/>
              </w:rPr>
            </w:pPr>
          </w:p>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2.促其彼此互谅互让</w:t>
            </w:r>
            <w:r>
              <w:rPr>
                <w:rFonts w:hint="eastAsia" w:asciiTheme="minorEastAsia" w:hAnsiTheme="minorEastAsia" w:eastAsiaTheme="minorEastAsia" w:cstheme="minorEastAsia"/>
                <w:sz w:val="21"/>
                <w:szCs w:val="21"/>
              </w:rPr>
              <w:tab/>
            </w:r>
            <w:r>
              <w:rPr>
                <w:rFonts w:hint="eastAsia" w:asciiTheme="minorEastAsia" w:hAnsiTheme="minorEastAsia" w:eastAsiaTheme="minorEastAsia" w:cstheme="minorEastAsia"/>
                <w:sz w:val="21"/>
                <w:szCs w:val="21"/>
              </w:rPr>
              <w:tab/>
            </w:r>
            <w:r>
              <w:rPr>
                <w:rFonts w:hint="eastAsia" w:asciiTheme="minorEastAsia" w:hAnsiTheme="minorEastAsia" w:eastAsiaTheme="minorEastAsia" w:cstheme="minorEastAsia"/>
                <w:sz w:val="21"/>
                <w:szCs w:val="21"/>
              </w:rPr>
              <w:tab/>
            </w:r>
            <w:r>
              <w:rPr>
                <w:rFonts w:hint="eastAsia" w:asciiTheme="minorEastAsia" w:hAnsiTheme="minorEastAsia" w:eastAsiaTheme="minorEastAsia" w:cstheme="minorEastAsia"/>
                <w:sz w:val="21"/>
                <w:szCs w:val="21"/>
              </w:rPr>
              <w:tab/>
            </w:r>
            <w:r>
              <w:rPr>
                <w:rFonts w:hint="eastAsia" w:asciiTheme="minorEastAsia" w:hAnsiTheme="minorEastAsia" w:eastAsiaTheme="minorEastAsia" w:cstheme="minorEastAsia"/>
                <w:sz w:val="21"/>
                <w:szCs w:val="21"/>
              </w:rPr>
              <w:tab/>
            </w:r>
            <w:r>
              <w:rPr>
                <w:rFonts w:hint="eastAsia" w:asciiTheme="minorEastAsia" w:hAnsiTheme="minorEastAsia" w:eastAsiaTheme="minorEastAsia" w:cstheme="minorEastAsia"/>
                <w:sz w:val="21"/>
                <w:szCs w:val="21"/>
              </w:rPr>
              <w:tab/>
            </w:r>
          </w:p>
          <w:p>
            <w:pPr>
              <w:pStyle w:val="22"/>
              <w:rPr>
                <w:rFonts w:hint="eastAsia" w:asciiTheme="minorEastAsia" w:hAnsiTheme="minorEastAsia" w:eastAsiaTheme="minorEastAsia" w:cstheme="minorEastAsia"/>
                <w:sz w:val="21"/>
                <w:szCs w:val="21"/>
              </w:rPr>
            </w:pPr>
          </w:p>
          <w:p>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3.促进社会安定</w:t>
            </w:r>
          </w:p>
        </w:tc>
      </w:tr>
    </w:tbl>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tbl>
      <w:tblPr>
        <w:tblStyle w:val="8"/>
        <w:tblpPr w:leftFromText="180" w:rightFromText="180" w:vertAnchor="text" w:horzAnchor="page" w:tblpX="1286" w:tblpY="2"/>
        <w:tblOverlap w:val="never"/>
        <w:tblW w:w="942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6"/>
        <w:gridCol w:w="1767"/>
        <w:gridCol w:w="1327"/>
        <w:gridCol w:w="2434"/>
        <w:gridCol w:w="1175"/>
        <w:gridCol w:w="14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1326"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一级指标</w:t>
            </w:r>
          </w:p>
        </w:tc>
        <w:tc>
          <w:tcPr>
            <w:tcW w:w="176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二级指标</w:t>
            </w:r>
          </w:p>
        </w:tc>
        <w:tc>
          <w:tcPr>
            <w:tcW w:w="1327"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三级指标</w:t>
            </w:r>
          </w:p>
        </w:tc>
        <w:tc>
          <w:tcPr>
            <w:tcW w:w="2434"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绩效指标描述</w:t>
            </w:r>
          </w:p>
        </w:tc>
        <w:tc>
          <w:tcPr>
            <w:tcW w:w="1175"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指标值</w:t>
            </w:r>
          </w:p>
        </w:tc>
        <w:tc>
          <w:tcPr>
            <w:tcW w:w="1400" w:type="dxa"/>
            <w:vAlign w:val="center"/>
          </w:tcPr>
          <w:p>
            <w:pPr>
              <w:pStyle w:val="2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Merge w:val="restart"/>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产出指标</w:t>
            </w: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数量指标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全县矛盾纠纷排查数量</w:t>
            </w: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排查全县矛盾纠纷的数量</w:t>
            </w: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≥5起</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Merge w:val="continue"/>
            <w:vAlign w:val="center"/>
          </w:tcPr>
          <w:p>
            <w:pPr>
              <w:rPr>
                <w:rFonts w:hint="eastAsia" w:asciiTheme="minorEastAsia" w:hAnsiTheme="minorEastAsia" w:eastAsiaTheme="minorEastAsia" w:cstheme="minorEastAsia"/>
                <w:sz w:val="21"/>
                <w:szCs w:val="21"/>
              </w:rPr>
            </w:pP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质量指标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核心区不稳定因素降率（%）</w:t>
            </w: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城区和乡政府所在地</w:t>
            </w: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Merge w:val="continue"/>
            <w:vAlign w:val="center"/>
          </w:tcPr>
          <w:p>
            <w:pPr>
              <w:rPr>
                <w:rFonts w:hint="eastAsia" w:asciiTheme="minorEastAsia" w:hAnsiTheme="minorEastAsia" w:eastAsiaTheme="minorEastAsia" w:cstheme="minorEastAsia"/>
                <w:sz w:val="21"/>
                <w:szCs w:val="21"/>
              </w:rPr>
            </w:pP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时效指标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及时性</w:t>
            </w: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发现矛盾纠纷的解决时间</w:t>
            </w: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&gt;30天</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Merge w:val="restart"/>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效益指标</w:t>
            </w: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社会效益指标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全县因未成功排查调处而引发信访或治安、刑事案件数量</w:t>
            </w:r>
          </w:p>
          <w:p>
            <w:pPr>
              <w:pStyle w:val="22"/>
              <w:rPr>
                <w:rFonts w:hint="eastAsia" w:asciiTheme="minorEastAsia" w:hAnsiTheme="minorEastAsia" w:eastAsiaTheme="minorEastAsia" w:cstheme="minorEastAsia"/>
                <w:sz w:val="21"/>
                <w:szCs w:val="21"/>
              </w:rPr>
            </w:pP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全县因未成功排查调处而引发信访或治安、刑事案件数量</w:t>
            </w:r>
          </w:p>
          <w:p>
            <w:pPr>
              <w:pStyle w:val="22"/>
              <w:rPr>
                <w:rFonts w:hint="eastAsia" w:asciiTheme="minorEastAsia" w:hAnsiTheme="minorEastAsia" w:eastAsiaTheme="minorEastAsia" w:cstheme="minorEastAsia"/>
                <w:sz w:val="21"/>
                <w:szCs w:val="21"/>
              </w:rPr>
            </w:pP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≤5起</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Merge w:val="continue"/>
            <w:vAlign w:val="center"/>
          </w:tcPr>
          <w:p>
            <w:pPr>
              <w:rPr>
                <w:rFonts w:hint="eastAsia" w:asciiTheme="minorEastAsia" w:hAnsiTheme="minorEastAsia" w:eastAsiaTheme="minorEastAsia" w:cstheme="minorEastAsia"/>
                <w:sz w:val="21"/>
                <w:szCs w:val="21"/>
              </w:rPr>
            </w:pP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可持续影响指标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维护社会稳定</w:t>
            </w: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在全县的矛盾纠纷的调处率</w:t>
            </w: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≥90%</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6" w:type="dxa"/>
            <w:vAlign w:val="center"/>
          </w:tcPr>
          <w:p>
            <w:pPr>
              <w:pStyle w:val="2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满意度指标</w:t>
            </w:r>
          </w:p>
        </w:tc>
        <w:tc>
          <w:tcPr>
            <w:tcW w:w="176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服务对象满意度指标</w:t>
            </w:r>
          </w:p>
        </w:tc>
        <w:tc>
          <w:tcPr>
            <w:tcW w:w="1327"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群众满意度</w:t>
            </w:r>
          </w:p>
        </w:tc>
        <w:tc>
          <w:tcPr>
            <w:tcW w:w="2434"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调处对象满意人数占全部条处对象的比例</w:t>
            </w:r>
          </w:p>
          <w:p>
            <w:pPr>
              <w:pStyle w:val="22"/>
              <w:rPr>
                <w:rFonts w:hint="eastAsia" w:asciiTheme="minorEastAsia" w:hAnsiTheme="minorEastAsia" w:eastAsiaTheme="minorEastAsia" w:cstheme="minorEastAsia"/>
                <w:sz w:val="21"/>
                <w:szCs w:val="21"/>
              </w:rPr>
            </w:pPr>
          </w:p>
        </w:tc>
        <w:tc>
          <w:tcPr>
            <w:tcW w:w="1175"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≥90%</w:t>
            </w:r>
          </w:p>
        </w:tc>
        <w:tc>
          <w:tcPr>
            <w:tcW w:w="1400" w:type="dxa"/>
            <w:vAlign w:val="center"/>
          </w:tcPr>
          <w:p>
            <w:pPr>
              <w:pStyle w:val="2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年度工作目标</w:t>
            </w:r>
          </w:p>
        </w:tc>
      </w:tr>
    </w:tbl>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color w:val="000000"/>
          <w:sz w:val="21"/>
          <w:szCs w:val="21"/>
        </w:rPr>
      </w:pPr>
    </w:p>
    <w:p>
      <w:pPr>
        <w:spacing w:before="0" w:after="0" w:line="2" w:lineRule="exact"/>
        <w:ind w:firstLine="0"/>
        <w:jc w:val="center"/>
        <w:outlineLvl w:val="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000000"/>
          <w:sz w:val="21"/>
          <w:szCs w:val="21"/>
        </w:rPr>
        <w:t xml:space="preserve"> </w:t>
      </w:r>
    </w:p>
    <w:p>
      <w:pPr>
        <w:rPr>
          <w:rFonts w:hint="eastAsia" w:asciiTheme="minorEastAsia" w:hAnsiTheme="minorEastAsia" w:eastAsiaTheme="minorEastAsia" w:cstheme="minorEastAsia"/>
          <w:sz w:val="21"/>
          <w:szCs w:val="21"/>
        </w:rPr>
        <w:sectPr>
          <w:pgSz w:w="11900" w:h="16840"/>
          <w:pgMar w:top="1984" w:right="1304" w:bottom="1134" w:left="1304"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both"/>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p>
      <w:pPr>
        <w:spacing w:before="0" w:after="0" w:line="240" w:lineRule="auto"/>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p>
      <w:pPr>
        <w:spacing w:before="0" w:after="0"/>
        <w:jc w:val="left"/>
        <w:outlineLvl w:val="3"/>
        <w:rPr>
          <w:rFonts w:hint="eastAsia" w:asciiTheme="minorEastAsia" w:hAnsiTheme="minorEastAsia" w:eastAsiaTheme="minorEastAsia" w:cstheme="minorEastAsia"/>
          <w:b/>
          <w:bCs/>
        </w:rPr>
      </w:pPr>
      <w:bookmarkStart w:id="2" w:name="_Toc_4_4_0000000007"/>
      <w:r>
        <w:rPr>
          <w:rFonts w:hint="eastAsia" w:asciiTheme="minorEastAsia" w:hAnsiTheme="minorEastAsia" w:cstheme="minorEastAsia"/>
          <w:b/>
          <w:bCs/>
          <w:color w:val="000000"/>
          <w:sz w:val="28"/>
          <w:lang w:val="en-US" w:eastAsia="zh-CN"/>
        </w:rPr>
        <w:t>2.</w:t>
      </w:r>
      <w:r>
        <w:rPr>
          <w:rFonts w:hint="eastAsia" w:asciiTheme="minorEastAsia" w:hAnsiTheme="minorEastAsia" w:eastAsiaTheme="minorEastAsia" w:cstheme="minorEastAsia"/>
          <w:b/>
          <w:bCs/>
          <w:color w:val="000000"/>
          <w:sz w:val="28"/>
        </w:rPr>
        <w:t>2022年政法委铁路护路联防（县安排）绩效目标表</w:t>
      </w:r>
      <w:bookmarkEnd w:id="2"/>
    </w:p>
    <w:tbl>
      <w:tblPr>
        <w:tblStyle w:val="8"/>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项目编码</w:t>
            </w:r>
          </w:p>
        </w:tc>
        <w:tc>
          <w:tcPr>
            <w:tcW w:w="2654" w:type="dxa"/>
            <w:gridSpan w:val="2"/>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13012922P00847310001W</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981"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2022年政法委铁路护路联防（县安排）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6.00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6.00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7962"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开展护路联防工作，确保高铁行车安全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7962" w:type="dxa"/>
            <w:gridSpan w:val="6"/>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1."高铁行车安全，不发生涉路安全事故。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2.需要配备铁路护路装备、雇佣铁路护路安保人员、开展铁路护路及行车安全知识宣传、督导检查铁路护路措施落实等。</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3.护路安保</w:t>
            </w:r>
          </w:p>
        </w:tc>
      </w:tr>
    </w:tbl>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重要时期专项护路任务次数（次）</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重要时期完成省委省政府专项护路任务的次数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2次</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突发事件处置及时性（小时）</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突发事件处置及时性（小时）</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≤1小时</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成本指标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粉刷维修</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粉刷维修</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&lt;2万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高铁行车安全，不发生涉路安全事故。</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涉及高铁行车安全事故发生数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≤3起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可持续影响指标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人数</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每年参加高铁护路人数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&gt;100人次</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对护路任务完成服务相关单位的满意程度</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≥98%</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年初工作计划</w:t>
            </w:r>
          </w:p>
        </w:tc>
      </w:tr>
    </w:tbl>
    <w:p>
      <w:pPr>
        <w:rPr>
          <w:rFonts w:hint="eastAsia" w:asciiTheme="minorEastAsia" w:hAnsiTheme="minorEastAsia" w:eastAsiaTheme="minorEastAsia" w:cstheme="minorEastAsia"/>
        </w:rPr>
        <w:sectPr>
          <w:pgSz w:w="11900" w:h="16840"/>
          <w:pgMar w:top="1984" w:right="1304" w:bottom="1134" w:left="1304"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tbl>
      <w:tblPr>
        <w:tblStyle w:val="8"/>
        <w:tblpPr w:leftFromText="180" w:rightFromText="180" w:vertAnchor="text" w:horzAnchor="page" w:tblpX="1410" w:tblpY="1450"/>
        <w:tblOverlap w:val="never"/>
        <w:tblW w:w="9289"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pPr>
              <w:pStyle w:val="21"/>
              <w:rPr>
                <w:rFonts w:hint="eastAsia" w:asciiTheme="minorEastAsia" w:hAnsiTheme="minorEastAsia" w:eastAsiaTheme="minorEastAsia" w:cstheme="minorEastAsia"/>
              </w:rPr>
            </w:pPr>
            <w:bookmarkStart w:id="3" w:name="_Toc_4_4_0000000008"/>
            <w:r>
              <w:rPr>
                <w:rFonts w:hint="eastAsia" w:asciiTheme="minorEastAsia" w:hAnsiTheme="minorEastAsia" w:eastAsiaTheme="minorEastAsia" w:cstheme="minorEastAsia"/>
              </w:rPr>
              <w:t>项目编码</w:t>
            </w:r>
          </w:p>
        </w:tc>
        <w:tc>
          <w:tcPr>
            <w:tcW w:w="2654" w:type="dxa"/>
            <w:gridSpan w:val="2"/>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13012922P008478100019</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981"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2022年政法委严重精神障碍患者监护人责任险及以奖代补（县安排）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30.00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30.00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pPr>
              <w:rPr>
                <w:rFonts w:hint="eastAsia" w:asciiTheme="minorEastAsia" w:hAnsiTheme="minorEastAsia" w:eastAsiaTheme="minorEastAsia" w:cstheme="minorEastAsia"/>
              </w:rPr>
            </w:pPr>
          </w:p>
        </w:tc>
        <w:tc>
          <w:tcPr>
            <w:tcW w:w="7962"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用于全县严重精神病患者上保险及重症精神病患者以奖代补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7962" w:type="dxa"/>
            <w:gridSpan w:val="6"/>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1.全县在册精神病人监护人全部落实监护人责任险</w:t>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2.加强对精神病患者的管控</w: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3.未发生肇事肇祸案件重症精神病人发放以奖代补资金，从而降低易肇事肇祸精神病人造成事故从而导致的损失。</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tc>
      </w:tr>
    </w:tbl>
    <w:p>
      <w:pPr>
        <w:spacing w:before="0" w:after="0"/>
        <w:jc w:val="left"/>
        <w:outlineLvl w:val="3"/>
        <w:rPr>
          <w:rFonts w:hint="eastAsia" w:asciiTheme="minorEastAsia" w:hAnsiTheme="minorEastAsia" w:eastAsiaTheme="minorEastAsia" w:cstheme="minorEastAsia"/>
          <w:b/>
          <w:bCs/>
        </w:rPr>
      </w:pPr>
      <w:r>
        <w:rPr>
          <w:rFonts w:hint="eastAsia" w:asciiTheme="minorEastAsia" w:hAnsiTheme="minorEastAsia" w:cstheme="minorEastAsia"/>
          <w:b/>
          <w:bCs/>
          <w:color w:val="000000"/>
          <w:sz w:val="28"/>
          <w:lang w:val="en-US" w:eastAsia="zh-CN"/>
        </w:rPr>
        <w:t>3.</w:t>
      </w:r>
      <w:r>
        <w:rPr>
          <w:rFonts w:hint="eastAsia" w:asciiTheme="minorEastAsia" w:hAnsiTheme="minorEastAsia" w:eastAsiaTheme="minorEastAsia" w:cstheme="minorEastAsia"/>
          <w:b/>
          <w:bCs/>
          <w:color w:val="000000"/>
          <w:sz w:val="28"/>
        </w:rPr>
        <w:t>2022年政法委严重精神障碍患者监护人责任险及以奖代补（县安排）绩效目标表</w:t>
      </w:r>
      <w:bookmarkEnd w:id="3"/>
    </w:p>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pPr w:leftFromText="180" w:rightFromText="180" w:vertAnchor="text" w:horzAnchor="page" w:tblpX="1423" w:tblpY="694"/>
        <w:tblOverlap w:val="never"/>
        <w:tblW w:w="928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1327" w:type="dxa"/>
            <w:vAlign w:val="center"/>
          </w:tcPr>
          <w:p>
            <w:pPr>
              <w:pStyle w:val="21"/>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27" w:type="dxa"/>
            <w:vAlign w:val="center"/>
          </w:tcPr>
          <w:p>
            <w:pPr>
              <w:pStyle w:val="21"/>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精神障碍患者监护人责任险落实率</w:t>
            </w:r>
          </w:p>
          <w:p>
            <w:pPr>
              <w:pStyle w:val="22"/>
              <w:rPr>
                <w:rFonts w:hint="eastAsia" w:asciiTheme="minorEastAsia" w:hAnsiTheme="minorEastAsia" w:eastAsiaTheme="minorEastAsia" w:cstheme="minorEastAsia"/>
              </w:rPr>
            </w:pPr>
          </w:p>
        </w:tc>
        <w:tc>
          <w:tcPr>
            <w:tcW w:w="2654"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落实严重精神障碍患者监护人责任险人员占全县精神障碍患者的比例</w: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restart"/>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发放率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以奖代补发放率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重点人口管控率（%）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重点精神（二级）人口管控率（%）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pPr>
              <w:pStyle w:val="23"/>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三级以上精神障碍患者肇事肇祸数量</w:t>
            </w:r>
          </w:p>
        </w:tc>
        <w:tc>
          <w:tcPr>
            <w:tcW w:w="2654"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三级以上精神障碍患者肇事肇祸数量</w:t>
            </w:r>
          </w:p>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7" w:hRule="atLeast"/>
        </w:trPr>
        <w:tc>
          <w:tcPr>
            <w:tcW w:w="1327" w:type="dxa"/>
            <w:vMerge w:val="restart"/>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可持续影响指标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维护社会稳定</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减少全县精神病患者的肇事肇祸次数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≤5起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327" w:type="dxa"/>
            <w:vMerge w:val="continue"/>
            <w:vAlign w:val="center"/>
          </w:tcPr>
          <w:p>
            <w:pPr>
              <w:pStyle w:val="23"/>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对监护人的回访</w:t>
            </w:r>
          </w:p>
          <w:p>
            <w:pPr>
              <w:pStyle w:val="22"/>
              <w:rPr>
                <w:rFonts w:hint="eastAsia" w:asciiTheme="minorEastAsia" w:hAnsiTheme="minorEastAsia" w:eastAsiaTheme="minorEastAsia" w:cstheme="minorEastAsia"/>
              </w:rPr>
            </w:pPr>
          </w:p>
        </w:tc>
        <w:tc>
          <w:tcPr>
            <w:tcW w:w="2654"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对重度精神病患者监护人的回访满意度</w:t>
            </w:r>
          </w:p>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bl>
    <w:tbl>
      <w:tblPr>
        <w:tblStyle w:val="8"/>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81"/>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bl>
    <w:p>
      <w:pPr>
        <w:rPr>
          <w:rFonts w:hint="eastAsia" w:asciiTheme="minorEastAsia" w:hAnsiTheme="minorEastAsia" w:eastAsiaTheme="minorEastAsia" w:cstheme="minorEastAsia"/>
        </w:rPr>
        <w:sectPr>
          <w:pgSz w:w="11900" w:h="16840"/>
          <w:pgMar w:top="1984" w:right="1304" w:bottom="1134" w:left="1304"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p>
      <w:pPr>
        <w:spacing w:before="0" w:after="0"/>
        <w:jc w:val="left"/>
        <w:outlineLvl w:val="3"/>
        <w:rPr>
          <w:rFonts w:hint="eastAsia" w:asciiTheme="minorEastAsia" w:hAnsiTheme="minorEastAsia" w:eastAsiaTheme="minorEastAsia" w:cstheme="minorEastAsia"/>
          <w:b/>
          <w:bCs/>
        </w:rPr>
      </w:pPr>
      <w:bookmarkStart w:id="4" w:name="_Toc_4_4_0000000009"/>
      <w:r>
        <w:rPr>
          <w:rFonts w:hint="eastAsia" w:asciiTheme="minorEastAsia" w:hAnsiTheme="minorEastAsia" w:cstheme="minorEastAsia"/>
          <w:b/>
          <w:bCs/>
          <w:color w:val="000000"/>
          <w:sz w:val="28"/>
          <w:lang w:val="en-US" w:eastAsia="zh-CN"/>
        </w:rPr>
        <w:t>4.</w:t>
      </w:r>
      <w:r>
        <w:rPr>
          <w:rFonts w:hint="eastAsia" w:asciiTheme="minorEastAsia" w:hAnsiTheme="minorEastAsia" w:eastAsiaTheme="minorEastAsia" w:cstheme="minorEastAsia"/>
          <w:b/>
          <w:bCs/>
          <w:color w:val="000000"/>
          <w:sz w:val="28"/>
        </w:rPr>
        <w:t>2022年政法委政法网租赁及维护（县安排）绩效目标表</w:t>
      </w:r>
      <w:bookmarkEnd w:id="4"/>
    </w:p>
    <w:tbl>
      <w:tblPr>
        <w:tblStyle w:val="8"/>
        <w:tblW w:w="93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95"/>
        <w:gridCol w:w="1132"/>
        <w:gridCol w:w="195"/>
        <w:gridCol w:w="1132"/>
        <w:gridCol w:w="195"/>
        <w:gridCol w:w="1132"/>
        <w:gridCol w:w="195"/>
        <w:gridCol w:w="1132"/>
        <w:gridCol w:w="10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09" w:type="dxa"/>
          <w:trHeight w:val="397" w:hRule="atLeast"/>
          <w:jc w:val="center"/>
        </w:trPr>
        <w:tc>
          <w:tcPr>
            <w:tcW w:w="7962" w:type="dxa"/>
            <w:gridSpan w:val="9"/>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gridSpan w:val="2"/>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项目编码</w:t>
            </w:r>
          </w:p>
        </w:tc>
        <w:tc>
          <w:tcPr>
            <w:tcW w:w="2849"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13012922P00847610001X</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895"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2022年政法委政法网租赁及维护（县安排）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522"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16.24</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16.24</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241"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8071" w:type="dxa"/>
            <w:gridSpan w:val="11"/>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主要用于对政法网络的传输线路租赁，网络设备维护、维修，网络系统的推广和人员培训等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436" w:type="dxa"/>
            <w:gridSpan w:val="3"/>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436" w:type="dxa"/>
            <w:gridSpan w:val="3"/>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8071" w:type="dxa"/>
            <w:gridSpan w:val="11"/>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1.保障政法各单位政法网络应用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2.确保网络安全运行</w: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3.确保网络畅通</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tc>
      </w:tr>
    </w:tbl>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W w:w="93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89"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节点光纤网络中断率</w:t>
            </w:r>
          </w:p>
        </w:tc>
        <w:tc>
          <w:tcPr>
            <w:tcW w:w="2654"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政法网各节点光纤网络中断天数占全年比例</w:t>
            </w:r>
          </w:p>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w:t>
            </w:r>
          </w:p>
        </w:tc>
        <w:tc>
          <w:tcPr>
            <w:tcW w:w="1389"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56个接头</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全部维护</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89"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设备维修及时率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全县政法四级网设备维修及时率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89"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各单位政法业务应用。</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提升单位政法网络业务使用效果。</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显著提升政法网络使用的效果</w:t>
            </w:r>
          </w:p>
          <w:p>
            <w:pPr>
              <w:pStyle w:val="22"/>
              <w:rPr>
                <w:rFonts w:hint="eastAsia" w:asciiTheme="minorEastAsia" w:hAnsiTheme="minorEastAsia" w:eastAsiaTheme="minorEastAsia" w:cstheme="minorEastAsia"/>
              </w:rPr>
            </w:pPr>
          </w:p>
        </w:tc>
        <w:tc>
          <w:tcPr>
            <w:tcW w:w="1389"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可持续影响指标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网络安全稳定运行</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网络安全稳定运行</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89" w:type="dxa"/>
            <w:vAlign w:val="center"/>
          </w:tcPr>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政法各部门满意度</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政法各部门使用四级网络满意度占全体受访单位的比例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89"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bl>
    <w:p>
      <w:pPr>
        <w:rPr>
          <w:rFonts w:hint="eastAsia" w:asciiTheme="minorEastAsia" w:hAnsiTheme="minorEastAsia" w:eastAsiaTheme="minorEastAsia" w:cstheme="minorEastAsia"/>
        </w:rPr>
        <w:sectPr>
          <w:pgSz w:w="11900" w:h="16840"/>
          <w:pgMar w:top="1984" w:right="1304" w:bottom="1134" w:left="1304"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8"/>
        </w:rPr>
        <w:t xml:space="preserve"> </w:t>
      </w:r>
    </w:p>
    <w:p>
      <w:pPr>
        <w:spacing w:before="0" w:after="0"/>
        <w:jc w:val="left"/>
        <w:outlineLvl w:val="3"/>
        <w:rPr>
          <w:rFonts w:hint="eastAsia" w:asciiTheme="minorEastAsia" w:hAnsiTheme="minorEastAsia" w:eastAsiaTheme="minorEastAsia" w:cstheme="minorEastAsia"/>
          <w:b/>
          <w:bCs/>
        </w:rPr>
      </w:pPr>
      <w:bookmarkStart w:id="5" w:name="_Toc_4_4_0000000010"/>
      <w:r>
        <w:rPr>
          <w:rFonts w:hint="eastAsia" w:asciiTheme="minorEastAsia" w:hAnsiTheme="minorEastAsia" w:cstheme="minorEastAsia"/>
          <w:b/>
          <w:bCs/>
          <w:color w:val="000000"/>
          <w:sz w:val="28"/>
          <w:lang w:val="en-US" w:eastAsia="zh-CN"/>
        </w:rPr>
        <w:t>5.</w:t>
      </w:r>
      <w:r>
        <w:rPr>
          <w:rFonts w:hint="eastAsia" w:asciiTheme="minorEastAsia" w:hAnsiTheme="minorEastAsia" w:eastAsiaTheme="minorEastAsia" w:cstheme="minorEastAsia"/>
          <w:b/>
          <w:bCs/>
          <w:color w:val="000000"/>
          <w:sz w:val="28"/>
        </w:rPr>
        <w:t>2022年政法委综治工作（县安排）绩效目标表</w:t>
      </w:r>
      <w:bookmarkEnd w:id="5"/>
    </w:p>
    <w:tbl>
      <w:tblPr>
        <w:tblStyle w:val="8"/>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635" w:type="dxa"/>
            <w:gridSpan w:val="5"/>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项目编码</w:t>
            </w:r>
          </w:p>
        </w:tc>
        <w:tc>
          <w:tcPr>
            <w:tcW w:w="2654" w:type="dxa"/>
            <w:gridSpan w:val="2"/>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13012922P00847710001K</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981"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2022年政法委综治工作（县安排）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28.00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28.00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7962"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对全县社会治安综合治理工作进行谋划、部署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7962" w:type="dxa"/>
            <w:gridSpan w:val="6"/>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1.社会治安突出问题得以解决</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2.综治工作规范化</w:t>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3.社会矛盾纠纷得以排查和调处</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tc>
      </w:tr>
    </w:tbl>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矛盾纠纷化解率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矛盾纠纷排查化解数占实际发生矛盾全部数量的比例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群体性事件成功处置率（%）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群体性事件成功处置率1</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突发事件处置及时性（小时）</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突发事件处置及时性</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≤1小时</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重大不稳定案事件发生数</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重大不稳定案事件发生件数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≤5起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立体化社会治安防控体系覆盖率(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立体化社会治安防控体系覆盖率(%)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≥95%</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群众满意度</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受访群众中满意和较满意的占全体受访群众的比例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bl>
    <w:p>
      <w:pPr>
        <w:rPr>
          <w:rFonts w:hint="eastAsia" w:asciiTheme="minorEastAsia" w:hAnsiTheme="minorEastAsia" w:eastAsiaTheme="minorEastAsia" w:cstheme="minorEastAsia"/>
        </w:rPr>
        <w:sectPr>
          <w:pgSz w:w="11900" w:h="16840"/>
          <w:pgMar w:top="1984" w:right="1304" w:bottom="1134" w:left="1304"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both"/>
        <w:outlineLvl w:val="9"/>
        <w:rPr>
          <w:rFonts w:hint="eastAsia" w:asciiTheme="minorEastAsia" w:hAnsiTheme="minorEastAsia" w:eastAsiaTheme="minorEastAsia" w:cstheme="minorEastAsia"/>
          <w:b/>
          <w:bCs/>
        </w:rPr>
      </w:pPr>
      <w:bookmarkStart w:id="6" w:name="_Toc_4_4_0000000011"/>
      <w:r>
        <w:rPr>
          <w:rFonts w:hint="eastAsia" w:asciiTheme="minorEastAsia" w:hAnsiTheme="minorEastAsia" w:cstheme="minorEastAsia"/>
          <w:b/>
          <w:bCs/>
          <w:color w:val="000000"/>
          <w:sz w:val="28"/>
          <w:lang w:val="en-US" w:eastAsia="zh-CN"/>
        </w:rPr>
        <w:t>6.</w:t>
      </w:r>
      <w:r>
        <w:rPr>
          <w:rFonts w:hint="eastAsia" w:asciiTheme="minorEastAsia" w:hAnsiTheme="minorEastAsia" w:eastAsiaTheme="minorEastAsia" w:cstheme="minorEastAsia"/>
          <w:b/>
          <w:bCs/>
          <w:color w:val="000000"/>
          <w:sz w:val="28"/>
        </w:rPr>
        <w:t>2022年政法委综治信息系统（9+X信息系统）（县安排）绩效目标表</w:t>
      </w:r>
      <w:bookmarkEnd w:id="6"/>
    </w:p>
    <w:tbl>
      <w:tblPr>
        <w:tblStyle w:val="8"/>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项目编码</w:t>
            </w:r>
          </w:p>
        </w:tc>
        <w:tc>
          <w:tcPr>
            <w:tcW w:w="2654" w:type="dxa"/>
            <w:gridSpan w:val="2"/>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13012922P00847910001Y</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981"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2022年政法委综治信息系统（9+X信息系统）（县安排）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45.00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45.00</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7962"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治信息化建设是按照每一个村民小组或自然村设立一个或几个网格员，由网格员使用手机APP完成综治“9+X”信息系统基础数据采集更新，对矛盾纠纷、社会治安、命案防控、护路护线等信息网上报送。按照省、市综治办的工作要求，各县（市、区）要配备不少于300名网格员，每个网格员的手机APP终端费用和通讯费是每人每年1500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7962" w:type="dxa"/>
            <w:gridSpan w:val="6"/>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1.实现综治基础信息及综治时间定期采集。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2.实现综治基础信息及综治时间定期更新。</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3.维护社会稳定</w:t>
            </w:r>
          </w:p>
        </w:tc>
      </w:tr>
    </w:tbl>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手机APP终端普及率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手机APP终端普及率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各项任务完成及时率（%）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各项任务完成及时率（%）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有效信息上传</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每人每年累计有效信息上传数</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≥10条</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数据信息更新率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采集全县基础信息更新率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生态效益指标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重大环保事件及时发现率（%）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重大环保事件及时发现率（%）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&gt;11起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可持续影响指标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推进社会治理现代化</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推进全县社会治理现代化不断提升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≥95%</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被调查对象满意和较满意占总体受访群众的比例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bl>
    <w:p>
      <w:pPr>
        <w:spacing w:before="0" w:after="0" w:line="240" w:lineRule="auto"/>
        <w:jc w:val="both"/>
        <w:outlineLvl w:val="9"/>
        <w:rPr>
          <w:rFonts w:hint="eastAsia" w:asciiTheme="minorEastAsia" w:hAnsiTheme="minorEastAsia" w:cstheme="minorEastAsia"/>
          <w:b/>
          <w:bCs/>
          <w:color w:val="000000"/>
          <w:sz w:val="28"/>
          <w:lang w:val="en-US" w:eastAsia="zh-CN"/>
        </w:rPr>
      </w:pPr>
      <w:bookmarkStart w:id="7" w:name="_Toc_4_4_0000000012"/>
    </w:p>
    <w:p>
      <w:pPr>
        <w:spacing w:before="0" w:after="0" w:line="240" w:lineRule="auto"/>
        <w:jc w:val="both"/>
        <w:outlineLvl w:val="9"/>
        <w:rPr>
          <w:rFonts w:hint="eastAsia" w:asciiTheme="minorEastAsia" w:hAnsiTheme="minorEastAsia" w:eastAsiaTheme="minorEastAsia" w:cstheme="minorEastAsia"/>
          <w:b/>
          <w:bCs/>
        </w:rPr>
      </w:pPr>
      <w:r>
        <w:rPr>
          <w:rFonts w:hint="eastAsia" w:asciiTheme="minorEastAsia" w:hAnsiTheme="minorEastAsia" w:cstheme="minorEastAsia"/>
          <w:b/>
          <w:bCs/>
          <w:color w:val="000000"/>
          <w:sz w:val="28"/>
          <w:lang w:val="en-US" w:eastAsia="zh-CN"/>
        </w:rPr>
        <w:t>7.</w:t>
      </w:r>
      <w:r>
        <w:rPr>
          <w:rFonts w:hint="eastAsia" w:asciiTheme="minorEastAsia" w:hAnsiTheme="minorEastAsia" w:eastAsiaTheme="minorEastAsia" w:cstheme="minorEastAsia"/>
          <w:b/>
          <w:bCs/>
          <w:color w:val="000000"/>
          <w:sz w:val="28"/>
        </w:rPr>
        <w:t>2022年政法委见义勇为基金（县安排）绩效目标表</w:t>
      </w:r>
      <w:bookmarkEnd w:id="7"/>
    </w:p>
    <w:tbl>
      <w:tblPr>
        <w:tblStyle w:val="8"/>
        <w:tblW w:w="939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08"/>
        <w:gridCol w:w="1219"/>
        <w:gridCol w:w="108"/>
        <w:gridCol w:w="1219"/>
        <w:gridCol w:w="108"/>
        <w:gridCol w:w="1219"/>
        <w:gridCol w:w="108"/>
        <w:gridCol w:w="1219"/>
        <w:gridCol w:w="10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08" w:type="dxa"/>
          <w:trHeight w:val="397" w:hRule="atLeast"/>
          <w:jc w:val="center"/>
        </w:trPr>
        <w:tc>
          <w:tcPr>
            <w:tcW w:w="5308" w:type="dxa"/>
            <w:gridSpan w:val="5"/>
            <w:tcBorders>
              <w:top w:val="single" w:color="FFFFFF" w:sz="6" w:space="0"/>
              <w:left w:val="single" w:color="FFFFFF" w:sz="6" w:space="0"/>
              <w:right w:val="single" w:color="FFFFFF" w:sz="6" w:space="0"/>
            </w:tcBorders>
            <w:vAlign w:val="center"/>
          </w:tcPr>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w:t>216中共赞皇县委政法委员会</w:t>
            </w:r>
          </w:p>
        </w:tc>
        <w:tc>
          <w:tcPr>
            <w:tcW w:w="1327" w:type="dxa"/>
            <w:gridSpan w:val="2"/>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gridSpan w:val="2"/>
            <w:tcBorders>
              <w:top w:val="single" w:color="FFFFFF" w:sz="6" w:space="0"/>
              <w:left w:val="single" w:color="FFFFFF" w:sz="6" w:space="0"/>
              <w:right w:val="single" w:color="FFFFFF" w:sz="6" w:space="0"/>
            </w:tcBorders>
          </w:tcPr>
          <w:p>
            <w:pPr>
              <w:rPr>
                <w:rFonts w:hint="eastAsia" w:asciiTheme="minorEastAsia" w:hAnsiTheme="minorEastAsia" w:eastAsiaTheme="minorEastAsia" w:cstheme="minorEastAsia"/>
              </w:rPr>
            </w:pPr>
          </w:p>
        </w:tc>
        <w:tc>
          <w:tcPr>
            <w:tcW w:w="1327" w:type="dxa"/>
            <w:gridSpan w:val="2"/>
            <w:tcBorders>
              <w:top w:val="single" w:color="FFFFFF" w:sz="6" w:space="0"/>
              <w:left w:val="single" w:color="FFFFFF" w:sz="6" w:space="0"/>
              <w:right w:val="single" w:color="FFFFFF" w:sz="6" w:space="0"/>
            </w:tcBorders>
            <w:vAlign w:val="center"/>
          </w:tcPr>
          <w:p>
            <w:pPr>
              <w:pStyle w:val="20"/>
              <w:rPr>
                <w:rFonts w:hint="eastAsia" w:asciiTheme="minorEastAsia" w:hAnsiTheme="minorEastAsia" w:eastAsiaTheme="minorEastAsia" w:cstheme="minorEastAsia"/>
              </w:rPr>
            </w:pPr>
            <w:r>
              <w:rPr>
                <w:rFonts w:hint="eastAsia" w:asciiTheme="minorEastAsia" w:hAnsiTheme="minorEastAsia" w:eastAsiaTheme="minorEastAsia" w:cstheme="minor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项目编码</w:t>
            </w:r>
          </w:p>
        </w:tc>
        <w:tc>
          <w:tcPr>
            <w:tcW w:w="2762" w:type="dxa"/>
            <w:gridSpan w:val="3"/>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13012922P008475100018</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项目名称</w:t>
            </w:r>
          </w:p>
        </w:tc>
        <w:tc>
          <w:tcPr>
            <w:tcW w:w="3981" w:type="dxa"/>
            <w:gridSpan w:val="6"/>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2022年政法委见义勇为基金（县安排）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预算规模及资金用途</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预算数</w:t>
            </w:r>
          </w:p>
        </w:tc>
        <w:tc>
          <w:tcPr>
            <w:tcW w:w="1435"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10.00</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其中：财政    资金</w:t>
            </w:r>
          </w:p>
        </w:tc>
        <w:tc>
          <w:tcPr>
            <w:tcW w:w="1327"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10.00</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其他资金</w:t>
            </w:r>
          </w:p>
        </w:tc>
        <w:tc>
          <w:tcPr>
            <w:tcW w:w="1327" w:type="dxa"/>
            <w:gridSpan w:val="2"/>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8070" w:type="dxa"/>
            <w:gridSpan w:val="11"/>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用于对见义勇为人员的奖励和慰问，对见义勇为人员抢救治疗等费用的补助，对因见义勇为牺牲、伤残人员的抚恤和补助，对见义勇为人员及其家属的生活和就学困难等的补助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资金支出计划（%）</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3月底</w:t>
            </w:r>
          </w:p>
        </w:tc>
        <w:tc>
          <w:tcPr>
            <w:tcW w:w="1327" w:type="dxa"/>
          </w:tcPr>
          <w:p>
            <w:pPr>
              <w:rPr>
                <w:rFonts w:hint="eastAsia" w:asciiTheme="minorEastAsia" w:hAnsiTheme="minorEastAsia" w:eastAsiaTheme="minorEastAsia" w:cstheme="minorEastAsia"/>
              </w:rPr>
            </w:pP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6月底</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10月底</w:t>
            </w:r>
          </w:p>
        </w:tc>
        <w:tc>
          <w:tcPr>
            <w:tcW w:w="1327" w:type="dxa"/>
            <w:gridSpan w:val="2"/>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12月底</w:t>
            </w:r>
          </w:p>
        </w:tc>
        <w:tc>
          <w:tcPr>
            <w:tcW w:w="1435" w:type="dxa"/>
            <w:gridSpan w:val="3"/>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rPr>
                <w:rFonts w:hint="eastAsia" w:asciiTheme="minorEastAsia" w:hAnsiTheme="minorEastAsia" w:eastAsiaTheme="minorEastAsia" w:cstheme="minorEastAsia"/>
              </w:rPr>
            </w:pPr>
          </w:p>
        </w:tc>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327" w:type="dxa"/>
          </w:tcPr>
          <w:p>
            <w:pPr>
              <w:rPr>
                <w:rFonts w:hint="eastAsia" w:asciiTheme="minorEastAsia" w:hAnsiTheme="minorEastAsia" w:eastAsiaTheme="minorEastAsia" w:cstheme="minorEastAsia"/>
              </w:rPr>
            </w:pP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60%</w:t>
            </w: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gridSpan w:val="2"/>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435" w:type="dxa"/>
            <w:gridSpan w:val="3"/>
          </w:tcPr>
          <w:p>
            <w:pPr>
              <w:rPr>
                <w:rFonts w:hint="eastAsia" w:asciiTheme="minorEastAsia" w:hAnsiTheme="minorEastAsia" w:eastAsiaTheme="minorEastAsia" w:cstheme="minorEastAsia"/>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绩效目标</w:t>
            </w:r>
          </w:p>
        </w:tc>
        <w:tc>
          <w:tcPr>
            <w:tcW w:w="8070" w:type="dxa"/>
            <w:gridSpan w:val="11"/>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1.对符合见义勇为标准的人员进行奖励或补助。</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2.提升群众见义勇为积极性，弘扬正气。</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ab/>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3.促进社会和谐</w:t>
            </w:r>
          </w:p>
        </w:tc>
      </w:tr>
    </w:tbl>
    <w:p>
      <w:pPr>
        <w:spacing w:before="0" w:after="0" w:line="2" w:lineRule="exact"/>
        <w:ind w:firstLine="0"/>
        <w:jc w:val="center"/>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 xml:space="preserve"> </w:t>
      </w:r>
    </w:p>
    <w:tbl>
      <w:tblPr>
        <w:tblStyle w:val="8"/>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一级指标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二级指标</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三级指标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绩效指标描述</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w:t>
            </w:r>
          </w:p>
        </w:tc>
        <w:tc>
          <w:tcPr>
            <w:tcW w:w="1327" w:type="dxa"/>
            <w:vAlign w:val="center"/>
          </w:tcPr>
          <w:p>
            <w:pPr>
              <w:pStyle w:val="21"/>
              <w:rPr>
                <w:rFonts w:hint="eastAsia" w:asciiTheme="minorEastAsia" w:hAnsiTheme="minorEastAsia" w:eastAsiaTheme="minorEastAsia" w:cstheme="minorEastAsia"/>
              </w:rPr>
            </w:pPr>
            <w:r>
              <w:rPr>
                <w:rFonts w:hint="eastAsia" w:asciiTheme="minorEastAsia" w:hAnsiTheme="minorEastAsia" w:eastAsiaTheme="minorEastAsia" w:cstheme="minor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产出指标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对符合见义勇为标准的人员进行奖励比例</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对符合见义勇为标准的人员进行奖励数量占应当享受奖励人员比例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完成及时率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完成及时率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≤20天</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评审率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见义勇为评审率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严格评审见义勇为行为</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因应当享受奖励或补贴而未享受原因造成上访数量</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因见义勇为人员应当享受奖励或补贴而未享受造成上访事件的数量</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≤1起</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见义勇为人员奖励、帮扶覆盖率(</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见义勇为人员奖励、帮扶覆盖率(%)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100%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rPr>
                <w:rFonts w:hint="eastAsia" w:asciiTheme="minorEastAsia" w:hAnsiTheme="minorEastAsia" w:eastAsiaTheme="minorEastAsia" w:cstheme="minorEastAsia"/>
              </w:rPr>
            </w:pP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可持续影响指标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示范带动作用</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示范带动作用</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≥90%</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3"/>
              <w:rPr>
                <w:rFonts w:hint="eastAsia"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对奖补人员回访满意度占比</w:t>
            </w:r>
          </w:p>
        </w:tc>
        <w:tc>
          <w:tcPr>
            <w:tcW w:w="2654" w:type="dxa"/>
            <w:vAlign w:val="center"/>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对符合奖补标准的人员回访满意度比例</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≥95%</w:t>
            </w:r>
          </w:p>
        </w:tc>
        <w:tc>
          <w:tcPr>
            <w:tcW w:w="1327" w:type="dxa"/>
            <w:vAlign w:val="center"/>
          </w:tcPr>
          <w:p>
            <w:pPr>
              <w:pStyle w:val="22"/>
              <w:rPr>
                <w:rFonts w:hint="eastAsia" w:asciiTheme="minorEastAsia" w:hAnsiTheme="minorEastAsia" w:eastAsiaTheme="minorEastAsia" w:cstheme="minorEastAsia"/>
              </w:rPr>
            </w:pPr>
            <w:r>
              <w:rPr>
                <w:rFonts w:hint="eastAsia" w:asciiTheme="minorEastAsia" w:hAnsiTheme="minorEastAsia" w:eastAsiaTheme="minorEastAsia" w:cstheme="minorEastAsia"/>
              </w:rPr>
              <w:t>年度工作计划</w:t>
            </w:r>
          </w:p>
          <w:p>
            <w:pPr>
              <w:pStyle w:val="22"/>
              <w:rPr>
                <w:rFonts w:hint="eastAsia" w:asciiTheme="minorEastAsia" w:hAnsiTheme="minorEastAsia" w:eastAsiaTheme="minorEastAsia" w:cstheme="minorEastAsia"/>
              </w:rPr>
            </w:pPr>
          </w:p>
        </w:tc>
      </w:tr>
    </w:tbl>
    <w:p>
      <w:pPr>
        <w:rPr>
          <w:rFonts w:hint="eastAsia" w:asciiTheme="minorEastAsia" w:hAnsiTheme="minorEastAsia" w:eastAsiaTheme="minorEastAsia" w:cstheme="minorEastAsia"/>
        </w:rPr>
      </w:pPr>
    </w:p>
    <w:p>
      <w:pPr>
        <w:jc w:val="left"/>
        <w:outlineLvl w:val="1"/>
        <w:rPr>
          <w:rFonts w:hint="eastAsia" w:ascii="方正仿宋_GBK" w:eastAsia="方正仿宋_GBK"/>
          <w:b/>
          <w:sz w:val="28"/>
          <w:lang w:val="en-US" w:eastAsia="zh-CN"/>
        </w:rPr>
      </w:pPr>
    </w:p>
    <w:p>
      <w:pPr>
        <w:jc w:val="left"/>
        <w:outlineLvl w:val="1"/>
        <w:rPr>
          <w:rFonts w:hint="eastAsia" w:ascii="方正仿宋_GBK" w:eastAsia="方正仿宋_GBK"/>
          <w:b/>
          <w:sz w:val="28"/>
          <w:lang w:val="en-US" w:eastAsia="zh-CN"/>
        </w:rPr>
      </w:pPr>
    </w:p>
    <w:bookmarkEnd w:id="0"/>
    <w:p>
      <w:pPr>
        <w:autoSpaceDE w:val="0"/>
        <w:autoSpaceDN w:val="0"/>
        <w:adjustRightInd w:val="0"/>
        <w:ind w:firstLine="640" w:firstLineChars="200"/>
        <w:jc w:val="left"/>
        <w:rPr>
          <w:rFonts w:hint="eastAsia" w:ascii="黑体" w:hAnsi="黑体" w:eastAsia="黑体" w:cs="Times New Roman"/>
          <w:sz w:val="32"/>
          <w:szCs w:val="32"/>
        </w:rPr>
        <w:sectPr>
          <w:footerReference r:id="rId3" w:type="default"/>
          <w:pgSz w:w="11906" w:h="16838"/>
          <w:pgMar w:top="1440" w:right="1803" w:bottom="1440" w:left="1803" w:header="851" w:footer="992" w:gutter="0"/>
          <w:pgBorders>
            <w:top w:val="none" w:sz="0" w:space="0"/>
            <w:left w:val="none" w:sz="0" w:space="0"/>
            <w:bottom w:val="none" w:sz="0" w:space="0"/>
            <w:right w:val="none" w:sz="0" w:space="0"/>
          </w:pgBorders>
          <w:cols w:space="0" w:num="1"/>
          <w:rtlGutter w:val="0"/>
          <w:docGrid w:type="lines" w:linePitch="319"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仿宋"/>
          <w:sz w:val="32"/>
          <w:szCs w:val="32"/>
        </w:rPr>
      </w:pPr>
      <w:bookmarkStart w:id="8"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年，我部门安排政府采购预算</w:t>
      </w:r>
      <w:r>
        <w:rPr>
          <w:rFonts w:hint="eastAsia" w:ascii="仿宋" w:hAnsi="仿宋" w:eastAsia="仿宋" w:cs="仿宋"/>
          <w:sz w:val="32"/>
          <w:szCs w:val="32"/>
          <w:lang w:val="en-US" w:eastAsia="zh-CN"/>
        </w:rPr>
        <w:t>45</w:t>
      </w:r>
      <w:r>
        <w:rPr>
          <w:rFonts w:hint="eastAsia" w:ascii="仿宋" w:hAnsi="仿宋" w:eastAsia="仿宋" w:cs="仿宋"/>
          <w:sz w:val="32"/>
          <w:szCs w:val="32"/>
        </w:rPr>
        <w:t>万元。具体内容见下表。</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8"/>
    </w:p>
    <w:tbl>
      <w:tblPr>
        <w:tblStyle w:val="8"/>
        <w:tblW w:w="132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2"/>
        <w:gridCol w:w="1001"/>
        <w:gridCol w:w="888"/>
        <w:gridCol w:w="1"/>
        <w:gridCol w:w="898"/>
        <w:gridCol w:w="1"/>
        <w:gridCol w:w="692"/>
        <w:gridCol w:w="1"/>
        <w:gridCol w:w="692"/>
        <w:gridCol w:w="1"/>
        <w:gridCol w:w="772"/>
        <w:gridCol w:w="1"/>
        <w:gridCol w:w="971"/>
        <w:gridCol w:w="977"/>
        <w:gridCol w:w="1007"/>
        <w:gridCol w:w="549"/>
        <w:gridCol w:w="879"/>
        <w:gridCol w:w="879"/>
        <w:gridCol w:w="838"/>
        <w:gridCol w:w="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gridAfter w:val="1"/>
          <w:wAfter w:w="2" w:type="dxa"/>
          <w:tblHeader/>
          <w:jc w:val="center"/>
        </w:trPr>
        <w:tc>
          <w:tcPr>
            <w:tcW w:w="7179" w:type="dxa"/>
            <w:gridSpan w:val="11"/>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216政法委</w:t>
            </w:r>
          </w:p>
        </w:tc>
        <w:tc>
          <w:tcPr>
            <w:tcW w:w="6101" w:type="dxa"/>
            <w:gridSpan w:val="8"/>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blHeader/>
          <w:jc w:val="center"/>
        </w:trPr>
        <w:tc>
          <w:tcPr>
            <w:tcW w:w="3233"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8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99"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93"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93"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73"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101" w:type="dxa"/>
            <w:gridSpan w:val="8"/>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3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0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89" w:type="dxa"/>
            <w:gridSpan w:val="2"/>
            <w:shd w:val="clear" w:color="auto" w:fill="auto"/>
            <w:vAlign w:val="center"/>
          </w:tcPr>
          <w:p>
            <w:pPr>
              <w:spacing w:line="300" w:lineRule="exact"/>
              <w:jc w:val="left"/>
              <w:outlineLvl w:val="0"/>
            </w:pPr>
          </w:p>
        </w:tc>
        <w:tc>
          <w:tcPr>
            <w:tcW w:w="899" w:type="dxa"/>
            <w:gridSpan w:val="2"/>
            <w:shd w:val="clear" w:color="auto" w:fill="auto"/>
            <w:vAlign w:val="center"/>
          </w:tcPr>
          <w:p>
            <w:pPr>
              <w:spacing w:line="300" w:lineRule="exact"/>
              <w:jc w:val="left"/>
              <w:outlineLvl w:val="0"/>
            </w:pPr>
          </w:p>
        </w:tc>
        <w:tc>
          <w:tcPr>
            <w:tcW w:w="693" w:type="dxa"/>
            <w:gridSpan w:val="2"/>
            <w:shd w:val="clear" w:color="auto" w:fill="auto"/>
            <w:vAlign w:val="center"/>
          </w:tcPr>
          <w:p>
            <w:pPr>
              <w:spacing w:line="300" w:lineRule="exact"/>
              <w:jc w:val="left"/>
              <w:outlineLvl w:val="0"/>
            </w:pPr>
          </w:p>
        </w:tc>
        <w:tc>
          <w:tcPr>
            <w:tcW w:w="693" w:type="dxa"/>
            <w:gridSpan w:val="2"/>
            <w:shd w:val="clear" w:color="auto" w:fill="auto"/>
            <w:vAlign w:val="center"/>
          </w:tcPr>
          <w:p>
            <w:pPr>
              <w:spacing w:line="300" w:lineRule="exact"/>
              <w:jc w:val="left"/>
              <w:outlineLvl w:val="0"/>
            </w:pPr>
          </w:p>
        </w:tc>
        <w:tc>
          <w:tcPr>
            <w:tcW w:w="773" w:type="dxa"/>
            <w:gridSpan w:val="2"/>
            <w:shd w:val="clear" w:color="auto" w:fill="auto"/>
            <w:vAlign w:val="center"/>
          </w:tcPr>
          <w:p>
            <w:pPr>
              <w:spacing w:line="300" w:lineRule="exact"/>
              <w:jc w:val="left"/>
              <w:outlineLvl w:val="0"/>
            </w:pPr>
          </w:p>
        </w:tc>
        <w:tc>
          <w:tcPr>
            <w:tcW w:w="97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29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40"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32" w:type="dxa"/>
            <w:vMerge w:val="continue"/>
            <w:shd w:val="clear" w:color="auto" w:fill="auto"/>
            <w:vAlign w:val="center"/>
          </w:tcPr>
          <w:p>
            <w:pPr>
              <w:spacing w:line="300" w:lineRule="exact"/>
              <w:jc w:val="left"/>
              <w:outlineLvl w:val="0"/>
            </w:pPr>
          </w:p>
        </w:tc>
        <w:tc>
          <w:tcPr>
            <w:tcW w:w="1001" w:type="dxa"/>
            <w:vMerge w:val="continue"/>
            <w:shd w:val="clear" w:color="auto" w:fill="auto"/>
            <w:vAlign w:val="center"/>
          </w:tcPr>
          <w:p>
            <w:pPr>
              <w:spacing w:line="300" w:lineRule="exact"/>
              <w:jc w:val="left"/>
              <w:outlineLvl w:val="0"/>
            </w:pPr>
          </w:p>
        </w:tc>
        <w:tc>
          <w:tcPr>
            <w:tcW w:w="889" w:type="dxa"/>
            <w:gridSpan w:val="2"/>
            <w:shd w:val="clear" w:color="auto" w:fill="auto"/>
            <w:vAlign w:val="center"/>
          </w:tcPr>
          <w:p>
            <w:pPr>
              <w:spacing w:line="300" w:lineRule="exact"/>
              <w:jc w:val="left"/>
              <w:outlineLvl w:val="0"/>
            </w:pPr>
          </w:p>
        </w:tc>
        <w:tc>
          <w:tcPr>
            <w:tcW w:w="899" w:type="dxa"/>
            <w:gridSpan w:val="2"/>
            <w:shd w:val="clear" w:color="auto" w:fill="auto"/>
            <w:vAlign w:val="center"/>
          </w:tcPr>
          <w:p>
            <w:pPr>
              <w:spacing w:line="300" w:lineRule="exact"/>
              <w:jc w:val="left"/>
              <w:outlineLvl w:val="0"/>
            </w:pPr>
          </w:p>
        </w:tc>
        <w:tc>
          <w:tcPr>
            <w:tcW w:w="693" w:type="dxa"/>
            <w:gridSpan w:val="2"/>
            <w:shd w:val="clear" w:color="auto" w:fill="auto"/>
            <w:vAlign w:val="center"/>
          </w:tcPr>
          <w:p>
            <w:pPr>
              <w:spacing w:line="300" w:lineRule="exact"/>
              <w:jc w:val="left"/>
              <w:outlineLvl w:val="0"/>
            </w:pPr>
          </w:p>
        </w:tc>
        <w:tc>
          <w:tcPr>
            <w:tcW w:w="693" w:type="dxa"/>
            <w:gridSpan w:val="2"/>
            <w:shd w:val="clear" w:color="auto" w:fill="auto"/>
            <w:vAlign w:val="center"/>
          </w:tcPr>
          <w:p>
            <w:pPr>
              <w:spacing w:line="300" w:lineRule="exact"/>
              <w:jc w:val="left"/>
              <w:outlineLvl w:val="0"/>
            </w:pPr>
          </w:p>
        </w:tc>
        <w:tc>
          <w:tcPr>
            <w:tcW w:w="773" w:type="dxa"/>
            <w:gridSpan w:val="2"/>
            <w:shd w:val="clear" w:color="auto" w:fill="auto"/>
            <w:vAlign w:val="center"/>
          </w:tcPr>
          <w:p>
            <w:pPr>
              <w:spacing w:line="300" w:lineRule="exact"/>
              <w:jc w:val="left"/>
              <w:outlineLvl w:val="0"/>
            </w:pPr>
          </w:p>
        </w:tc>
        <w:tc>
          <w:tcPr>
            <w:tcW w:w="971" w:type="dxa"/>
            <w:vMerge w:val="continue"/>
            <w:shd w:val="clear" w:color="auto" w:fill="auto"/>
            <w:vAlign w:val="center"/>
          </w:tcPr>
          <w:p>
            <w:pPr>
              <w:spacing w:line="300" w:lineRule="exact"/>
              <w:jc w:val="left"/>
              <w:outlineLvl w:val="0"/>
            </w:pPr>
          </w:p>
        </w:tc>
        <w:tc>
          <w:tcPr>
            <w:tcW w:w="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0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54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7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7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40" w:type="dxa"/>
            <w:gridSpan w:val="2"/>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3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lang w:eastAsia="zh-CN"/>
              </w:rPr>
              <w:t>中共赞皇县委政法委员会</w:t>
            </w:r>
            <w:r>
              <w:rPr>
                <w:rFonts w:hint="eastAsia" w:ascii="方正书宋_GBK" w:eastAsia="方正书宋_GBK"/>
                <w:b/>
                <w:lang w:val="en-US" w:eastAsia="zh-CN"/>
              </w:rPr>
              <w:t xml:space="preserve"> </w:t>
            </w:r>
            <w:r>
              <w:rPr>
                <w:rFonts w:hint="eastAsia" w:ascii="方正书宋_GBK" w:eastAsia="方正书宋_GBK"/>
                <w:b/>
              </w:rPr>
              <w:t>合　计</w:t>
            </w:r>
          </w:p>
        </w:tc>
        <w:tc>
          <w:tcPr>
            <w:tcW w:w="1001" w:type="dxa"/>
            <w:shd w:val="clear" w:color="auto" w:fill="auto"/>
            <w:vAlign w:val="center"/>
          </w:tcPr>
          <w:p>
            <w:pPr>
              <w:spacing w:line="300" w:lineRule="exact"/>
              <w:jc w:val="right"/>
              <w:rPr>
                <w:rFonts w:ascii="方正书宋_GBK" w:eastAsia="方正书宋_GBK"/>
                <w:b/>
              </w:rPr>
            </w:pPr>
          </w:p>
        </w:tc>
        <w:tc>
          <w:tcPr>
            <w:tcW w:w="889" w:type="dxa"/>
            <w:gridSpan w:val="2"/>
            <w:shd w:val="clear" w:color="auto" w:fill="auto"/>
            <w:vAlign w:val="center"/>
          </w:tcPr>
          <w:p>
            <w:pPr>
              <w:spacing w:line="300" w:lineRule="exact"/>
              <w:jc w:val="left"/>
              <w:rPr>
                <w:rFonts w:ascii="方正书宋_GBK" w:eastAsia="方正书宋_GBK"/>
                <w:b/>
              </w:rPr>
            </w:pPr>
          </w:p>
        </w:tc>
        <w:tc>
          <w:tcPr>
            <w:tcW w:w="899" w:type="dxa"/>
            <w:gridSpan w:val="2"/>
            <w:shd w:val="clear" w:color="auto" w:fill="auto"/>
            <w:vAlign w:val="center"/>
          </w:tcPr>
          <w:p>
            <w:pPr>
              <w:spacing w:line="300" w:lineRule="exact"/>
              <w:jc w:val="left"/>
              <w:rPr>
                <w:rFonts w:ascii="方正书宋_GBK" w:eastAsia="方正书宋_GBK"/>
                <w:b/>
              </w:rPr>
            </w:pPr>
          </w:p>
        </w:tc>
        <w:tc>
          <w:tcPr>
            <w:tcW w:w="693" w:type="dxa"/>
            <w:gridSpan w:val="2"/>
            <w:shd w:val="clear" w:color="auto" w:fill="auto"/>
            <w:vAlign w:val="center"/>
          </w:tcPr>
          <w:p>
            <w:pPr>
              <w:spacing w:line="300" w:lineRule="exact"/>
              <w:jc w:val="left"/>
              <w:rPr>
                <w:rFonts w:ascii="方正书宋_GBK" w:eastAsia="方正书宋_GBK"/>
                <w:b/>
              </w:rPr>
            </w:pPr>
          </w:p>
        </w:tc>
        <w:tc>
          <w:tcPr>
            <w:tcW w:w="693" w:type="dxa"/>
            <w:gridSpan w:val="2"/>
            <w:shd w:val="clear" w:color="auto" w:fill="auto"/>
            <w:vAlign w:val="center"/>
          </w:tcPr>
          <w:p>
            <w:pPr>
              <w:spacing w:line="300" w:lineRule="exact"/>
              <w:jc w:val="right"/>
              <w:rPr>
                <w:rFonts w:ascii="方正书宋_GBK" w:eastAsia="方正书宋_GBK"/>
                <w:b/>
              </w:rPr>
            </w:pPr>
          </w:p>
        </w:tc>
        <w:tc>
          <w:tcPr>
            <w:tcW w:w="773" w:type="dxa"/>
            <w:gridSpan w:val="2"/>
            <w:shd w:val="clear" w:color="auto" w:fill="auto"/>
            <w:vAlign w:val="center"/>
          </w:tcPr>
          <w:p>
            <w:pPr>
              <w:spacing w:line="300" w:lineRule="exact"/>
              <w:jc w:val="right"/>
              <w:rPr>
                <w:rFonts w:ascii="方正书宋_GBK" w:eastAsia="方正书宋_GBK"/>
                <w:b/>
              </w:rPr>
            </w:pPr>
          </w:p>
        </w:tc>
        <w:tc>
          <w:tcPr>
            <w:tcW w:w="971" w:type="dxa"/>
            <w:shd w:val="clear" w:color="auto" w:fill="auto"/>
            <w:vAlign w:val="center"/>
          </w:tcPr>
          <w:p>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45</w:t>
            </w:r>
          </w:p>
        </w:tc>
        <w:tc>
          <w:tcPr>
            <w:tcW w:w="977"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45</w:t>
            </w:r>
          </w:p>
        </w:tc>
        <w:tc>
          <w:tcPr>
            <w:tcW w:w="1007" w:type="dxa"/>
            <w:shd w:val="clear" w:color="auto" w:fill="auto"/>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45</w:t>
            </w:r>
          </w:p>
        </w:tc>
        <w:tc>
          <w:tcPr>
            <w:tcW w:w="549" w:type="dxa"/>
            <w:shd w:val="clear" w:color="auto" w:fill="auto"/>
            <w:vAlign w:val="center"/>
          </w:tcPr>
          <w:p>
            <w:pPr>
              <w:spacing w:line="300" w:lineRule="exact"/>
              <w:jc w:val="right"/>
              <w:rPr>
                <w:rFonts w:ascii="方正书宋_GBK" w:eastAsia="方正书宋_GBK"/>
                <w:b/>
              </w:rPr>
            </w:pPr>
          </w:p>
        </w:tc>
        <w:tc>
          <w:tcPr>
            <w:tcW w:w="879" w:type="dxa"/>
            <w:shd w:val="clear" w:color="auto" w:fill="auto"/>
            <w:vAlign w:val="center"/>
          </w:tcPr>
          <w:p>
            <w:pPr>
              <w:spacing w:line="300" w:lineRule="exact"/>
              <w:jc w:val="right"/>
              <w:rPr>
                <w:rFonts w:ascii="方正书宋_GBK" w:eastAsia="方正书宋_GBK"/>
                <w:b/>
              </w:rPr>
            </w:pPr>
          </w:p>
        </w:tc>
        <w:tc>
          <w:tcPr>
            <w:tcW w:w="879" w:type="dxa"/>
            <w:shd w:val="clear" w:color="auto" w:fill="auto"/>
            <w:vAlign w:val="center"/>
          </w:tcPr>
          <w:p>
            <w:pPr>
              <w:spacing w:line="300" w:lineRule="exact"/>
              <w:jc w:val="right"/>
              <w:rPr>
                <w:rFonts w:ascii="方正书宋_GBK" w:eastAsia="方正书宋_GBK"/>
                <w:b/>
              </w:rPr>
            </w:pPr>
          </w:p>
        </w:tc>
        <w:tc>
          <w:tcPr>
            <w:tcW w:w="840" w:type="dxa"/>
            <w:gridSpan w:val="2"/>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3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001" w:type="dxa"/>
            <w:shd w:val="clear" w:color="auto" w:fill="auto"/>
            <w:vAlign w:val="center"/>
          </w:tcPr>
          <w:p>
            <w:pPr>
              <w:spacing w:line="300" w:lineRule="exact"/>
              <w:jc w:val="right"/>
              <w:rPr>
                <w:rFonts w:ascii="方正书宋_GBK" w:eastAsia="方正书宋_GBK"/>
                <w:b/>
              </w:rPr>
            </w:pPr>
          </w:p>
        </w:tc>
        <w:tc>
          <w:tcPr>
            <w:tcW w:w="889" w:type="dxa"/>
            <w:gridSpan w:val="2"/>
            <w:shd w:val="clear" w:color="auto" w:fill="auto"/>
            <w:vAlign w:val="center"/>
          </w:tcPr>
          <w:p>
            <w:pPr>
              <w:spacing w:line="300" w:lineRule="exact"/>
              <w:jc w:val="left"/>
              <w:rPr>
                <w:rFonts w:ascii="方正书宋_GBK" w:eastAsia="方正书宋_GBK"/>
                <w:b/>
              </w:rPr>
            </w:pPr>
          </w:p>
        </w:tc>
        <w:tc>
          <w:tcPr>
            <w:tcW w:w="899" w:type="dxa"/>
            <w:gridSpan w:val="2"/>
            <w:shd w:val="clear" w:color="auto" w:fill="auto"/>
            <w:vAlign w:val="center"/>
          </w:tcPr>
          <w:p>
            <w:pPr>
              <w:spacing w:line="300" w:lineRule="exact"/>
              <w:jc w:val="left"/>
              <w:rPr>
                <w:rFonts w:ascii="方正书宋_GBK" w:eastAsia="方正书宋_GBK"/>
                <w:b/>
              </w:rPr>
            </w:pPr>
          </w:p>
        </w:tc>
        <w:tc>
          <w:tcPr>
            <w:tcW w:w="693" w:type="dxa"/>
            <w:gridSpan w:val="2"/>
            <w:shd w:val="clear" w:color="auto" w:fill="auto"/>
            <w:vAlign w:val="center"/>
          </w:tcPr>
          <w:p>
            <w:pPr>
              <w:spacing w:line="300" w:lineRule="exact"/>
              <w:jc w:val="left"/>
              <w:rPr>
                <w:rFonts w:ascii="方正书宋_GBK" w:eastAsia="方正书宋_GBK"/>
                <w:b/>
              </w:rPr>
            </w:pPr>
          </w:p>
        </w:tc>
        <w:tc>
          <w:tcPr>
            <w:tcW w:w="693" w:type="dxa"/>
            <w:gridSpan w:val="2"/>
            <w:shd w:val="clear" w:color="auto" w:fill="auto"/>
            <w:vAlign w:val="center"/>
          </w:tcPr>
          <w:p>
            <w:pPr>
              <w:spacing w:line="300" w:lineRule="exact"/>
              <w:jc w:val="right"/>
              <w:rPr>
                <w:rFonts w:ascii="方正书宋_GBK" w:eastAsia="方正书宋_GBK"/>
                <w:b/>
              </w:rPr>
            </w:pPr>
          </w:p>
        </w:tc>
        <w:tc>
          <w:tcPr>
            <w:tcW w:w="773" w:type="dxa"/>
            <w:gridSpan w:val="2"/>
            <w:shd w:val="clear" w:color="auto" w:fill="auto"/>
            <w:vAlign w:val="center"/>
          </w:tcPr>
          <w:p>
            <w:pPr>
              <w:spacing w:line="300" w:lineRule="exact"/>
              <w:jc w:val="right"/>
              <w:rPr>
                <w:rFonts w:ascii="方正书宋_GBK" w:eastAsia="方正书宋_GBK"/>
                <w:b/>
              </w:rPr>
            </w:pPr>
          </w:p>
        </w:tc>
        <w:tc>
          <w:tcPr>
            <w:tcW w:w="971" w:type="dxa"/>
            <w:shd w:val="clear" w:color="auto" w:fill="auto"/>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45</w:t>
            </w:r>
          </w:p>
        </w:tc>
        <w:tc>
          <w:tcPr>
            <w:tcW w:w="977"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b/>
                <w:lang w:val="en-US" w:eastAsia="zh-CN"/>
              </w:rPr>
              <w:t>45</w:t>
            </w:r>
          </w:p>
        </w:tc>
        <w:tc>
          <w:tcPr>
            <w:tcW w:w="1007" w:type="dxa"/>
            <w:shd w:val="clear" w:color="auto" w:fill="auto"/>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45</w:t>
            </w:r>
          </w:p>
        </w:tc>
        <w:tc>
          <w:tcPr>
            <w:tcW w:w="549" w:type="dxa"/>
            <w:shd w:val="clear" w:color="auto" w:fill="auto"/>
            <w:vAlign w:val="center"/>
          </w:tcPr>
          <w:p>
            <w:pPr>
              <w:spacing w:line="300" w:lineRule="exact"/>
              <w:jc w:val="right"/>
              <w:rPr>
                <w:rFonts w:ascii="方正书宋_GBK" w:eastAsia="方正书宋_GBK"/>
                <w:b/>
              </w:rPr>
            </w:pPr>
          </w:p>
        </w:tc>
        <w:tc>
          <w:tcPr>
            <w:tcW w:w="879" w:type="dxa"/>
            <w:shd w:val="clear" w:color="auto" w:fill="auto"/>
            <w:vAlign w:val="center"/>
          </w:tcPr>
          <w:p>
            <w:pPr>
              <w:spacing w:line="300" w:lineRule="exact"/>
              <w:jc w:val="right"/>
              <w:rPr>
                <w:rFonts w:ascii="方正书宋_GBK" w:eastAsia="方正书宋_GBK"/>
                <w:b/>
              </w:rPr>
            </w:pPr>
          </w:p>
        </w:tc>
        <w:tc>
          <w:tcPr>
            <w:tcW w:w="879" w:type="dxa"/>
            <w:shd w:val="clear" w:color="auto" w:fill="auto"/>
            <w:vAlign w:val="center"/>
          </w:tcPr>
          <w:p>
            <w:pPr>
              <w:spacing w:line="300" w:lineRule="exact"/>
              <w:jc w:val="right"/>
              <w:rPr>
                <w:rFonts w:ascii="方正书宋_GBK" w:eastAsia="方正书宋_GBK"/>
                <w:b/>
              </w:rPr>
            </w:pPr>
          </w:p>
        </w:tc>
        <w:tc>
          <w:tcPr>
            <w:tcW w:w="840" w:type="dxa"/>
            <w:gridSpan w:val="2"/>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32"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202</w:t>
            </w:r>
            <w:r>
              <w:rPr>
                <w:rFonts w:hint="eastAsia" w:ascii="方正书宋_GBK" w:eastAsia="方正书宋_GBK"/>
                <w:lang w:val="en-US" w:eastAsia="zh-CN"/>
              </w:rPr>
              <w:t>2</w:t>
            </w:r>
            <w:r>
              <w:rPr>
                <w:rFonts w:hint="eastAsia" w:ascii="方正书宋_GBK" w:eastAsia="方正书宋_GBK"/>
              </w:rPr>
              <w:t>年综治信息化建设</w:t>
            </w:r>
          </w:p>
        </w:tc>
        <w:tc>
          <w:tcPr>
            <w:tcW w:w="1001"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45.00</w:t>
            </w:r>
          </w:p>
        </w:tc>
        <w:tc>
          <w:tcPr>
            <w:tcW w:w="889" w:type="dxa"/>
            <w:gridSpan w:val="2"/>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服务</w:t>
            </w:r>
          </w:p>
        </w:tc>
        <w:tc>
          <w:tcPr>
            <w:tcW w:w="899" w:type="dxa"/>
            <w:gridSpan w:val="2"/>
            <w:shd w:val="clear" w:color="auto" w:fill="auto"/>
            <w:vAlign w:val="center"/>
          </w:tcPr>
          <w:p>
            <w:pPr>
              <w:spacing w:line="300" w:lineRule="exact"/>
              <w:jc w:val="left"/>
              <w:rPr>
                <w:rFonts w:ascii="方正书宋_GBK" w:eastAsia="方正书宋_GBK"/>
              </w:rPr>
            </w:pPr>
          </w:p>
        </w:tc>
        <w:tc>
          <w:tcPr>
            <w:tcW w:w="693" w:type="dxa"/>
            <w:gridSpan w:val="2"/>
            <w:shd w:val="clear" w:color="auto" w:fill="auto"/>
            <w:vAlign w:val="center"/>
          </w:tcPr>
          <w:p>
            <w:pPr>
              <w:spacing w:line="300" w:lineRule="exact"/>
              <w:jc w:val="left"/>
              <w:rPr>
                <w:rFonts w:ascii="方正书宋_GBK" w:eastAsia="方正书宋_GBK"/>
              </w:rPr>
            </w:pPr>
          </w:p>
        </w:tc>
        <w:tc>
          <w:tcPr>
            <w:tcW w:w="693" w:type="dxa"/>
            <w:gridSpan w:val="2"/>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773" w:type="dxa"/>
            <w:gridSpan w:val="2"/>
            <w:shd w:val="clear" w:color="auto" w:fill="auto"/>
            <w:vAlign w:val="center"/>
          </w:tcPr>
          <w:p>
            <w:pPr>
              <w:spacing w:line="300" w:lineRule="exact"/>
              <w:jc w:val="right"/>
              <w:rPr>
                <w:rFonts w:hint="eastAsia" w:ascii="方正书宋_GBK" w:eastAsia="方正书宋_GBK"/>
                <w:lang w:eastAsia="zh-CN"/>
              </w:rPr>
            </w:pPr>
          </w:p>
        </w:tc>
        <w:tc>
          <w:tcPr>
            <w:tcW w:w="971"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45.00</w:t>
            </w:r>
          </w:p>
        </w:tc>
        <w:tc>
          <w:tcPr>
            <w:tcW w:w="97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45.0</w:t>
            </w:r>
            <w:r>
              <w:rPr>
                <w:rFonts w:ascii="方正书宋_GBK" w:eastAsia="方正书宋_GBK"/>
              </w:rPr>
              <w:t>0</w:t>
            </w:r>
          </w:p>
        </w:tc>
        <w:tc>
          <w:tcPr>
            <w:tcW w:w="1007"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45.00</w:t>
            </w:r>
          </w:p>
        </w:tc>
        <w:tc>
          <w:tcPr>
            <w:tcW w:w="549" w:type="dxa"/>
            <w:shd w:val="clear" w:color="auto" w:fill="auto"/>
            <w:vAlign w:val="center"/>
          </w:tcPr>
          <w:p>
            <w:pPr>
              <w:spacing w:line="300" w:lineRule="exact"/>
              <w:jc w:val="right"/>
              <w:rPr>
                <w:rFonts w:ascii="方正书宋_GBK" w:eastAsia="方正书宋_GBK"/>
              </w:rPr>
            </w:pPr>
          </w:p>
        </w:tc>
        <w:tc>
          <w:tcPr>
            <w:tcW w:w="879" w:type="dxa"/>
            <w:shd w:val="clear" w:color="auto" w:fill="auto"/>
            <w:vAlign w:val="center"/>
          </w:tcPr>
          <w:p>
            <w:pPr>
              <w:spacing w:line="300" w:lineRule="exact"/>
              <w:jc w:val="right"/>
              <w:rPr>
                <w:rFonts w:ascii="方正书宋_GBK" w:eastAsia="方正书宋_GBK"/>
              </w:rPr>
            </w:pPr>
          </w:p>
        </w:tc>
        <w:tc>
          <w:tcPr>
            <w:tcW w:w="879" w:type="dxa"/>
            <w:shd w:val="clear" w:color="auto" w:fill="auto"/>
            <w:vAlign w:val="center"/>
          </w:tcPr>
          <w:p>
            <w:pPr>
              <w:spacing w:line="300" w:lineRule="exact"/>
              <w:jc w:val="right"/>
              <w:rPr>
                <w:rFonts w:ascii="方正书宋_GBK" w:eastAsia="方正书宋_GBK"/>
              </w:rPr>
            </w:pPr>
          </w:p>
        </w:tc>
        <w:tc>
          <w:tcPr>
            <w:tcW w:w="840" w:type="dxa"/>
            <w:gridSpan w:val="2"/>
            <w:shd w:val="clear" w:color="auto" w:fill="auto"/>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sectPr>
          <w:pgSz w:w="16838" w:h="11906" w:orient="landscape"/>
          <w:pgMar w:top="1803" w:right="1440" w:bottom="1803" w:left="1440" w:header="851" w:footer="992" w:gutter="0"/>
          <w:pgBorders>
            <w:top w:val="none" w:sz="0" w:space="0"/>
            <w:left w:val="none" w:sz="0" w:space="0"/>
            <w:bottom w:val="none" w:sz="0" w:space="0"/>
            <w:right w:val="none" w:sz="0" w:space="0"/>
          </w:pgBorders>
          <w:cols w:space="0" w:num="1"/>
          <w:rtlGutter w:val="0"/>
          <w:docGrid w:type="lines" w:linePitch="319"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中共赞皇县委政法委员会</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1451.758724</w:t>
      </w:r>
      <w:r>
        <w:rPr>
          <w:rFonts w:hint="eastAsia" w:ascii="仿宋" w:hAnsi="仿宋" w:eastAsia="仿宋" w:cs="仿宋"/>
          <w:sz w:val="32"/>
          <w:szCs w:val="32"/>
        </w:rPr>
        <w:t>元（详见下表），本年度拟购置固定资产总额为</w:t>
      </w:r>
      <w:r>
        <w:rPr>
          <w:rFonts w:hint="eastAsia" w:ascii="仿宋" w:hAnsi="仿宋" w:eastAsia="仿宋" w:cs="仿宋"/>
          <w:sz w:val="32"/>
          <w:szCs w:val="32"/>
          <w:lang w:val="en-US" w:eastAsia="zh-CN"/>
        </w:rPr>
        <w:t>10.5</w:t>
      </w:r>
      <w:r>
        <w:rPr>
          <w:rFonts w:hint="eastAsia" w:ascii="仿宋" w:hAnsi="仿宋" w:eastAsia="仿宋" w:cs="仿宋"/>
          <w:sz w:val="32"/>
          <w:szCs w:val="32"/>
        </w:rPr>
        <w:t>万元。</w:t>
      </w:r>
    </w:p>
    <w:tbl>
      <w:tblPr>
        <w:tblStyle w:val="8"/>
        <w:tblpPr w:leftFromText="180" w:rightFromText="180" w:vertAnchor="text" w:horzAnchor="page" w:tblpX="1952" w:tblpY="218"/>
        <w:tblOverlap w:val="never"/>
        <w:tblW w:w="7845" w:type="dxa"/>
        <w:tblInd w:w="0" w:type="dxa"/>
        <w:tblLayout w:type="fixed"/>
        <w:tblCellMar>
          <w:top w:w="0" w:type="dxa"/>
          <w:left w:w="108" w:type="dxa"/>
          <w:bottom w:w="0" w:type="dxa"/>
          <w:right w:w="108" w:type="dxa"/>
        </w:tblCellMar>
      </w:tblPr>
      <w:tblGrid>
        <w:gridCol w:w="2535"/>
        <w:gridCol w:w="2250"/>
        <w:gridCol w:w="3060"/>
      </w:tblGrid>
      <w:tr>
        <w:tblPrEx>
          <w:tblCellMar>
            <w:top w:w="0" w:type="dxa"/>
            <w:left w:w="108" w:type="dxa"/>
            <w:bottom w:w="0" w:type="dxa"/>
            <w:right w:w="108" w:type="dxa"/>
          </w:tblCellMar>
        </w:tblPrEx>
        <w:trPr>
          <w:trHeight w:val="705" w:hRule="atLeast"/>
        </w:trPr>
        <w:tc>
          <w:tcPr>
            <w:tcW w:w="7845"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赞皇县县</w:t>
            </w:r>
            <w:r>
              <w:rPr>
                <w:rFonts w:hint="eastAsia" w:ascii="宋体" w:hAnsi="宋体" w:eastAsia="宋体" w:cs="宋体"/>
                <w:b/>
                <w:bCs/>
                <w:kern w:val="0"/>
                <w:sz w:val="32"/>
                <w:szCs w:val="32"/>
              </w:rPr>
              <w:t>直部门固定资产占用情况表</w:t>
            </w:r>
          </w:p>
        </w:tc>
      </w:tr>
      <w:tr>
        <w:tblPrEx>
          <w:tblCellMar>
            <w:top w:w="0" w:type="dxa"/>
            <w:left w:w="108" w:type="dxa"/>
            <w:bottom w:w="0" w:type="dxa"/>
            <w:right w:w="108" w:type="dxa"/>
          </w:tblCellMar>
        </w:tblPrEx>
        <w:trPr>
          <w:trHeight w:val="510" w:hRule="atLeast"/>
        </w:trPr>
        <w:tc>
          <w:tcPr>
            <w:tcW w:w="4785" w:type="dxa"/>
            <w:gridSpan w:val="2"/>
            <w:tcBorders>
              <w:top w:val="nil"/>
              <w:left w:val="nil"/>
              <w:bottom w:val="nil"/>
              <w:right w:val="nil"/>
            </w:tcBorders>
            <w:shd w:val="clear" w:color="auto" w:fill="auto"/>
            <w:vAlign w:val="center"/>
          </w:tcPr>
          <w:p>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中共赞皇县委政法委员会</w:t>
            </w:r>
          </w:p>
        </w:tc>
        <w:tc>
          <w:tcPr>
            <w:tcW w:w="3060"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截止时间：20</w:t>
            </w:r>
            <w:r>
              <w:rPr>
                <w:rFonts w:hint="eastAsia" w:ascii="宋体" w:hAnsi="宋体" w:eastAsia="宋体" w:cs="宋体"/>
                <w:kern w:val="0"/>
                <w:sz w:val="22"/>
                <w:lang w:val="en-US" w:eastAsia="zh-CN"/>
              </w:rPr>
              <w:t>21</w:t>
            </w:r>
            <w:r>
              <w:rPr>
                <w:rFonts w:hint="eastAsia" w:ascii="宋体" w:hAnsi="宋体" w:eastAsia="宋体" w:cs="宋体"/>
                <w:kern w:val="0"/>
                <w:sz w:val="22"/>
              </w:rPr>
              <w:t xml:space="preserve">年12月31日  </w:t>
            </w:r>
          </w:p>
        </w:tc>
      </w:tr>
      <w:tr>
        <w:tblPrEx>
          <w:tblCellMar>
            <w:top w:w="0" w:type="dxa"/>
            <w:left w:w="108" w:type="dxa"/>
            <w:bottom w:w="0" w:type="dxa"/>
            <w:right w:w="108" w:type="dxa"/>
          </w:tblCellMar>
        </w:tblPrEx>
        <w:trPr>
          <w:trHeight w:val="645" w:hRule="atLeast"/>
        </w:trPr>
        <w:tc>
          <w:tcPr>
            <w:tcW w:w="25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22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306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2250"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060" w:type="dxa"/>
            <w:tcBorders>
              <w:top w:val="nil"/>
              <w:left w:val="nil"/>
              <w:bottom w:val="single" w:color="auto" w:sz="4" w:space="0"/>
              <w:right w:val="single" w:color="auto" w:sz="4" w:space="0"/>
            </w:tcBorders>
            <w:shd w:val="clear" w:color="auto" w:fill="auto"/>
            <w:vAlign w:val="center"/>
          </w:tcPr>
          <w:p>
            <w:pPr>
              <w:widowControl/>
              <w:jc w:val="center"/>
              <w:rPr>
                <w:rFonts w:hint="eastAsia"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1451.758724</w:t>
            </w: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22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306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22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306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22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306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22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306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253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22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3060"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1451.758724</w:t>
            </w:r>
          </w:p>
        </w:tc>
      </w:tr>
    </w:tbl>
    <w:p>
      <w:pPr>
        <w:autoSpaceDE w:val="0"/>
        <w:autoSpaceDN w:val="0"/>
        <w:adjustRightInd w:val="0"/>
        <w:ind w:firstLine="640" w:firstLineChars="200"/>
        <w:jc w:val="left"/>
        <w:rPr>
          <w:rFonts w:hint="eastAsia" w:ascii="仿宋" w:hAnsi="仿宋" w:eastAsia="仿宋" w:cs="仿宋"/>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一般公共预算拨款收入：指</w:t>
      </w:r>
      <w:r>
        <w:rPr>
          <w:rFonts w:hint="eastAsia" w:ascii="仿宋" w:hAnsi="仿宋" w:eastAsia="仿宋" w:cs="仿宋"/>
          <w:b w:val="0"/>
          <w:bCs w:val="0"/>
          <w:color w:val="000000" w:themeColor="text1"/>
          <w:sz w:val="32"/>
          <w:szCs w:val="32"/>
          <w:lang w:eastAsia="zh-CN"/>
        </w:rPr>
        <w:t>县</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lang w:eastAsia="zh-CN"/>
        </w:rPr>
        <w:t>（四）</w:t>
      </w:r>
      <w:r>
        <w:rPr>
          <w:rFonts w:hint="eastAsia" w:ascii="仿宋" w:hAnsi="仿宋" w:eastAsia="仿宋" w:cs="仿宋"/>
          <w:sz w:val="32"/>
          <w:szCs w:val="32"/>
        </w:rPr>
        <w:t>“三公”经费：纳入</w:t>
      </w:r>
      <w:r>
        <w:rPr>
          <w:rFonts w:hint="eastAsia" w:ascii="仿宋" w:hAnsi="仿宋" w:eastAsia="仿宋" w:cs="仿宋"/>
          <w:color w:val="000000" w:themeColor="text1"/>
          <w:sz w:val="32"/>
          <w:szCs w:val="32"/>
          <w:lang w:eastAsia="zh-CN"/>
        </w:rPr>
        <w:t>县</w:t>
      </w:r>
      <w:r>
        <w:rPr>
          <w:rFonts w:hint="eastAsia" w:ascii="仿宋" w:hAnsi="仿宋" w:eastAsia="仿宋" w:cs="仿宋"/>
          <w:color w:val="000000" w:themeColor="text1"/>
          <w:sz w:val="32"/>
          <w:szCs w:val="32"/>
        </w:rPr>
        <w:t>级</w:t>
      </w:r>
      <w:r>
        <w:rPr>
          <w:rFonts w:hint="eastAsia" w:ascii="仿宋" w:hAnsi="仿宋" w:eastAsia="仿宋" w:cs="仿宋"/>
          <w:sz w:val="32"/>
          <w:szCs w:val="32"/>
        </w:rPr>
        <w:t>财政预算管理的“三公”经费，是指</w:t>
      </w:r>
      <w:r>
        <w:rPr>
          <w:rFonts w:hint="eastAsia" w:ascii="仿宋" w:hAnsi="仿宋" w:eastAsia="仿宋" w:cs="仿宋"/>
          <w:color w:val="000000" w:themeColor="text1"/>
          <w:sz w:val="32"/>
          <w:szCs w:val="32"/>
          <w:lang w:eastAsia="zh-CN"/>
        </w:rPr>
        <w:t>县</w:t>
      </w:r>
      <w:r>
        <w:rPr>
          <w:rFonts w:hint="eastAsia" w:ascii="仿宋" w:hAnsi="仿宋" w:eastAsia="仿宋" w:cs="仿宋"/>
          <w:color w:val="000000" w:themeColor="text1"/>
          <w:sz w:val="32"/>
          <w:szCs w:val="32"/>
        </w:rPr>
        <w:t>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（五）</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（六）扫黑除恶专项斗争：通过指导、协调和督导各级各部门，强化宣传发动，深入摸排线索，依法严厉打击涉黑涉恶违法犯罪。</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社会治安综合治理：开展政法干警人身保险参保工作，推动严重精神病障碍患者群体帮扶救助工作，为社会管理工作提供新模式；为重大案件顺利侦破提供相应的支持，开展司法救助等活动，确保平安建设顺利开展；开展高铁、高速沿线隐患排查与护卫安防工作。</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3" w:bottom="1440" w:left="1803" w:header="851" w:footer="992" w:gutter="0"/>
      <w:pgBorders>
        <w:top w:val="none" w:sz="0" w:space="0"/>
        <w:left w:val="none" w:sz="0" w:space="0"/>
        <w:bottom w:val="none" w:sz="0" w:space="0"/>
        <w:right w:val="none" w:sz="0" w:space="0"/>
      </w:pgBorders>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F66032"/>
    <w:rsid w:val="00024976"/>
    <w:rsid w:val="00034786"/>
    <w:rsid w:val="00037AF6"/>
    <w:rsid w:val="00042F57"/>
    <w:rsid w:val="00060A53"/>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C372F"/>
    <w:rsid w:val="003D311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B0B77"/>
    <w:rsid w:val="009B511E"/>
    <w:rsid w:val="009B69D5"/>
    <w:rsid w:val="009F232F"/>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1F7CCF"/>
    <w:rsid w:val="021318D0"/>
    <w:rsid w:val="05D36CDC"/>
    <w:rsid w:val="061E085D"/>
    <w:rsid w:val="06A35247"/>
    <w:rsid w:val="07D77A11"/>
    <w:rsid w:val="088F15FA"/>
    <w:rsid w:val="08A64724"/>
    <w:rsid w:val="08F27C14"/>
    <w:rsid w:val="0A0706E4"/>
    <w:rsid w:val="0CEB76CC"/>
    <w:rsid w:val="0CF341B8"/>
    <w:rsid w:val="0D4411C9"/>
    <w:rsid w:val="0DC67AF9"/>
    <w:rsid w:val="0DEE54B0"/>
    <w:rsid w:val="0E3673B0"/>
    <w:rsid w:val="0E5B330A"/>
    <w:rsid w:val="10786FC7"/>
    <w:rsid w:val="10C85FF8"/>
    <w:rsid w:val="1135406D"/>
    <w:rsid w:val="117573FD"/>
    <w:rsid w:val="12507EA1"/>
    <w:rsid w:val="12EE5285"/>
    <w:rsid w:val="12FD7666"/>
    <w:rsid w:val="13AF72BA"/>
    <w:rsid w:val="13F62984"/>
    <w:rsid w:val="149C72C3"/>
    <w:rsid w:val="15CB5953"/>
    <w:rsid w:val="17071972"/>
    <w:rsid w:val="196F0918"/>
    <w:rsid w:val="1A677E4E"/>
    <w:rsid w:val="1AB205F8"/>
    <w:rsid w:val="1ACD7493"/>
    <w:rsid w:val="1BBA2741"/>
    <w:rsid w:val="1BE558B2"/>
    <w:rsid w:val="1C597C3E"/>
    <w:rsid w:val="1CDA75D6"/>
    <w:rsid w:val="1CF05732"/>
    <w:rsid w:val="1D3E2CDE"/>
    <w:rsid w:val="1D692A55"/>
    <w:rsid w:val="1D826734"/>
    <w:rsid w:val="1E6D595D"/>
    <w:rsid w:val="1F11285E"/>
    <w:rsid w:val="21BE10ED"/>
    <w:rsid w:val="24301900"/>
    <w:rsid w:val="244F5BD2"/>
    <w:rsid w:val="257A35BF"/>
    <w:rsid w:val="26360AFB"/>
    <w:rsid w:val="2641309F"/>
    <w:rsid w:val="26453EA3"/>
    <w:rsid w:val="2742380D"/>
    <w:rsid w:val="28AA3BDD"/>
    <w:rsid w:val="29863109"/>
    <w:rsid w:val="29BC3A86"/>
    <w:rsid w:val="2AB72CFE"/>
    <w:rsid w:val="2D305FF4"/>
    <w:rsid w:val="2E865E1F"/>
    <w:rsid w:val="30162E2B"/>
    <w:rsid w:val="31B36E1D"/>
    <w:rsid w:val="334E1EED"/>
    <w:rsid w:val="33C20FD0"/>
    <w:rsid w:val="35996D39"/>
    <w:rsid w:val="36801CC7"/>
    <w:rsid w:val="374C7AB2"/>
    <w:rsid w:val="37CE2BCA"/>
    <w:rsid w:val="38240005"/>
    <w:rsid w:val="388237D5"/>
    <w:rsid w:val="39123AD1"/>
    <w:rsid w:val="39C770E7"/>
    <w:rsid w:val="39F90D5D"/>
    <w:rsid w:val="3AD90EF3"/>
    <w:rsid w:val="3B1C67E1"/>
    <w:rsid w:val="3C5C7101"/>
    <w:rsid w:val="3C672B2C"/>
    <w:rsid w:val="417D380C"/>
    <w:rsid w:val="419E2295"/>
    <w:rsid w:val="42F1047B"/>
    <w:rsid w:val="43435ED0"/>
    <w:rsid w:val="44A0041B"/>
    <w:rsid w:val="46793784"/>
    <w:rsid w:val="471E11D1"/>
    <w:rsid w:val="47946F38"/>
    <w:rsid w:val="47A61874"/>
    <w:rsid w:val="48667BFE"/>
    <w:rsid w:val="48FB02E6"/>
    <w:rsid w:val="49526666"/>
    <w:rsid w:val="497D33F3"/>
    <w:rsid w:val="49C721E0"/>
    <w:rsid w:val="49D0007E"/>
    <w:rsid w:val="4B1F7233"/>
    <w:rsid w:val="4B5B5A74"/>
    <w:rsid w:val="4BBB080B"/>
    <w:rsid w:val="4C217FA2"/>
    <w:rsid w:val="4C293B88"/>
    <w:rsid w:val="4DF27949"/>
    <w:rsid w:val="4EC6303D"/>
    <w:rsid w:val="4F39206C"/>
    <w:rsid w:val="507C7588"/>
    <w:rsid w:val="50A83577"/>
    <w:rsid w:val="50FC2D0C"/>
    <w:rsid w:val="51225C64"/>
    <w:rsid w:val="51AB3239"/>
    <w:rsid w:val="525157CA"/>
    <w:rsid w:val="52FB1D14"/>
    <w:rsid w:val="536462B0"/>
    <w:rsid w:val="54443927"/>
    <w:rsid w:val="55734C98"/>
    <w:rsid w:val="55A65253"/>
    <w:rsid w:val="560219B0"/>
    <w:rsid w:val="57A64B3A"/>
    <w:rsid w:val="591A29D1"/>
    <w:rsid w:val="59D87CD6"/>
    <w:rsid w:val="5B342BD8"/>
    <w:rsid w:val="5BEE0141"/>
    <w:rsid w:val="5DCD5A68"/>
    <w:rsid w:val="5EBE3C1A"/>
    <w:rsid w:val="606A2CDA"/>
    <w:rsid w:val="61D41091"/>
    <w:rsid w:val="637A3A39"/>
    <w:rsid w:val="652201B1"/>
    <w:rsid w:val="653903F2"/>
    <w:rsid w:val="6674625F"/>
    <w:rsid w:val="6737105D"/>
    <w:rsid w:val="6797020F"/>
    <w:rsid w:val="682507BA"/>
    <w:rsid w:val="68490486"/>
    <w:rsid w:val="6B007049"/>
    <w:rsid w:val="6B2856FB"/>
    <w:rsid w:val="6B8573FC"/>
    <w:rsid w:val="6C731AC7"/>
    <w:rsid w:val="6C81220E"/>
    <w:rsid w:val="6D781015"/>
    <w:rsid w:val="6DA3502E"/>
    <w:rsid w:val="6DC7308D"/>
    <w:rsid w:val="6ECD513C"/>
    <w:rsid w:val="6F50522B"/>
    <w:rsid w:val="6FAF361D"/>
    <w:rsid w:val="6FC57FE4"/>
    <w:rsid w:val="70011434"/>
    <w:rsid w:val="70620137"/>
    <w:rsid w:val="70780830"/>
    <w:rsid w:val="724B09F6"/>
    <w:rsid w:val="728A383D"/>
    <w:rsid w:val="72B52624"/>
    <w:rsid w:val="733C5C7E"/>
    <w:rsid w:val="73D140AE"/>
    <w:rsid w:val="74F627DE"/>
    <w:rsid w:val="752D1857"/>
    <w:rsid w:val="7566630A"/>
    <w:rsid w:val="75A9077E"/>
    <w:rsid w:val="76A21DD1"/>
    <w:rsid w:val="77120873"/>
    <w:rsid w:val="77A4535E"/>
    <w:rsid w:val="78442705"/>
    <w:rsid w:val="789E2E64"/>
    <w:rsid w:val="78AF1C6B"/>
    <w:rsid w:val="78C5059E"/>
    <w:rsid w:val="78E4561A"/>
    <w:rsid w:val="794E0EA7"/>
    <w:rsid w:val="7AA11973"/>
    <w:rsid w:val="7B515939"/>
    <w:rsid w:val="7B647634"/>
    <w:rsid w:val="7BE7276A"/>
    <w:rsid w:val="7BF003FA"/>
    <w:rsid w:val="7CAB6D0A"/>
    <w:rsid w:val="7E3F0578"/>
    <w:rsid w:val="7EA73ECB"/>
    <w:rsid w:val="7EB56A1D"/>
    <w:rsid w:val="7F33094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 w:type="paragraph" w:customStyle="1" w:styleId="18">
    <w:name w:val="普通(网站)1"/>
    <w:basedOn w:val="1"/>
    <w:qFormat/>
    <w:uiPriority w:val="2"/>
    <w:rPr>
      <w:sz w:val="24"/>
    </w:rPr>
  </w:style>
  <w:style w:type="character" w:customStyle="1" w:styleId="19">
    <w:name w:val="超链接1"/>
    <w:basedOn w:val="9"/>
    <w:qFormat/>
    <w:uiPriority w:val="1594"/>
    <w:rPr>
      <w:color w:val="313131"/>
      <w:u w:val="none"/>
    </w:rPr>
  </w:style>
  <w:style w:type="paragraph" w:customStyle="1" w:styleId="2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2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CA3C5C3-44F6-4DD2-BC5B-D3140F6A603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3078</Words>
  <Characters>17551</Characters>
  <Lines>146</Lines>
  <Paragraphs>41</Paragraphs>
  <TotalTime>0</TotalTime>
  <ScaleCrop>false</ScaleCrop>
  <LinksUpToDate>false</LinksUpToDate>
  <CharactersWithSpaces>20588</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cp:lastModifiedBy>
  <cp:lastPrinted>2020-02-14T06:48:00Z</cp:lastPrinted>
  <dcterms:modified xsi:type="dcterms:W3CDTF">2024-09-26T10:04:30Z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943823D4040147BD8D32E1D54063F8B1</vt:lpwstr>
  </property>
</Properties>
</file>