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jc w:val="center"/>
        <w:rPr>
          <w:rFonts w:hint="default" w:eastAsia="方正小标宋_GBK"/>
          <w:sz w:val="44"/>
          <w:szCs w:val="44"/>
          <w:lang w:val="en-US" w:eastAsia="zh-CN"/>
        </w:rPr>
      </w:pPr>
      <w:bookmarkStart w:id="1" w:name="_GoBack"/>
      <w:r>
        <w:rPr>
          <w:rFonts w:hint="eastAsia" w:eastAsia="方正小标宋_GBK"/>
          <w:sz w:val="44"/>
          <w:szCs w:val="44"/>
          <w:lang w:eastAsia="zh-CN"/>
        </w:rPr>
        <w:t>赞皇县</w:t>
      </w:r>
      <w:r>
        <w:rPr>
          <w:rFonts w:hint="eastAsia" w:eastAsia="方正小标宋_GBK"/>
          <w:sz w:val="44"/>
          <w:szCs w:val="44"/>
          <w:lang w:val="en-US" w:eastAsia="zh-CN"/>
        </w:rPr>
        <w:t>西街小学</w:t>
      </w:r>
    </w:p>
    <w:p>
      <w:pPr>
        <w:spacing w:line="580" w:lineRule="exact"/>
        <w:jc w:val="center"/>
        <w:rPr>
          <w:rFonts w:eastAsia="方正小标宋_GBK"/>
          <w:sz w:val="44"/>
          <w:szCs w:val="44"/>
        </w:rPr>
      </w:pPr>
      <w:r>
        <w:rPr>
          <w:rFonts w:hint="eastAsia" w:eastAsia="方正小标宋_GBK"/>
          <w:sz w:val="44"/>
          <w:szCs w:val="44"/>
          <w:lang w:val="en-US" w:eastAsia="zh-CN"/>
        </w:rPr>
        <w:t>2022年</w:t>
      </w:r>
      <w:r>
        <w:rPr>
          <w:rFonts w:eastAsia="方正小标宋_GBK"/>
          <w:sz w:val="44"/>
          <w:szCs w:val="44"/>
        </w:rPr>
        <w:t>单位预算公开情况说明</w:t>
      </w:r>
    </w:p>
    <w:bookmarkEnd w:id="1"/>
    <w:p>
      <w:pPr>
        <w:ind w:firstLine="640"/>
        <w:rPr>
          <w:rFonts w:hint="eastAsia" w:ascii="仿宋" w:hAnsi="仿宋" w:eastAsia="仿宋" w:cs="仿宋"/>
          <w:b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按照《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中华人民共和国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预算法》、《地方预决算公开操作规程》和《河北省省级预算公开办法》规定，现将赞皇县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西街小学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202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2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年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单位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预算公开如下：</w:t>
      </w:r>
    </w:p>
    <w:p>
      <w:pPr>
        <w:numPr>
          <w:ilvl w:val="0"/>
          <w:numId w:val="0"/>
        </w:numPr>
        <w:adjustRightInd w:val="0"/>
        <w:spacing w:line="580" w:lineRule="exact"/>
        <w:ind w:firstLine="643" w:firstLineChars="200"/>
        <w:contextualSpacing/>
        <w:rPr>
          <w:rFonts w:hint="eastAsia" w:ascii="宋体" w:hAnsi="宋体" w:eastAsia="宋体" w:cs="宋体"/>
          <w:sz w:val="32"/>
          <w:szCs w:val="32"/>
        </w:rPr>
      </w:pPr>
      <w:r>
        <w:rPr>
          <w:rFonts w:hint="eastAsia" w:ascii="黑体" w:hAnsi="黑体" w:eastAsia="黑体" w:cs="黑体"/>
          <w:b/>
          <w:sz w:val="32"/>
          <w:szCs w:val="32"/>
          <w:lang w:val="en-US" w:eastAsia="zh-CN"/>
        </w:rPr>
        <w:t>一、</w:t>
      </w:r>
      <w:r>
        <w:rPr>
          <w:rFonts w:hint="eastAsia" w:ascii="黑体" w:hAnsi="黑体" w:eastAsia="黑体" w:cs="黑体"/>
          <w:b/>
          <w:sz w:val="32"/>
          <w:szCs w:val="32"/>
        </w:rPr>
        <w:t>单位职责、机构设置等基本情况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964" w:firstLineChars="300"/>
        <w:jc w:val="left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单位职责：</w:t>
      </w:r>
    </w:p>
    <w:p>
      <w:pPr>
        <w:pStyle w:val="5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Chars="100" w:right="0" w:rightChars="0" w:firstLine="600" w:firstLineChars="200"/>
        <w:jc w:val="left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  <w:lang w:val="en-US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  <w:lang w:eastAsia="zh-CN"/>
        </w:rPr>
        <w:t>（一）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  <w:t>宣传贯彻执行党和国家的教育方针、政策、法律法规等，坚持依法治教、依法治学，贯彻执行县教育局的行政规章制度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  <w:lang w:val="en-US" w:eastAsia="zh-CN"/>
        </w:rPr>
        <w:t>。</w:t>
      </w:r>
    </w:p>
    <w:p>
      <w:pPr>
        <w:pStyle w:val="5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Chars="100" w:right="0" w:rightChars="0" w:firstLine="600" w:firstLineChars="200"/>
        <w:jc w:val="left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  <w:lang w:eastAsia="zh-CN"/>
        </w:rPr>
        <w:t>（二）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  <w:t>组织开展本校的教学及教研工作。指导、管理、检查、评价本校的教育教学工作，按照国家课程标准，开齐课程，开足课时，认真实施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  <w:lang w:eastAsia="zh-CN"/>
        </w:rPr>
        <w:t>小学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  <w:t>的教育教学管理，全面推进素质教育，提高教育教学质量。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600" w:firstLineChars="200"/>
        <w:jc w:val="left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  <w:lang w:eastAsia="zh-CN"/>
        </w:rPr>
        <w:t>（三）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  <w:t>按照干部和教师的职数、编制和管理权限，制定切实可行的学校工作规章制度，以提高教育教学质量为目的，负责本校教师人事管理、继续教育、考核考评等工作。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600" w:firstLineChars="200"/>
        <w:jc w:val="left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  <w:lang w:eastAsia="zh-CN"/>
        </w:rPr>
        <w:t>（四）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  <w:t>负责本校财务和基建管理，筹措资金，改善办学条件等工作，为师生提供优美和谐的学习和工作环境。维护教职工利益，保障教职工合法权益。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0"/>
        <w:jc w:val="left"/>
        <w:rPr>
          <w:rFonts w:hint="eastAsia" w:ascii="仿宋" w:hAnsi="仿宋" w:eastAsia="仿宋" w:cs="仿宋"/>
          <w:b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  <w:t>　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30"/>
          <w:szCs w:val="30"/>
          <w:shd w:val="clear" w:fill="FFFFFF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机构设置：</w:t>
      </w:r>
    </w:p>
    <w:tbl>
      <w:tblPr>
        <w:tblStyle w:val="6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249"/>
        <w:gridCol w:w="1347"/>
        <w:gridCol w:w="1347"/>
        <w:gridCol w:w="324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192" w:type="dxa"/>
            <w:gridSpan w:val="4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单位机构设置情况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3249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单位名称</w:t>
            </w:r>
          </w:p>
        </w:tc>
        <w:tc>
          <w:tcPr>
            <w:tcW w:w="134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单位性质</w:t>
            </w:r>
          </w:p>
        </w:tc>
        <w:tc>
          <w:tcPr>
            <w:tcW w:w="134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单位规格</w:t>
            </w:r>
          </w:p>
        </w:tc>
        <w:tc>
          <w:tcPr>
            <w:tcW w:w="3249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经费保障形式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3249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赞皇县西街小学</w:t>
            </w:r>
          </w:p>
        </w:tc>
        <w:tc>
          <w:tcPr>
            <w:tcW w:w="134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事业</w:t>
            </w:r>
          </w:p>
        </w:tc>
        <w:tc>
          <w:tcPr>
            <w:tcW w:w="134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股级</w:t>
            </w:r>
          </w:p>
        </w:tc>
        <w:tc>
          <w:tcPr>
            <w:tcW w:w="3249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财政性资金基本保证</w:t>
            </w:r>
          </w:p>
        </w:tc>
      </w:tr>
    </w:tbl>
    <w:p>
      <w:pPr>
        <w:numPr>
          <w:ilvl w:val="0"/>
          <w:numId w:val="0"/>
        </w:numPr>
        <w:adjustRightInd w:val="0"/>
        <w:spacing w:line="580" w:lineRule="exact"/>
        <w:contextualSpacing/>
        <w:rPr>
          <w:rFonts w:hint="eastAsia" w:ascii="仿宋" w:hAnsi="仿宋" w:eastAsia="仿宋" w:cs="仿宋"/>
          <w:b/>
          <w:sz w:val="32"/>
          <w:szCs w:val="32"/>
        </w:rPr>
      </w:pPr>
    </w:p>
    <w:p>
      <w:pPr>
        <w:numPr>
          <w:ilvl w:val="0"/>
          <w:numId w:val="0"/>
        </w:numPr>
        <w:adjustRightInd w:val="0"/>
        <w:spacing w:line="580" w:lineRule="exact"/>
        <w:ind w:firstLine="643" w:firstLineChars="200"/>
        <w:contextualSpacing/>
        <w:rPr>
          <w:rFonts w:hint="eastAsia" w:ascii="黑体" w:hAnsi="黑体" w:eastAsia="黑体" w:cs="黑体"/>
          <w:b/>
          <w:sz w:val="32"/>
          <w:szCs w:val="32"/>
        </w:rPr>
      </w:pPr>
      <w:r>
        <w:rPr>
          <w:rFonts w:hint="eastAsia" w:ascii="黑体" w:hAnsi="黑体" w:eastAsia="黑体" w:cs="黑体"/>
          <w:b/>
          <w:sz w:val="32"/>
          <w:szCs w:val="32"/>
          <w:lang w:eastAsia="zh-CN"/>
        </w:rPr>
        <w:t>二、</w:t>
      </w:r>
      <w:r>
        <w:rPr>
          <w:rFonts w:hint="eastAsia" w:ascii="黑体" w:hAnsi="黑体" w:eastAsia="黑体" w:cs="黑体"/>
          <w:b/>
          <w:sz w:val="32"/>
          <w:szCs w:val="32"/>
        </w:rPr>
        <w:t>单位预算安排的总体情况</w:t>
      </w:r>
    </w:p>
    <w:p>
      <w:pPr>
        <w:ind w:firstLine="640"/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</w:rPr>
        <w:t>按照预算管理有关规定，我单位实行综合预算，即全部收入和支出都反映在预算中。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  <w:t>赞皇县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val="en-US" w:eastAsia="zh-CN"/>
        </w:rPr>
        <w:t>西街小学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  <w:t>的收支包含在单位预算中，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</w:rPr>
        <w:t>具体情况如下：</w:t>
      </w:r>
    </w:p>
    <w:p>
      <w:pPr>
        <w:numPr>
          <w:ilvl w:val="0"/>
          <w:numId w:val="0"/>
        </w:numPr>
        <w:ind w:firstLine="643" w:firstLineChars="200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收入说明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反映本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单位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当年全部收入。202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年预算收入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477.86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万元，其中：一般公共预算收入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477.86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万元，基金预算收入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万元，财政专户核拨收入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u w:val="none"/>
          <w:lang w:val="en-US" w:eastAsia="zh-CN"/>
        </w:rPr>
        <w:t>0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万元，其他来源收入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u w:val="none"/>
        </w:rPr>
        <w:t>0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万元。</w:t>
      </w:r>
    </w:p>
    <w:p>
      <w:pPr>
        <w:ind w:firstLine="643" w:firstLineChars="200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支出说明</w:t>
      </w:r>
    </w:p>
    <w:p>
      <w:pPr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收支预算总表支出栏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、基本支出表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、项目支出表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按经济分类和支出功能分类科目编制，反映我单位年度预算中支出预算的总体情况。20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22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年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单位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支出预算为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477.86万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元，其中基本支出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437.16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万元，包括人员经费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437.11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万元和日常公用经费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0.05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万元；项目支出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40.70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万元。</w:t>
      </w:r>
    </w:p>
    <w:p>
      <w:pPr>
        <w:numPr>
          <w:ilvl w:val="0"/>
          <w:numId w:val="0"/>
        </w:numPr>
        <w:ind w:firstLine="643" w:firstLineChars="200"/>
        <w:rPr>
          <w:rFonts w:hint="eastAsia" w:ascii="仿宋" w:hAnsi="仿宋" w:eastAsia="仿宋" w:cs="仿宋"/>
          <w:b/>
          <w:bCs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color w:val="000000"/>
          <w:sz w:val="32"/>
          <w:szCs w:val="32"/>
          <w:lang w:val="en-US" w:eastAsia="zh-CN"/>
        </w:rPr>
        <w:t>3.</w:t>
      </w:r>
      <w:r>
        <w:rPr>
          <w:rFonts w:hint="eastAsia" w:ascii="仿宋" w:hAnsi="仿宋" w:eastAsia="仿宋" w:cs="仿宋"/>
          <w:b/>
          <w:bCs/>
          <w:color w:val="000000"/>
          <w:sz w:val="32"/>
          <w:szCs w:val="32"/>
        </w:rPr>
        <w:t>比上年增减情况</w:t>
      </w:r>
    </w:p>
    <w:p>
      <w:pPr>
        <w:ind w:firstLine="648"/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</w:rPr>
        <w:t>20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val="en-US" w:eastAsia="zh-CN"/>
        </w:rPr>
        <w:t>22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</w:rPr>
        <w:t>年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  <w:t>单位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</w:rPr>
        <w:t>预算收支安排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477.86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</w:rPr>
        <w:t>万元,较20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val="en-US" w:eastAsia="zh-CN"/>
        </w:rPr>
        <w:t>21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</w:rPr>
        <w:t>年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val="en-US" w:eastAsia="zh-CN"/>
        </w:rPr>
        <w:t>增加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val="en-US" w:eastAsia="zh-CN"/>
        </w:rPr>
        <w:t>107.20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</w:rPr>
        <w:t>万元，其中：基本支出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val="en-US" w:eastAsia="zh-CN"/>
        </w:rPr>
        <w:t>增加124.18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</w:rPr>
        <w:t>万元，主要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  <w:t>为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val="en-US" w:eastAsia="zh-CN"/>
        </w:rPr>
        <w:t>人员经费支出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val="en-US" w:eastAsia="zh-CN"/>
        </w:rPr>
        <w:t>公用经费增加0.05万元；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u w:val="none"/>
        </w:rPr>
        <w:t>项目支出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u w:val="none"/>
          <w:lang w:eastAsia="zh-CN"/>
        </w:rPr>
        <w:t>减少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u w:val="none"/>
          <w:lang w:val="en-US" w:eastAsia="zh-CN"/>
        </w:rPr>
        <w:t>16.98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u w:val="none"/>
        </w:rPr>
        <w:t>万元，主要是由于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u w:val="none"/>
          <w:lang w:val="en-US" w:eastAsia="zh-CN"/>
        </w:rPr>
        <w:t>2022年中央直达资金预拨资金减少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u w:val="none"/>
        </w:rPr>
        <w:t>。</w:t>
      </w:r>
    </w:p>
    <w:p>
      <w:pPr>
        <w:numPr>
          <w:ilvl w:val="0"/>
          <w:numId w:val="0"/>
        </w:numPr>
        <w:adjustRightInd w:val="0"/>
        <w:spacing w:line="580" w:lineRule="exact"/>
        <w:ind w:leftChars="200" w:firstLine="321" w:firstLineChars="100"/>
        <w:contextualSpacing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b/>
          <w:sz w:val="32"/>
          <w:szCs w:val="32"/>
          <w:lang w:eastAsia="zh-CN"/>
        </w:rPr>
        <w:t>三、</w:t>
      </w:r>
      <w:r>
        <w:rPr>
          <w:rFonts w:hint="eastAsia" w:ascii="黑体" w:hAnsi="黑体" w:eastAsia="黑体" w:cs="黑体"/>
          <w:b/>
          <w:sz w:val="32"/>
          <w:szCs w:val="32"/>
        </w:rPr>
        <w:t>机关运行经费安排情况</w:t>
      </w:r>
    </w:p>
    <w:p>
      <w:pPr>
        <w:numPr>
          <w:ilvl w:val="0"/>
          <w:numId w:val="0"/>
        </w:numPr>
        <w:adjustRightInd w:val="0"/>
        <w:spacing w:line="580" w:lineRule="exact"/>
        <w:contextualSpacing/>
        <w:rPr>
          <w:rFonts w:hint="default" w:ascii="仿宋" w:hAnsi="仿宋" w:eastAsia="仿宋" w:cs="仿宋"/>
          <w:b w:val="0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sz w:val="32"/>
          <w:szCs w:val="32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  <w:t>单位运行经费共计安排0.05万元，用于退休干部特需费和公用经费。</w:t>
      </w:r>
    </w:p>
    <w:p>
      <w:pPr>
        <w:numPr>
          <w:ilvl w:val="0"/>
          <w:numId w:val="1"/>
        </w:numPr>
        <w:adjustRightInd w:val="0"/>
        <w:spacing w:line="580" w:lineRule="exact"/>
        <w:ind w:firstLine="643" w:firstLineChars="200"/>
        <w:contextualSpacing/>
        <w:rPr>
          <w:rFonts w:hint="eastAsia" w:ascii="黑体" w:hAnsi="黑体" w:eastAsia="黑体" w:cs="黑体"/>
          <w:b/>
          <w:sz w:val="32"/>
          <w:szCs w:val="32"/>
        </w:rPr>
      </w:pPr>
      <w:r>
        <w:rPr>
          <w:rFonts w:hint="eastAsia" w:ascii="黑体" w:hAnsi="黑体" w:eastAsia="黑体" w:cs="黑体"/>
          <w:b/>
          <w:sz w:val="32"/>
          <w:szCs w:val="32"/>
        </w:rPr>
        <w:t>财政拨款“三公”经费预算情况</w:t>
      </w:r>
    </w:p>
    <w:p>
      <w:pPr>
        <w:numPr>
          <w:ilvl w:val="0"/>
          <w:numId w:val="0"/>
        </w:numPr>
        <w:adjustRightInd w:val="0"/>
        <w:spacing w:line="580" w:lineRule="exact"/>
        <w:ind w:firstLine="640" w:firstLineChars="200"/>
        <w:contextualSpacing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u w:val="none"/>
          <w:lang w:eastAsia="zh-CN"/>
        </w:rPr>
        <w:t>2022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u w:val="none"/>
        </w:rPr>
        <w:t>年，财政拨款“三公”经费预算安排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u w:val="none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u w:val="none"/>
        </w:rPr>
        <w:t>万元，其中：因公出国（境）费0万元，与去年持平，无增减变化；公务用车购置及运维费0万元（其中：公务用车运行费0万元、车辆购置费0元)，与去年持平，无增减变化；公务接待费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u w:val="none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u w:val="none"/>
        </w:rPr>
        <w:t>万元，与去年持平，无增减变化。“三公”经费整体与去年持平，无增减变化。</w:t>
      </w:r>
    </w:p>
    <w:p>
      <w:pPr>
        <w:numPr>
          <w:ilvl w:val="0"/>
          <w:numId w:val="2"/>
        </w:numPr>
        <w:adjustRightInd w:val="0"/>
        <w:spacing w:line="580" w:lineRule="exact"/>
        <w:ind w:firstLine="643" w:firstLineChars="200"/>
        <w:contextualSpacing/>
        <w:rPr>
          <w:rFonts w:hint="eastAsia" w:ascii="黑体" w:hAnsi="黑体" w:eastAsia="黑体" w:cs="黑体"/>
          <w:b/>
          <w:sz w:val="32"/>
          <w:szCs w:val="32"/>
        </w:rPr>
      </w:pPr>
      <w:r>
        <w:rPr>
          <w:rFonts w:hint="eastAsia" w:ascii="黑体" w:hAnsi="黑体" w:eastAsia="黑体" w:cs="黑体"/>
          <w:b/>
          <w:sz w:val="32"/>
          <w:szCs w:val="32"/>
        </w:rPr>
        <w:t>预算绩效信息</w:t>
      </w:r>
    </w:p>
    <w:p>
      <w:pPr>
        <w:ind w:firstLine="643" w:firstLineChars="200"/>
        <w:jc w:val="left"/>
        <w:outlineLvl w:val="3"/>
        <w:rPr>
          <w:rFonts w:hint="eastAsia" w:ascii="CESI仿宋-GB13000" w:hAnsi="CESI仿宋-GB13000" w:eastAsia="CESI仿宋-GB13000" w:cs="CESI仿宋-GB13000"/>
          <w:b/>
          <w:bCs/>
          <w:sz w:val="32"/>
          <w:szCs w:val="24"/>
          <w:u w:val="none"/>
          <w:lang w:eastAsia="zh-CN"/>
        </w:rPr>
      </w:pPr>
      <w:r>
        <w:rPr>
          <w:rFonts w:hint="eastAsia" w:ascii="CESI仿宋-GB13000" w:hAnsi="CESI仿宋-GB13000" w:eastAsia="CESI仿宋-GB13000" w:cs="CESI仿宋-GB13000"/>
          <w:b/>
          <w:bCs/>
          <w:sz w:val="32"/>
          <w:szCs w:val="24"/>
          <w:u w:val="none"/>
          <w:lang w:eastAsia="zh-CN"/>
        </w:rPr>
        <w:t>第一部分 单位整体绩效目标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CESI仿宋-GB13000" w:hAnsi="CESI仿宋-GB13000" w:eastAsia="CESI仿宋-GB13000" w:cs="CESI仿宋-GB13000"/>
          <w:b w:val="0"/>
          <w:bCs w:val="0"/>
          <w:sz w:val="32"/>
          <w:szCs w:val="32"/>
          <w:u w:val="none"/>
        </w:rPr>
      </w:pPr>
      <w:r>
        <w:rPr>
          <w:rFonts w:hint="eastAsia" w:ascii="CESI仿宋-GB13000" w:hAnsi="CESI仿宋-GB13000" w:eastAsia="CESI仿宋-GB13000" w:cs="CESI仿宋-GB13000"/>
          <w:b w:val="0"/>
          <w:bCs w:val="0"/>
          <w:sz w:val="32"/>
          <w:szCs w:val="32"/>
          <w:u w:val="none"/>
          <w:lang w:eastAsia="zh-CN"/>
        </w:rPr>
        <w:t>（</w:t>
      </w:r>
      <w:r>
        <w:rPr>
          <w:rFonts w:hint="eastAsia" w:ascii="CESI仿宋-GB13000" w:hAnsi="CESI仿宋-GB13000" w:eastAsia="CESI仿宋-GB13000" w:cs="CESI仿宋-GB13000"/>
          <w:b w:val="0"/>
          <w:bCs w:val="0"/>
          <w:sz w:val="32"/>
          <w:szCs w:val="32"/>
          <w:u w:val="none"/>
          <w:lang w:val="en-US" w:eastAsia="zh-CN"/>
        </w:rPr>
        <w:t>一</w:t>
      </w:r>
      <w:r>
        <w:rPr>
          <w:rFonts w:hint="eastAsia" w:ascii="CESI仿宋-GB13000" w:hAnsi="CESI仿宋-GB13000" w:eastAsia="CESI仿宋-GB13000" w:cs="CESI仿宋-GB13000"/>
          <w:b w:val="0"/>
          <w:bCs w:val="0"/>
          <w:sz w:val="32"/>
          <w:szCs w:val="32"/>
          <w:u w:val="none"/>
          <w:lang w:eastAsia="zh-CN"/>
        </w:rPr>
        <w:t>）总体绩效目标</w:t>
      </w:r>
    </w:p>
    <w:p>
      <w:pPr>
        <w:autoSpaceDE w:val="0"/>
        <w:autoSpaceDN w:val="0"/>
        <w:adjustRightInd w:val="0"/>
        <w:ind w:left="198" w:firstLine="640" w:firstLineChars="200"/>
        <w:jc w:val="left"/>
        <w:rPr>
          <w:rFonts w:hint="eastAsia" w:ascii="CESI仿宋-GB13000" w:hAnsi="CESI仿宋-GB13000" w:eastAsia="CESI仿宋-GB13000" w:cs="CESI仿宋-GB13000"/>
          <w:b w:val="0"/>
          <w:bCs w:val="0"/>
          <w:color w:val="000000"/>
          <w:sz w:val="32"/>
          <w:szCs w:val="32"/>
          <w:u w:val="none"/>
        </w:rPr>
      </w:pPr>
      <w:r>
        <w:rPr>
          <w:rFonts w:hint="eastAsia" w:ascii="CESI仿宋-GB13000" w:hAnsi="CESI仿宋-GB13000" w:eastAsia="CESI仿宋-GB13000" w:cs="CESI仿宋-GB13000"/>
          <w:b w:val="0"/>
          <w:bCs w:val="0"/>
          <w:sz w:val="32"/>
          <w:szCs w:val="32"/>
          <w:u w:val="none"/>
          <w:lang w:val="en-US" w:eastAsia="zh-CN"/>
        </w:rPr>
        <w:t>1.</w:t>
      </w:r>
      <w:r>
        <w:rPr>
          <w:rFonts w:hint="eastAsia" w:ascii="CESI仿宋-GB13000" w:hAnsi="CESI仿宋-GB13000" w:eastAsia="CESI仿宋-GB13000" w:cs="CESI仿宋-GB13000"/>
          <w:b w:val="0"/>
          <w:bCs w:val="0"/>
          <w:sz w:val="32"/>
          <w:szCs w:val="32"/>
          <w:u w:val="none"/>
        </w:rPr>
        <w:t>持</w:t>
      </w:r>
      <w:r>
        <w:rPr>
          <w:rFonts w:hint="eastAsia" w:ascii="CESI仿宋-GB13000" w:hAnsi="CESI仿宋-GB13000" w:eastAsia="CESI仿宋-GB13000" w:cs="CESI仿宋-GB13000"/>
          <w:b w:val="0"/>
          <w:bCs w:val="0"/>
          <w:color w:val="000000"/>
          <w:sz w:val="32"/>
          <w:szCs w:val="32"/>
          <w:u w:val="none"/>
        </w:rPr>
        <w:t>续做好</w:t>
      </w:r>
      <w:r>
        <w:rPr>
          <w:rFonts w:hint="eastAsia" w:ascii="CESI仿宋-GB13000" w:hAnsi="CESI仿宋-GB13000" w:eastAsia="CESI仿宋-GB13000" w:cs="CESI仿宋-GB13000"/>
          <w:b w:val="0"/>
          <w:bCs w:val="0"/>
          <w:color w:val="000000"/>
          <w:sz w:val="32"/>
          <w:szCs w:val="32"/>
          <w:u w:val="none"/>
          <w:lang w:val="en-US" w:eastAsia="zh-CN"/>
        </w:rPr>
        <w:t>学校</w:t>
      </w:r>
      <w:r>
        <w:rPr>
          <w:rFonts w:hint="eastAsia" w:ascii="CESI仿宋-GB13000" w:hAnsi="CESI仿宋-GB13000" w:eastAsia="CESI仿宋-GB13000" w:cs="CESI仿宋-GB13000"/>
          <w:b w:val="0"/>
          <w:bCs w:val="0"/>
          <w:color w:val="000000"/>
          <w:sz w:val="32"/>
          <w:szCs w:val="32"/>
          <w:u w:val="none"/>
        </w:rPr>
        <w:t>常态化疫情防控工作。继续深入贯彻落实上级决策部署，认真落实外防输入、内防反弹要求，紧密结合教育系统实际，强化防控，精准施策，切实做好疫情防控常态化工作，坚决做到“确保一方净土、确保生命安全”。</w:t>
      </w:r>
    </w:p>
    <w:p>
      <w:pPr>
        <w:autoSpaceDE w:val="0"/>
        <w:autoSpaceDN w:val="0"/>
        <w:adjustRightInd w:val="0"/>
        <w:ind w:left="198" w:firstLine="640" w:firstLineChars="200"/>
        <w:jc w:val="left"/>
        <w:rPr>
          <w:rFonts w:hint="eastAsia" w:ascii="CESI仿宋-GB13000" w:hAnsi="CESI仿宋-GB13000" w:eastAsia="CESI仿宋-GB13000" w:cs="CESI仿宋-GB13000"/>
          <w:b w:val="0"/>
          <w:bCs w:val="0"/>
          <w:color w:val="000000"/>
          <w:sz w:val="32"/>
          <w:szCs w:val="32"/>
          <w:u w:val="none"/>
        </w:rPr>
      </w:pPr>
      <w:r>
        <w:rPr>
          <w:rFonts w:hint="eastAsia" w:ascii="CESI仿宋-GB13000" w:hAnsi="CESI仿宋-GB13000" w:eastAsia="CESI仿宋-GB13000" w:cs="CESI仿宋-GB13000"/>
          <w:b w:val="0"/>
          <w:bCs w:val="0"/>
          <w:color w:val="000000"/>
          <w:sz w:val="32"/>
          <w:szCs w:val="32"/>
          <w:u w:val="none"/>
          <w:lang w:val="en-US" w:eastAsia="zh-CN"/>
        </w:rPr>
        <w:t>2.</w:t>
      </w:r>
      <w:r>
        <w:rPr>
          <w:rFonts w:hint="eastAsia" w:ascii="CESI仿宋-GB13000" w:hAnsi="CESI仿宋-GB13000" w:eastAsia="CESI仿宋-GB13000" w:cs="CESI仿宋-GB13000"/>
          <w:b w:val="0"/>
          <w:bCs w:val="0"/>
          <w:color w:val="000000"/>
          <w:sz w:val="32"/>
          <w:szCs w:val="32"/>
          <w:u w:val="none"/>
        </w:rPr>
        <w:t>持续做好</w:t>
      </w:r>
      <w:r>
        <w:rPr>
          <w:rFonts w:hint="eastAsia" w:ascii="CESI仿宋-GB13000" w:hAnsi="CESI仿宋-GB13000" w:eastAsia="CESI仿宋-GB13000" w:cs="CESI仿宋-GB13000"/>
          <w:b w:val="0"/>
          <w:bCs w:val="0"/>
          <w:color w:val="000000"/>
          <w:sz w:val="32"/>
          <w:szCs w:val="32"/>
          <w:u w:val="none"/>
          <w:lang w:val="en-US" w:eastAsia="zh-CN"/>
        </w:rPr>
        <w:t>控</w:t>
      </w:r>
      <w:r>
        <w:rPr>
          <w:rFonts w:hint="eastAsia" w:ascii="CESI仿宋-GB13000" w:hAnsi="CESI仿宋-GB13000" w:eastAsia="CESI仿宋-GB13000" w:cs="CESI仿宋-GB13000"/>
          <w:b w:val="0"/>
          <w:bCs w:val="0"/>
          <w:color w:val="000000"/>
          <w:sz w:val="32"/>
          <w:szCs w:val="32"/>
          <w:u w:val="none"/>
        </w:rPr>
        <w:t>辍保学</w:t>
      </w:r>
      <w:r>
        <w:rPr>
          <w:rFonts w:hint="eastAsia" w:ascii="CESI仿宋-GB13000" w:hAnsi="CESI仿宋-GB13000" w:eastAsia="CESI仿宋-GB13000" w:cs="CESI仿宋-GB13000"/>
          <w:b w:val="0"/>
          <w:bCs w:val="0"/>
          <w:color w:val="000000"/>
          <w:sz w:val="32"/>
          <w:szCs w:val="32"/>
          <w:u w:val="none"/>
          <w:lang w:eastAsia="zh-CN"/>
        </w:rPr>
        <w:t>、</w:t>
      </w:r>
      <w:r>
        <w:rPr>
          <w:rFonts w:hint="eastAsia" w:ascii="CESI仿宋-GB13000" w:hAnsi="CESI仿宋-GB13000" w:eastAsia="CESI仿宋-GB13000" w:cs="CESI仿宋-GB13000"/>
          <w:b w:val="0"/>
          <w:bCs w:val="0"/>
          <w:color w:val="000000"/>
          <w:sz w:val="32"/>
          <w:szCs w:val="32"/>
          <w:u w:val="none"/>
        </w:rPr>
        <w:t>教育扶贫工作。不让一个孩子因贫困而失学。完善教育扶贫长效机制，持之以恒做好扶贫工作。加强与</w:t>
      </w:r>
      <w:r>
        <w:rPr>
          <w:rFonts w:hint="eastAsia" w:ascii="CESI仿宋-GB13000" w:hAnsi="CESI仿宋-GB13000" w:eastAsia="CESI仿宋-GB13000" w:cs="CESI仿宋-GB13000"/>
          <w:b w:val="0"/>
          <w:bCs w:val="0"/>
          <w:color w:val="000000"/>
          <w:sz w:val="32"/>
          <w:szCs w:val="32"/>
          <w:u w:val="none"/>
          <w:lang w:val="en-US" w:eastAsia="zh-CN"/>
        </w:rPr>
        <w:t>村委、乡镇政府</w:t>
      </w:r>
      <w:r>
        <w:rPr>
          <w:rFonts w:hint="eastAsia" w:ascii="CESI仿宋-GB13000" w:hAnsi="CESI仿宋-GB13000" w:eastAsia="CESI仿宋-GB13000" w:cs="CESI仿宋-GB13000"/>
          <w:b w:val="0"/>
          <w:bCs w:val="0"/>
          <w:color w:val="000000"/>
          <w:sz w:val="32"/>
          <w:szCs w:val="32"/>
          <w:u w:val="none"/>
        </w:rPr>
        <w:t>的紧密联系，及时掌握贫困户数据动态调整信息，确保各项扶贫政策按期实现全覆盖。</w:t>
      </w:r>
    </w:p>
    <w:p>
      <w:pPr>
        <w:autoSpaceDE w:val="0"/>
        <w:autoSpaceDN w:val="0"/>
        <w:adjustRightInd w:val="0"/>
        <w:ind w:left="198" w:firstLine="640" w:firstLineChars="200"/>
        <w:jc w:val="left"/>
        <w:rPr>
          <w:rFonts w:hint="eastAsia" w:ascii="CESI仿宋-GB13000" w:hAnsi="CESI仿宋-GB13000" w:eastAsia="CESI仿宋-GB13000" w:cs="CESI仿宋-GB13000"/>
          <w:b w:val="0"/>
          <w:bCs w:val="0"/>
          <w:color w:val="000000"/>
          <w:sz w:val="32"/>
          <w:szCs w:val="32"/>
          <w:u w:val="none"/>
        </w:rPr>
      </w:pPr>
      <w:r>
        <w:rPr>
          <w:rFonts w:hint="eastAsia" w:ascii="CESI仿宋-GB13000" w:hAnsi="CESI仿宋-GB13000" w:eastAsia="CESI仿宋-GB13000" w:cs="CESI仿宋-GB13000"/>
          <w:b w:val="0"/>
          <w:bCs w:val="0"/>
          <w:color w:val="000000"/>
          <w:sz w:val="32"/>
          <w:szCs w:val="32"/>
          <w:u w:val="none"/>
          <w:lang w:val="en-US" w:eastAsia="zh-CN"/>
        </w:rPr>
        <w:t>3.</w:t>
      </w:r>
      <w:r>
        <w:rPr>
          <w:rFonts w:hint="eastAsia" w:ascii="CESI仿宋-GB13000" w:hAnsi="CESI仿宋-GB13000" w:eastAsia="CESI仿宋-GB13000" w:cs="CESI仿宋-GB13000"/>
          <w:b w:val="0"/>
          <w:bCs w:val="0"/>
          <w:color w:val="000000"/>
          <w:sz w:val="32"/>
          <w:szCs w:val="32"/>
          <w:u w:val="none"/>
        </w:rPr>
        <w:t>持续做好教育教学工作。继续推进以创建高效课堂为目的的教改教研工作，扎实开展教师高质量培训工程，全面提高教育教学质量。</w:t>
      </w:r>
    </w:p>
    <w:p>
      <w:pPr>
        <w:autoSpaceDE w:val="0"/>
        <w:autoSpaceDN w:val="0"/>
        <w:adjustRightInd w:val="0"/>
        <w:ind w:left="198" w:firstLine="640" w:firstLineChars="200"/>
        <w:jc w:val="left"/>
        <w:rPr>
          <w:rFonts w:hint="eastAsia" w:ascii="CESI仿宋-GB13000" w:hAnsi="CESI仿宋-GB13000" w:eastAsia="CESI仿宋-GB13000" w:cs="CESI仿宋-GB13000"/>
          <w:b w:val="0"/>
          <w:bCs w:val="0"/>
          <w:color w:val="000000"/>
          <w:sz w:val="32"/>
          <w:szCs w:val="32"/>
          <w:u w:val="none"/>
        </w:rPr>
      </w:pPr>
      <w:r>
        <w:rPr>
          <w:rFonts w:hint="eastAsia" w:ascii="CESI仿宋-GB13000" w:hAnsi="CESI仿宋-GB13000" w:eastAsia="CESI仿宋-GB13000" w:cs="CESI仿宋-GB13000"/>
          <w:b w:val="0"/>
          <w:bCs w:val="0"/>
          <w:color w:val="000000"/>
          <w:sz w:val="32"/>
          <w:szCs w:val="32"/>
          <w:u w:val="none"/>
          <w:lang w:val="en-US" w:eastAsia="zh-CN"/>
        </w:rPr>
        <w:t>4.</w:t>
      </w:r>
      <w:r>
        <w:rPr>
          <w:rFonts w:hint="eastAsia" w:ascii="CESI仿宋-GB13000" w:hAnsi="CESI仿宋-GB13000" w:eastAsia="CESI仿宋-GB13000" w:cs="CESI仿宋-GB13000"/>
          <w:b w:val="0"/>
          <w:bCs w:val="0"/>
          <w:color w:val="000000"/>
          <w:sz w:val="32"/>
          <w:szCs w:val="32"/>
          <w:u w:val="none"/>
        </w:rPr>
        <w:t>持续做好学校安全工作。严格落实学校安全教育责任，充分利用微信群等平台，每周推送防溺水、交通安全等各类安全教育提醒。持续开展校园安全风险隐患排查治理，强化校园食品卫生等各项工作，确保教育系统师生安全。</w:t>
      </w:r>
    </w:p>
    <w:p>
      <w:pPr>
        <w:ind w:firstLine="640" w:firstLineChars="200"/>
        <w:jc w:val="left"/>
        <w:rPr>
          <w:rFonts w:hint="eastAsia" w:ascii="CESI仿宋-GB13000" w:hAnsi="CESI仿宋-GB13000" w:eastAsia="CESI仿宋-GB13000" w:cs="CESI仿宋-GB13000"/>
          <w:b w:val="0"/>
          <w:bCs w:val="0"/>
          <w:sz w:val="32"/>
          <w:szCs w:val="32"/>
          <w:u w:val="none"/>
        </w:rPr>
      </w:pPr>
      <w:r>
        <w:rPr>
          <w:rFonts w:hint="eastAsia" w:ascii="CESI仿宋-GB13000" w:hAnsi="CESI仿宋-GB13000" w:eastAsia="CESI仿宋-GB13000" w:cs="CESI仿宋-GB13000"/>
          <w:b w:val="0"/>
          <w:bCs w:val="0"/>
          <w:sz w:val="32"/>
          <w:szCs w:val="32"/>
          <w:u w:val="none"/>
          <w:lang w:eastAsia="zh-CN"/>
        </w:rPr>
        <w:t>（</w:t>
      </w:r>
      <w:r>
        <w:rPr>
          <w:rFonts w:hint="eastAsia" w:ascii="CESI仿宋-GB13000" w:hAnsi="CESI仿宋-GB13000" w:eastAsia="CESI仿宋-GB13000" w:cs="CESI仿宋-GB13000"/>
          <w:b w:val="0"/>
          <w:bCs w:val="0"/>
          <w:sz w:val="32"/>
          <w:szCs w:val="32"/>
          <w:u w:val="none"/>
          <w:lang w:val="en-US" w:eastAsia="zh-CN"/>
        </w:rPr>
        <w:t>二</w:t>
      </w:r>
      <w:r>
        <w:rPr>
          <w:rFonts w:hint="eastAsia" w:ascii="CESI仿宋-GB13000" w:hAnsi="CESI仿宋-GB13000" w:eastAsia="CESI仿宋-GB13000" w:cs="CESI仿宋-GB13000"/>
          <w:b w:val="0"/>
          <w:bCs w:val="0"/>
          <w:sz w:val="32"/>
          <w:szCs w:val="32"/>
          <w:u w:val="none"/>
          <w:lang w:eastAsia="zh-CN"/>
        </w:rPr>
        <w:t>）</w:t>
      </w:r>
      <w:r>
        <w:rPr>
          <w:rFonts w:hint="eastAsia" w:ascii="CESI仿宋-GB13000" w:hAnsi="CESI仿宋-GB13000" w:eastAsia="CESI仿宋-GB13000" w:cs="CESI仿宋-GB13000"/>
          <w:b w:val="0"/>
          <w:bCs w:val="0"/>
          <w:sz w:val="32"/>
          <w:szCs w:val="32"/>
          <w:u w:val="none"/>
        </w:rPr>
        <w:t>分项绩效目标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ind w:firstLine="640"/>
        <w:rPr>
          <w:rFonts w:hint="eastAsia" w:ascii="CESI仿宋-GB13000" w:hAnsi="CESI仿宋-GB13000" w:eastAsia="CESI仿宋-GB13000" w:cs="CESI仿宋-GB13000"/>
          <w:b w:val="0"/>
          <w:bCs w:val="0"/>
          <w:sz w:val="32"/>
          <w:szCs w:val="32"/>
          <w:u w:val="none"/>
        </w:rPr>
      </w:pPr>
      <w:r>
        <w:rPr>
          <w:rFonts w:hint="eastAsia" w:ascii="CESI仿宋-GB13000" w:hAnsi="CESI仿宋-GB13000" w:eastAsia="CESI仿宋-GB13000" w:cs="CESI仿宋-GB13000"/>
          <w:b w:val="0"/>
          <w:bCs w:val="0"/>
          <w:sz w:val="32"/>
          <w:szCs w:val="32"/>
          <w:u w:val="none"/>
          <w:lang w:val="en-US" w:eastAsia="zh-CN"/>
        </w:rPr>
        <w:t>1.</w:t>
      </w:r>
      <w:r>
        <w:rPr>
          <w:rFonts w:hint="eastAsia" w:ascii="CESI仿宋-GB13000" w:hAnsi="CESI仿宋-GB13000" w:eastAsia="CESI仿宋-GB13000" w:cs="CESI仿宋-GB13000"/>
          <w:b w:val="0"/>
          <w:bCs w:val="0"/>
          <w:sz w:val="32"/>
          <w:szCs w:val="32"/>
          <w:u w:val="none"/>
        </w:rPr>
        <w:t>推进义务教育均衡发展</w:t>
      </w:r>
      <w:r>
        <w:rPr>
          <w:rFonts w:hint="eastAsia" w:ascii="CESI仿宋-GB13000" w:hAnsi="CESI仿宋-GB13000" w:eastAsia="CESI仿宋-GB13000" w:cs="CESI仿宋-GB13000"/>
          <w:b w:val="0"/>
          <w:bCs w:val="0"/>
          <w:sz w:val="32"/>
          <w:szCs w:val="32"/>
          <w:u w:val="none"/>
          <w:lang w:eastAsia="zh-CN"/>
        </w:rPr>
        <w:t>，</w:t>
      </w:r>
      <w:r>
        <w:rPr>
          <w:rFonts w:hint="eastAsia" w:ascii="CESI仿宋-GB13000" w:hAnsi="CESI仿宋-GB13000" w:eastAsia="CESI仿宋-GB13000" w:cs="CESI仿宋-GB13000"/>
          <w:b w:val="0"/>
          <w:bCs w:val="0"/>
          <w:sz w:val="32"/>
          <w:szCs w:val="32"/>
          <w:u w:val="none"/>
          <w:lang w:val="en-US" w:eastAsia="zh-CN"/>
        </w:rPr>
        <w:t>落实义务教育“两免一补”政策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ind w:firstLine="640"/>
        <w:rPr>
          <w:rFonts w:hint="eastAsia" w:ascii="CESI仿宋-GB13000" w:hAnsi="CESI仿宋-GB13000" w:eastAsia="CESI仿宋-GB13000" w:cs="CESI仿宋-GB13000"/>
          <w:b w:val="0"/>
          <w:bCs w:val="0"/>
          <w:sz w:val="32"/>
          <w:szCs w:val="32"/>
          <w:u w:val="none"/>
        </w:rPr>
      </w:pPr>
      <w:r>
        <w:rPr>
          <w:rFonts w:hint="eastAsia" w:ascii="CESI仿宋-GB13000" w:hAnsi="CESI仿宋-GB13000" w:eastAsia="CESI仿宋-GB13000" w:cs="CESI仿宋-GB13000"/>
          <w:b w:val="0"/>
          <w:bCs w:val="0"/>
          <w:sz w:val="32"/>
          <w:szCs w:val="32"/>
          <w:u w:val="none"/>
          <w:lang w:val="en-US" w:eastAsia="zh-CN"/>
        </w:rPr>
        <w:t>绩效目标</w:t>
      </w:r>
      <w:r>
        <w:rPr>
          <w:rFonts w:hint="eastAsia" w:ascii="CESI仿宋-GB13000" w:hAnsi="CESI仿宋-GB13000" w:eastAsia="CESI仿宋-GB13000" w:cs="CESI仿宋-GB13000"/>
          <w:b w:val="0"/>
          <w:bCs w:val="0"/>
          <w:sz w:val="32"/>
          <w:szCs w:val="32"/>
          <w:u w:val="none"/>
        </w:rPr>
        <w:t>：以教育为重点，推进义务教育均衡发展，改善学校办学条件。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ind w:firstLine="640"/>
        <w:rPr>
          <w:rFonts w:hint="eastAsia" w:ascii="CESI仿宋-GB13000" w:hAnsi="CESI仿宋-GB13000" w:eastAsia="CESI仿宋-GB13000" w:cs="CESI仿宋-GB13000"/>
          <w:b w:val="0"/>
          <w:bCs w:val="0"/>
          <w:sz w:val="32"/>
          <w:szCs w:val="32"/>
          <w:u w:val="none"/>
        </w:rPr>
      </w:pPr>
      <w:r>
        <w:rPr>
          <w:rFonts w:hint="eastAsia" w:ascii="CESI仿宋-GB13000" w:hAnsi="CESI仿宋-GB13000" w:eastAsia="CESI仿宋-GB13000" w:cs="CESI仿宋-GB13000"/>
          <w:b w:val="0"/>
          <w:bCs w:val="0"/>
          <w:sz w:val="32"/>
          <w:szCs w:val="32"/>
          <w:u w:val="none"/>
          <w:lang w:val="en-US" w:eastAsia="zh-CN"/>
        </w:rPr>
        <w:t>绩效指标</w:t>
      </w:r>
      <w:r>
        <w:rPr>
          <w:rFonts w:hint="eastAsia" w:ascii="CESI仿宋-GB13000" w:hAnsi="CESI仿宋-GB13000" w:eastAsia="CESI仿宋-GB13000" w:cs="CESI仿宋-GB13000"/>
          <w:b w:val="0"/>
          <w:bCs w:val="0"/>
          <w:sz w:val="32"/>
          <w:szCs w:val="32"/>
          <w:u w:val="none"/>
        </w:rPr>
        <w:t>：统一城乡义务教育年生均公用经费标准：</w:t>
      </w:r>
      <w:r>
        <w:rPr>
          <w:rFonts w:hint="eastAsia" w:ascii="CESI仿宋-GB13000" w:hAnsi="CESI仿宋-GB13000" w:eastAsia="CESI仿宋-GB13000" w:cs="CESI仿宋-GB13000"/>
          <w:b w:val="0"/>
          <w:bCs w:val="0"/>
          <w:sz w:val="32"/>
          <w:szCs w:val="32"/>
          <w:u w:val="none"/>
          <w:lang w:val="en-US" w:eastAsia="zh-CN"/>
        </w:rPr>
        <w:t>小</w:t>
      </w:r>
      <w:r>
        <w:rPr>
          <w:rFonts w:hint="eastAsia" w:ascii="CESI仿宋-GB13000" w:hAnsi="CESI仿宋-GB13000" w:eastAsia="CESI仿宋-GB13000" w:cs="CESI仿宋-GB13000"/>
          <w:b w:val="0"/>
          <w:bCs w:val="0"/>
          <w:sz w:val="32"/>
          <w:szCs w:val="32"/>
          <w:u w:val="none"/>
          <w:lang w:eastAsia="zh-CN"/>
        </w:rPr>
        <w:t>学</w:t>
      </w:r>
      <w:r>
        <w:rPr>
          <w:rFonts w:hint="eastAsia" w:ascii="CESI仿宋-GB13000" w:hAnsi="CESI仿宋-GB13000" w:eastAsia="CESI仿宋-GB13000" w:cs="CESI仿宋-GB13000"/>
          <w:b w:val="0"/>
          <w:bCs w:val="0"/>
          <w:sz w:val="32"/>
          <w:szCs w:val="32"/>
          <w:u w:val="none"/>
          <w:lang w:val="en-US" w:eastAsia="zh-CN"/>
        </w:rPr>
        <w:t>735</w:t>
      </w:r>
      <w:r>
        <w:rPr>
          <w:rFonts w:hint="eastAsia" w:ascii="CESI仿宋-GB13000" w:hAnsi="CESI仿宋-GB13000" w:eastAsia="CESI仿宋-GB13000" w:cs="CESI仿宋-GB13000"/>
          <w:b w:val="0"/>
          <w:bCs w:val="0"/>
          <w:sz w:val="32"/>
          <w:szCs w:val="32"/>
          <w:u w:val="none"/>
        </w:rPr>
        <w:t>元（含取暖费85元）。为义务教育学生家庭经济困难学生免费提供教科书。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ind w:firstLine="643"/>
        <w:rPr>
          <w:rFonts w:hint="eastAsia" w:ascii="CESI仿宋-GB13000" w:hAnsi="CESI仿宋-GB13000" w:eastAsia="CESI仿宋-GB13000" w:cs="CESI仿宋-GB13000"/>
          <w:b w:val="0"/>
          <w:bCs w:val="0"/>
          <w:sz w:val="32"/>
          <w:szCs w:val="32"/>
          <w:u w:val="none"/>
        </w:rPr>
      </w:pPr>
      <w:r>
        <w:rPr>
          <w:rFonts w:hint="eastAsia" w:ascii="CESI仿宋-GB13000" w:hAnsi="CESI仿宋-GB13000" w:eastAsia="CESI仿宋-GB13000" w:cs="CESI仿宋-GB13000"/>
          <w:b w:val="0"/>
          <w:bCs w:val="0"/>
          <w:sz w:val="32"/>
          <w:szCs w:val="32"/>
          <w:u w:val="none"/>
          <w:lang w:val="en-US" w:eastAsia="zh-CN"/>
        </w:rPr>
        <w:t>2.</w:t>
      </w:r>
      <w:r>
        <w:rPr>
          <w:rFonts w:hint="eastAsia" w:ascii="CESI仿宋-GB13000" w:hAnsi="CESI仿宋-GB13000" w:eastAsia="CESI仿宋-GB13000" w:cs="CESI仿宋-GB13000"/>
          <w:b w:val="0"/>
          <w:bCs w:val="0"/>
          <w:sz w:val="32"/>
          <w:szCs w:val="32"/>
          <w:u w:val="none"/>
        </w:rPr>
        <w:t>保障工作正常高效运行，相关工作顺利开展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ind w:firstLine="640"/>
        <w:rPr>
          <w:rFonts w:hint="eastAsia" w:ascii="CESI仿宋-GB13000" w:hAnsi="CESI仿宋-GB13000" w:eastAsia="CESI仿宋-GB13000" w:cs="CESI仿宋-GB13000"/>
          <w:b w:val="0"/>
          <w:bCs w:val="0"/>
          <w:sz w:val="32"/>
          <w:szCs w:val="32"/>
          <w:u w:val="none"/>
        </w:rPr>
      </w:pPr>
      <w:r>
        <w:rPr>
          <w:rFonts w:hint="eastAsia" w:ascii="CESI仿宋-GB13000" w:hAnsi="CESI仿宋-GB13000" w:eastAsia="CESI仿宋-GB13000" w:cs="CESI仿宋-GB13000"/>
          <w:b w:val="0"/>
          <w:bCs w:val="0"/>
          <w:sz w:val="32"/>
          <w:szCs w:val="32"/>
          <w:u w:val="none"/>
          <w:lang w:val="en-US" w:eastAsia="zh-CN"/>
        </w:rPr>
        <w:t>绩效目标</w:t>
      </w:r>
      <w:r>
        <w:rPr>
          <w:rFonts w:hint="eastAsia" w:ascii="CESI仿宋-GB13000" w:hAnsi="CESI仿宋-GB13000" w:eastAsia="CESI仿宋-GB13000" w:cs="CESI仿宋-GB13000"/>
          <w:b w:val="0"/>
          <w:bCs w:val="0"/>
          <w:sz w:val="32"/>
          <w:szCs w:val="32"/>
          <w:u w:val="none"/>
        </w:rPr>
        <w:t>：负责</w:t>
      </w:r>
      <w:r>
        <w:rPr>
          <w:rFonts w:hint="eastAsia" w:ascii="CESI仿宋-GB13000" w:hAnsi="CESI仿宋-GB13000" w:eastAsia="CESI仿宋-GB13000" w:cs="CESI仿宋-GB13000"/>
          <w:b w:val="0"/>
          <w:bCs w:val="0"/>
          <w:sz w:val="32"/>
          <w:szCs w:val="32"/>
          <w:u w:val="none"/>
          <w:lang w:val="en-US" w:eastAsia="zh-CN"/>
        </w:rPr>
        <w:t>小学</w:t>
      </w:r>
      <w:r>
        <w:rPr>
          <w:rFonts w:hint="eastAsia" w:ascii="CESI仿宋-GB13000" w:hAnsi="CESI仿宋-GB13000" w:eastAsia="CESI仿宋-GB13000" w:cs="CESI仿宋-GB13000"/>
          <w:b w:val="0"/>
          <w:bCs w:val="0"/>
          <w:sz w:val="32"/>
          <w:szCs w:val="32"/>
          <w:u w:val="none"/>
        </w:rPr>
        <w:t>综合业务管理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ind w:firstLine="640"/>
        <w:rPr>
          <w:rFonts w:hint="eastAsia" w:ascii="CESI仿宋-GB13000" w:hAnsi="CESI仿宋-GB13000" w:eastAsia="CESI仿宋-GB13000" w:cs="CESI仿宋-GB13000"/>
          <w:b w:val="0"/>
          <w:bCs w:val="0"/>
          <w:sz w:val="32"/>
          <w:szCs w:val="32"/>
          <w:u w:val="none"/>
        </w:rPr>
      </w:pPr>
      <w:r>
        <w:rPr>
          <w:rFonts w:hint="eastAsia" w:ascii="CESI仿宋-GB13000" w:hAnsi="CESI仿宋-GB13000" w:eastAsia="CESI仿宋-GB13000" w:cs="CESI仿宋-GB13000"/>
          <w:b w:val="0"/>
          <w:bCs w:val="0"/>
          <w:sz w:val="32"/>
          <w:szCs w:val="32"/>
          <w:u w:val="none"/>
          <w:lang w:val="en-US" w:eastAsia="zh-CN"/>
        </w:rPr>
        <w:t>绩效指标</w:t>
      </w:r>
      <w:r>
        <w:rPr>
          <w:rFonts w:hint="eastAsia" w:ascii="CESI仿宋-GB13000" w:hAnsi="CESI仿宋-GB13000" w:eastAsia="CESI仿宋-GB13000" w:cs="CESI仿宋-GB13000"/>
          <w:b w:val="0"/>
          <w:bCs w:val="0"/>
          <w:sz w:val="32"/>
          <w:szCs w:val="32"/>
          <w:u w:val="none"/>
        </w:rPr>
        <w:t>：依法</w:t>
      </w:r>
      <w:r>
        <w:rPr>
          <w:rFonts w:hint="eastAsia" w:ascii="CESI仿宋-GB13000" w:hAnsi="CESI仿宋-GB13000" w:eastAsia="CESI仿宋-GB13000" w:cs="CESI仿宋-GB13000"/>
          <w:b w:val="0"/>
          <w:bCs w:val="0"/>
          <w:sz w:val="32"/>
          <w:szCs w:val="32"/>
          <w:u w:val="none"/>
          <w:lang w:val="en-US" w:eastAsia="zh-CN"/>
        </w:rPr>
        <w:t>开展教育教学活动</w:t>
      </w:r>
      <w:r>
        <w:rPr>
          <w:rFonts w:hint="eastAsia" w:ascii="CESI仿宋-GB13000" w:hAnsi="CESI仿宋-GB13000" w:eastAsia="CESI仿宋-GB13000" w:cs="CESI仿宋-GB13000"/>
          <w:b w:val="0"/>
          <w:bCs w:val="0"/>
          <w:sz w:val="32"/>
          <w:szCs w:val="32"/>
          <w:u w:val="none"/>
        </w:rPr>
        <w:t>，构建人民群众满意的</w:t>
      </w:r>
      <w:r>
        <w:rPr>
          <w:rFonts w:hint="eastAsia" w:ascii="CESI仿宋-GB13000" w:hAnsi="CESI仿宋-GB13000" w:eastAsia="CESI仿宋-GB13000" w:cs="CESI仿宋-GB13000"/>
          <w:b w:val="0"/>
          <w:bCs w:val="0"/>
          <w:sz w:val="32"/>
          <w:szCs w:val="32"/>
          <w:u w:val="none"/>
          <w:lang w:val="en-US" w:eastAsia="zh-CN"/>
        </w:rPr>
        <w:t>学校</w:t>
      </w:r>
      <w:r>
        <w:rPr>
          <w:rFonts w:hint="eastAsia" w:ascii="CESI仿宋-GB13000" w:hAnsi="CESI仿宋-GB13000" w:eastAsia="CESI仿宋-GB13000" w:cs="CESI仿宋-GB13000"/>
          <w:b w:val="0"/>
          <w:bCs w:val="0"/>
          <w:sz w:val="32"/>
          <w:szCs w:val="32"/>
          <w:u w:val="none"/>
        </w:rPr>
        <w:t>；保障工作正常高效运行，相关工作顺利开展。加强学校领导班子和领导干部队伍建设，不断提高思想政治素质和办学治校能力。坚持德才兼备、以德为先用人标准，选拔任用学校领导干部。加大学校领导干部培养培训和交流任职力度。</w:t>
      </w:r>
    </w:p>
    <w:p>
      <w:pPr>
        <w:ind w:firstLine="640" w:firstLineChars="200"/>
        <w:jc w:val="left"/>
        <w:rPr>
          <w:rFonts w:hint="eastAsia" w:ascii="CESI仿宋-GB13000" w:hAnsi="CESI仿宋-GB13000" w:eastAsia="CESI仿宋-GB13000" w:cs="CESI仿宋-GB13000"/>
          <w:b w:val="0"/>
          <w:bCs w:val="0"/>
          <w:sz w:val="32"/>
          <w:szCs w:val="32"/>
          <w:u w:val="none"/>
        </w:rPr>
      </w:pPr>
      <w:r>
        <w:rPr>
          <w:rFonts w:hint="eastAsia" w:ascii="CESI仿宋-GB13000" w:hAnsi="CESI仿宋-GB13000" w:eastAsia="CESI仿宋-GB13000" w:cs="CESI仿宋-GB13000"/>
          <w:b w:val="0"/>
          <w:bCs w:val="0"/>
          <w:sz w:val="32"/>
          <w:szCs w:val="32"/>
          <w:u w:val="none"/>
          <w:lang w:val="en-US" w:eastAsia="zh-CN"/>
        </w:rPr>
        <w:t>（三）</w:t>
      </w:r>
      <w:r>
        <w:rPr>
          <w:rFonts w:hint="eastAsia" w:ascii="CESI仿宋-GB13000" w:hAnsi="CESI仿宋-GB13000" w:eastAsia="CESI仿宋-GB13000" w:cs="CESI仿宋-GB13000"/>
          <w:b w:val="0"/>
          <w:bCs w:val="0"/>
          <w:sz w:val="32"/>
          <w:szCs w:val="32"/>
          <w:u w:val="none"/>
        </w:rPr>
        <w:t>工作保障措施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ind w:firstLine="643"/>
        <w:rPr>
          <w:rFonts w:hint="eastAsia" w:ascii="仿宋" w:hAnsi="仿宋" w:eastAsia="仿宋" w:cs="仿宋"/>
          <w:b w:val="0"/>
          <w:bCs w:val="0"/>
          <w:sz w:val="32"/>
          <w:szCs w:val="32"/>
          <w:u w:val="none"/>
        </w:rPr>
      </w:pPr>
      <w:r>
        <w:rPr>
          <w:rFonts w:hint="eastAsia" w:ascii="CESI仿宋-GB13000" w:hAnsi="CESI仿宋-GB13000" w:eastAsia="CESI仿宋-GB13000" w:cs="CESI仿宋-GB13000"/>
          <w:b w:val="0"/>
          <w:bCs w:val="0"/>
          <w:sz w:val="32"/>
          <w:szCs w:val="32"/>
          <w:u w:val="none"/>
          <w:lang w:val="en-US" w:eastAsia="zh-CN"/>
        </w:rPr>
        <w:t>1.</w:t>
      </w:r>
      <w:r>
        <w:rPr>
          <w:rFonts w:hint="eastAsia" w:ascii="CESI仿宋-GB13000" w:hAnsi="CESI仿宋-GB13000" w:eastAsia="CESI仿宋-GB13000" w:cs="CESI仿宋-GB13000"/>
          <w:b w:val="0"/>
          <w:bCs w:val="0"/>
          <w:sz w:val="32"/>
          <w:szCs w:val="32"/>
          <w:u w:val="none"/>
        </w:rPr>
        <w:t>完善制度建设。制定完善预算绩效管理制度、资金管理办法、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u w:val="none"/>
        </w:rPr>
        <w:t>工作保障制度等，为全年预算绩效目标的实现奠定制度基础。坚持依法理财，严格执行国家财政资金管理法律制度和财经纪律。建立科学化、精细化预算管理机制，科学编制预算，提高预算执行效率。加强学校财务会计制度建设，完善经费使用内部稽核和内部控制制度。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ind w:firstLine="643"/>
        <w:rPr>
          <w:rFonts w:hint="eastAsia" w:ascii="仿宋" w:hAnsi="仿宋" w:eastAsia="仿宋" w:cs="仿宋"/>
          <w:b w:val="0"/>
          <w:bCs w:val="0"/>
          <w:sz w:val="32"/>
          <w:szCs w:val="32"/>
          <w:u w:val="none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u w:val="none"/>
          <w:lang w:val="en-US" w:eastAsia="zh-CN"/>
        </w:rPr>
        <w:t>2.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u w:val="none"/>
        </w:rPr>
        <w:t>加强支出管理。通过优化支出结构、编细编实预算、尽快启动项目、及时支付资金等多种措施，确保支出进度达标。完善教育经费监管机构职能，提升经费使用和资产管理专业化水平。加强经费使用监督，强化重大项目建设和经费使用全过程审计，确保经费使用规范、安全、有效。防范学校财务风险。建立经费使用绩效评价制度，加强重大项目经费使用考评。加强学校国有资产管理，建立健全学校国有资产配置、使用、处置管理制度，防止国有资产流失，提高使用效益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line="240" w:lineRule="atLeast"/>
        <w:ind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u w:val="none"/>
          <w:lang w:val="en-US" w:eastAsia="zh-CN"/>
        </w:rPr>
        <w:t>3.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u w:val="none"/>
        </w:rPr>
        <w:t>加强绩效运行监控。按要求开展绩效运行监控，发现问题及时采取措施，确保绩效目标如期保质实现。</w:t>
      </w:r>
    </w:p>
    <w:p>
      <w:pPr>
        <w:pStyle w:val="5"/>
        <w:keepNext w:val="0"/>
        <w:keepLines w:val="0"/>
        <w:widowControl/>
        <w:suppressLineNumbers w:val="0"/>
        <w:spacing w:before="0" w:beforeAutospacing="0" w:after="0" w:afterAutospacing="0" w:line="576" w:lineRule="atLeast"/>
        <w:ind w:right="0"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  <w:u w:val="none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u w:val="none"/>
          <w:lang w:val="en-US" w:eastAsia="zh-CN"/>
        </w:rPr>
        <w:t>4.做好绩效自评。开展上年度单位预算绩效自评和重点评价工作，对评价中发现的问题及时整改，调整优化支出结构，提高财政资金使用效益。对上年度预算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u w:val="none"/>
          <w:shd w:val="clear" w:color="auto" w:fill="FFFFFF"/>
        </w:rPr>
        <w:t>项目的经济性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u w:val="none"/>
          <w:shd w:val="clear" w:color="auto" w:fill="FFFFFF"/>
          <w:lang w:eastAsia="zh-CN"/>
        </w:rPr>
        <w:t>、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u w:val="none"/>
          <w:shd w:val="clear" w:color="auto" w:fill="FFFFFF"/>
        </w:rPr>
        <w:t>效率性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u w:val="none"/>
          <w:shd w:val="clear" w:color="auto" w:fill="FFFFFF"/>
          <w:lang w:eastAsia="zh-CN"/>
        </w:rPr>
        <w:t>、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u w:val="none"/>
          <w:shd w:val="clear" w:color="auto" w:fill="FFFFFF"/>
        </w:rPr>
        <w:t>效益性分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u w:val="none"/>
          <w:shd w:val="clear" w:color="auto" w:fill="FFFFFF"/>
          <w:lang w:eastAsia="zh-CN"/>
        </w:rPr>
        <w:t>、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u w:val="none"/>
          <w:shd w:val="clear" w:color="auto" w:fill="FFFFFF"/>
        </w:rPr>
        <w:t>可持续性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u w:val="none"/>
          <w:shd w:val="clear" w:color="auto" w:fill="FFFFFF"/>
          <w:lang w:val="en-US" w:eastAsia="zh-CN"/>
        </w:rPr>
        <w:t>进行认真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u w:val="none"/>
          <w:shd w:val="clear" w:color="auto" w:fill="FFFFFF"/>
        </w:rPr>
        <w:t>分析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u w:val="none"/>
          <w:shd w:val="clear" w:color="auto" w:fill="FFFFFF"/>
          <w:lang w:val="en-US" w:eastAsia="zh-CN"/>
        </w:rPr>
        <w:t>和调查研究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u w:val="none"/>
          <w:shd w:val="clear" w:color="auto" w:fill="FFFFFF"/>
          <w:lang w:eastAsia="zh-CN"/>
        </w:rPr>
        <w:t>。</w:t>
      </w:r>
    </w:p>
    <w:p>
      <w:pPr>
        <w:pStyle w:val="5"/>
        <w:keepNext w:val="0"/>
        <w:keepLines w:val="0"/>
        <w:widowControl/>
        <w:suppressLineNumbers w:val="0"/>
        <w:spacing w:before="0" w:beforeAutospacing="0" w:after="0" w:afterAutospacing="0" w:line="576" w:lineRule="atLeast"/>
        <w:ind w:right="0"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  <w:u w:val="none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u w:val="none"/>
          <w:lang w:val="en-US" w:eastAsia="zh-CN"/>
        </w:rPr>
        <w:t>5.规范财务资产管理。完善财务管理制度，严格审批程序，加强固定资产登记、使用和报废处置管理，做到支出合理，物尽其用。严格按照</w:t>
      </w:r>
      <w:r>
        <w:rPr>
          <w:rFonts w:hint="eastAsia" w:ascii="仿宋" w:hAnsi="仿宋" w:eastAsia="仿宋" w:cs="仿宋"/>
          <w:b w:val="0"/>
          <w:bCs w:val="0"/>
          <w:i w:val="0"/>
          <w:caps w:val="0"/>
          <w:color w:val="333333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  <w:t>2021年2月1日 中华人民共和国国务院令第738号《行政事业性国有资产管理条例》对单位的国有资产进行管理。坚持资产管理与预算管理相结合的原则，推行实物费用定额制度，促进事业资产整合与共享共用，实现资产管理和预算管理的紧密统一；坚持所有权和使用权相分离的原则；应当坚持资产管理与财务管理、实物管理与价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u w:val="none"/>
          <w:shd w:val="clear" w:color="auto" w:fill="FFFFFF"/>
          <w:lang w:val="en-US" w:eastAsia="zh-CN"/>
        </w:rPr>
        <w:t>值管理相结合的原则。</w:t>
      </w:r>
    </w:p>
    <w:p>
      <w:pPr>
        <w:pStyle w:val="5"/>
        <w:keepNext w:val="0"/>
        <w:keepLines w:val="0"/>
        <w:widowControl/>
        <w:suppressLineNumbers w:val="0"/>
        <w:spacing w:before="0" w:beforeAutospacing="0" w:after="0" w:afterAutospacing="0" w:line="576" w:lineRule="atLeast"/>
        <w:ind w:right="0" w:firstLine="640" w:firstLineChars="200"/>
        <w:rPr>
          <w:rFonts w:hint="eastAsia" w:ascii="仿宋" w:hAnsi="仿宋" w:eastAsia="仿宋" w:cs="仿宋"/>
          <w:b w:val="0"/>
          <w:bCs w:val="0"/>
          <w:i w:val="0"/>
          <w:caps w:val="0"/>
          <w:color w:val="333333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u w:val="none"/>
          <w:shd w:val="clear" w:color="auto" w:fill="FFFFFF"/>
          <w:lang w:val="en-US" w:eastAsia="zh-CN"/>
        </w:rPr>
        <w:t>6.加强内部监督。加强内部监督制度建设，对绩效运行情况、重大支出决策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u w:val="none"/>
          <w:lang w:val="en-US" w:eastAsia="zh-CN"/>
        </w:rPr>
        <w:t>、资产处置及其他重要经济业务事项的决策和执行进行督导，对会计资料进行内部审计，并配合做好审计、财政监督等外部监督工作，确保财政资金安全有效。</w:t>
      </w:r>
      <w:r>
        <w:rPr>
          <w:rFonts w:hint="eastAsia" w:ascii="仿宋" w:hAnsi="仿宋" w:eastAsia="仿宋" w:cs="仿宋"/>
          <w:b w:val="0"/>
          <w:bCs w:val="0"/>
          <w:i w:val="0"/>
          <w:caps w:val="0"/>
          <w:color w:val="333333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  <w:t>应当建立、健全本单位内部会计监督制度和内部控制制度。单位内部会计监督制度应当符合以下要求：</w:t>
      </w:r>
    </w:p>
    <w:p>
      <w:pPr>
        <w:pStyle w:val="5"/>
        <w:keepNext w:val="0"/>
        <w:keepLines w:val="0"/>
        <w:widowControl/>
        <w:suppressLineNumbers w:val="0"/>
        <w:spacing w:before="0" w:beforeAutospacing="0" w:after="0" w:afterAutospacing="0" w:line="576" w:lineRule="atLeast"/>
        <w:ind w:right="0" w:firstLine="640" w:firstLineChars="200"/>
        <w:rPr>
          <w:rFonts w:hint="eastAsia" w:ascii="仿宋" w:hAnsi="仿宋" w:eastAsia="仿宋" w:cs="仿宋"/>
          <w:b w:val="0"/>
          <w:bCs w:val="0"/>
          <w:i w:val="0"/>
          <w:caps w:val="0"/>
          <w:color w:val="333333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</w:pPr>
      <w:r>
        <w:rPr>
          <w:rFonts w:hint="eastAsia" w:ascii="仿宋" w:hAnsi="仿宋" w:eastAsia="仿宋" w:cs="仿宋"/>
          <w:b w:val="0"/>
          <w:bCs w:val="0"/>
          <w:i w:val="0"/>
          <w:caps w:val="0"/>
          <w:color w:val="333333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  <w:t>(1)记账人员与经济业务事项或会计事项的审批人员、经办人员、财物保管人员的职责权限应当明确，并相互分离、相互制约；</w:t>
      </w:r>
    </w:p>
    <w:p>
      <w:pPr>
        <w:pStyle w:val="5"/>
        <w:keepNext w:val="0"/>
        <w:keepLines w:val="0"/>
        <w:widowControl/>
        <w:suppressLineNumbers w:val="0"/>
        <w:spacing w:before="0" w:beforeAutospacing="0" w:after="0" w:afterAutospacing="0" w:line="576" w:lineRule="atLeast"/>
        <w:ind w:right="0" w:firstLine="640" w:firstLineChars="200"/>
        <w:rPr>
          <w:rFonts w:hint="eastAsia" w:ascii="仿宋" w:hAnsi="仿宋" w:eastAsia="仿宋" w:cs="仿宋"/>
          <w:b w:val="0"/>
          <w:bCs w:val="0"/>
          <w:i w:val="0"/>
          <w:caps w:val="0"/>
          <w:color w:val="333333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</w:pPr>
      <w:r>
        <w:rPr>
          <w:rFonts w:hint="eastAsia" w:ascii="仿宋" w:hAnsi="仿宋" w:eastAsia="仿宋" w:cs="仿宋"/>
          <w:b w:val="0"/>
          <w:bCs w:val="0"/>
          <w:i w:val="0"/>
          <w:caps w:val="0"/>
          <w:color w:val="333333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  <w:t>(2)资产处置、资金调度和其他重要经济业务事项的决策和执行的相互监督、相互制约的程序应当明确；</w:t>
      </w:r>
    </w:p>
    <w:p>
      <w:pPr>
        <w:pStyle w:val="5"/>
        <w:keepNext w:val="0"/>
        <w:keepLines w:val="0"/>
        <w:widowControl/>
        <w:suppressLineNumbers w:val="0"/>
        <w:spacing w:before="0" w:beforeAutospacing="0" w:after="0" w:afterAutospacing="0" w:line="576" w:lineRule="atLeast"/>
        <w:ind w:right="0" w:firstLine="640" w:firstLineChars="200"/>
        <w:rPr>
          <w:rFonts w:hint="eastAsia" w:ascii="仿宋" w:hAnsi="仿宋" w:eastAsia="仿宋" w:cs="仿宋"/>
          <w:b w:val="0"/>
          <w:bCs w:val="0"/>
          <w:i w:val="0"/>
          <w:caps w:val="0"/>
          <w:color w:val="333333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</w:pPr>
      <w:r>
        <w:rPr>
          <w:rFonts w:hint="eastAsia" w:ascii="仿宋" w:hAnsi="仿宋" w:eastAsia="仿宋" w:cs="仿宋"/>
          <w:b w:val="0"/>
          <w:bCs w:val="0"/>
          <w:i w:val="0"/>
          <w:caps w:val="0"/>
          <w:color w:val="333333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  <w:t>(3)财产清查的范围、期限和组织程序应当明确；</w:t>
      </w:r>
    </w:p>
    <w:p>
      <w:pPr>
        <w:pStyle w:val="5"/>
        <w:keepNext w:val="0"/>
        <w:keepLines w:val="0"/>
        <w:widowControl/>
        <w:suppressLineNumbers w:val="0"/>
        <w:spacing w:before="0" w:beforeAutospacing="0" w:after="0" w:afterAutospacing="0" w:line="576" w:lineRule="atLeast"/>
        <w:ind w:right="0"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i w:val="0"/>
          <w:caps w:val="0"/>
          <w:color w:val="333333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  <w:t>(4)对会计资料定期进行内部审计的办法和程序应当明确。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tLeast"/>
        <w:ind w:left="0" w:leftChars="0" w:right="0" w:rightChars="0" w:firstLine="640" w:firstLineChars="200"/>
        <w:textAlignment w:val="auto"/>
        <w:outlineLvl w:val="9"/>
        <w:rPr>
          <w:rFonts w:hint="eastAsia" w:ascii="楷体" w:hAnsi="楷体" w:eastAsia="楷体" w:cs="Times New Roman"/>
          <w:b/>
          <w:bCs/>
          <w:sz w:val="32"/>
          <w:szCs w:val="32"/>
          <w:u w:val="none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u w:val="none"/>
          <w:lang w:val="en-US" w:eastAsia="zh-CN"/>
        </w:rPr>
        <w:t>7.加强宣传培训调研等。加强人员培训，提高本单位职工业务素质；加强调研，提出优化财政资金配置、提高资金使用效益的意见；加大宣传力度，强化预算绩效管理意识，促进预算绩效管理水平进一步提升。</w:t>
      </w:r>
    </w:p>
    <w:p>
      <w:pPr>
        <w:ind w:firstLine="643" w:firstLineChars="200"/>
        <w:jc w:val="left"/>
        <w:rPr>
          <w:rFonts w:hint="eastAsia" w:ascii="黑体" w:hAnsi="黑体" w:eastAsia="黑体" w:cs="黑体"/>
          <w:b/>
          <w:sz w:val="32"/>
          <w:szCs w:val="32"/>
        </w:rPr>
      </w:pPr>
      <w:r>
        <w:rPr>
          <w:rFonts w:hint="eastAsia" w:ascii="楷体" w:hAnsi="楷体" w:eastAsia="楷体" w:cs="Times New Roman"/>
          <w:b/>
          <w:bCs/>
          <w:sz w:val="32"/>
          <w:szCs w:val="32"/>
          <w:u w:val="none"/>
        </w:rPr>
        <w:t>第二部分 预算项目绩效目标</w:t>
      </w:r>
    </w:p>
    <w:p>
      <w:pPr>
        <w:spacing w:line="14" w:lineRule="exact"/>
        <w:ind w:firstLine="420" w:firstLineChars="200"/>
        <w:jc w:val="center"/>
        <w:rPr>
          <w:rFonts w:hAnsi="宋体"/>
          <w:b w:val="0"/>
          <w:bCs w:val="0"/>
        </w:rPr>
      </w:pPr>
      <w:r>
        <w:rPr>
          <w:rFonts w:ascii="方正书宋_GBK" w:eastAsia="方正书宋_GBK"/>
          <w:b w:val="0"/>
          <w:bCs w:val="0"/>
        </w:rPr>
        <w:t xml:space="preserve"> </w:t>
      </w:r>
    </w:p>
    <w:p>
      <w:pPr>
        <w:spacing w:line="14" w:lineRule="exact"/>
        <w:ind w:firstLine="420" w:firstLineChars="200"/>
        <w:jc w:val="center"/>
        <w:rPr>
          <w:rFonts w:ascii="方正仿宋_GBK" w:hAnsi="方正仿宋_GBK" w:eastAsia="方正仿宋_GBK" w:cs="方正仿宋_GBK"/>
          <w:color w:val="000000"/>
          <w:sz w:val="28"/>
        </w:rPr>
      </w:pPr>
      <w:r>
        <w:rPr>
          <w:rFonts w:ascii="方正书宋_GBK" w:eastAsia="方正书宋_GBK"/>
          <w:b w:val="0"/>
          <w:bCs w:val="0"/>
        </w:rPr>
        <w:t xml:space="preserve"> </w:t>
      </w:r>
      <w:bookmarkStart w:id="0" w:name="_Toc_4_4_0000000055"/>
    </w:p>
    <w:p>
      <w:pPr>
        <w:spacing w:before="0" w:after="0"/>
        <w:ind w:firstLine="560" w:firstLineChars="200"/>
        <w:jc w:val="left"/>
        <w:outlineLvl w:val="3"/>
        <w:rPr>
          <w:rFonts w:ascii="方正仿宋_GBK" w:hAnsi="方正仿宋_GBK" w:eastAsia="方正仿宋_GBK" w:cs="方正仿宋_GBK"/>
          <w:color w:val="000000"/>
          <w:sz w:val="28"/>
        </w:rPr>
      </w:pPr>
      <w:r>
        <w:rPr>
          <w:rFonts w:ascii="方正仿宋_GBK" w:hAnsi="方正仿宋_GBK" w:eastAsia="方正仿宋_GBK" w:cs="方正仿宋_GBK"/>
          <w:color w:val="000000"/>
          <w:sz w:val="28"/>
        </w:rPr>
        <w:t>2022年义务教育公用经费中央部分（冀财教[2021]130号）绩效目标表</w:t>
      </w:r>
      <w:bookmarkEnd w:id="0"/>
    </w:p>
    <w:p>
      <w:pPr>
        <w:spacing w:before="0" w:after="0"/>
        <w:ind w:firstLine="560" w:firstLineChars="200"/>
        <w:jc w:val="left"/>
        <w:outlineLvl w:val="3"/>
        <w:rPr>
          <w:rFonts w:ascii="方正仿宋_GBK" w:hAnsi="方正仿宋_GBK" w:eastAsia="方正仿宋_GBK" w:cs="方正仿宋_GBK"/>
          <w:color w:val="000000"/>
          <w:sz w:val="28"/>
        </w:rPr>
      </w:pPr>
    </w:p>
    <w:tbl>
      <w:tblPr>
        <w:tblStyle w:val="6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81" w:type="dxa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noWrap w:val="0"/>
            <w:vAlign w:val="center"/>
          </w:tcPr>
          <w:p>
            <w:pPr>
              <w:rPr>
                <w:b/>
                <w:bCs/>
              </w:rPr>
            </w:pPr>
          </w:p>
          <w:p>
            <w:pPr>
              <w:rPr>
                <w:b/>
                <w:bCs/>
              </w:rPr>
            </w:pPr>
            <w:r>
              <w:rPr>
                <w:b/>
                <w:bCs/>
              </w:rPr>
              <w:t>360009赞皇县西街小学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noWrap w:val="0"/>
            <w:vAlign w:val="top"/>
          </w:tcPr>
          <w:p/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noWrap w:val="0"/>
            <w:vAlign w:val="top"/>
          </w:tcPr>
          <w:p/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noWrap w:val="0"/>
            <w:vAlign w:val="top"/>
          </w:tcPr>
          <w:p/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noWrap w:val="0"/>
            <w:vAlign w:val="center"/>
          </w:tcPr>
          <w:p>
            <w:pPr>
              <w:pStyle w:val="12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noWrap w:val="0"/>
            <w:vAlign w:val="center"/>
          </w:tcPr>
          <w:p>
            <w:pPr>
              <w:pStyle w:val="13"/>
            </w:pPr>
            <w:r>
              <w:t>项目编码</w:t>
            </w:r>
          </w:p>
        </w:tc>
        <w:tc>
          <w:tcPr>
            <w:tcW w:w="1327" w:type="dxa"/>
            <w:noWrap w:val="0"/>
            <w:vAlign w:val="center"/>
          </w:tcPr>
          <w:p>
            <w:pPr>
              <w:pStyle w:val="14"/>
            </w:pPr>
            <w:r>
              <w:t>13012922P00819010004X</w:t>
            </w:r>
          </w:p>
        </w:tc>
        <w:tc>
          <w:tcPr>
            <w:tcW w:w="1327" w:type="dxa"/>
            <w:noWrap w:val="0"/>
            <w:vAlign w:val="top"/>
          </w:tcPr>
          <w:p/>
        </w:tc>
        <w:tc>
          <w:tcPr>
            <w:tcW w:w="1327" w:type="dxa"/>
            <w:noWrap w:val="0"/>
            <w:vAlign w:val="center"/>
          </w:tcPr>
          <w:p>
            <w:pPr>
              <w:pStyle w:val="13"/>
            </w:pPr>
            <w:r>
              <w:t>项目名称</w:t>
            </w:r>
          </w:p>
        </w:tc>
        <w:tc>
          <w:tcPr>
            <w:tcW w:w="1327" w:type="dxa"/>
            <w:noWrap w:val="0"/>
            <w:vAlign w:val="center"/>
          </w:tcPr>
          <w:p>
            <w:pPr>
              <w:pStyle w:val="14"/>
            </w:pPr>
            <w:r>
              <w:t>2022年义务教育公用经费中央部分（冀财教[2021]130号）</w:t>
            </w:r>
          </w:p>
        </w:tc>
        <w:tc>
          <w:tcPr>
            <w:tcW w:w="1327" w:type="dxa"/>
            <w:noWrap w:val="0"/>
            <w:vAlign w:val="top"/>
          </w:tcPr>
          <w:p/>
        </w:tc>
        <w:tc>
          <w:tcPr>
            <w:tcW w:w="1327" w:type="dxa"/>
            <w:noWrap w:val="0"/>
            <w:vAlign w:val="top"/>
          </w:tcPr>
          <w:p/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noWrap w:val="0"/>
            <w:vAlign w:val="center"/>
          </w:tcPr>
          <w:p>
            <w:pPr>
              <w:pStyle w:val="13"/>
            </w:pPr>
            <w:r>
              <w:t>预算规模及资金用途</w:t>
            </w:r>
          </w:p>
        </w:tc>
        <w:tc>
          <w:tcPr>
            <w:tcW w:w="1327" w:type="dxa"/>
            <w:noWrap w:val="0"/>
            <w:vAlign w:val="center"/>
          </w:tcPr>
          <w:p>
            <w:pPr>
              <w:pStyle w:val="13"/>
            </w:pPr>
            <w:r>
              <w:t>预算数</w:t>
            </w:r>
          </w:p>
        </w:tc>
        <w:tc>
          <w:tcPr>
            <w:tcW w:w="1327" w:type="dxa"/>
            <w:noWrap w:val="0"/>
            <w:vAlign w:val="center"/>
          </w:tcPr>
          <w:p>
            <w:pPr>
              <w:pStyle w:val="14"/>
            </w:pPr>
            <w:r>
              <w:t>40.70</w:t>
            </w:r>
          </w:p>
        </w:tc>
        <w:tc>
          <w:tcPr>
            <w:tcW w:w="1327" w:type="dxa"/>
            <w:noWrap w:val="0"/>
            <w:vAlign w:val="center"/>
          </w:tcPr>
          <w:p>
            <w:pPr>
              <w:pStyle w:val="13"/>
            </w:pPr>
            <w:r>
              <w:t>其中：财政    资金</w:t>
            </w:r>
          </w:p>
        </w:tc>
        <w:tc>
          <w:tcPr>
            <w:tcW w:w="1327" w:type="dxa"/>
            <w:noWrap w:val="0"/>
            <w:vAlign w:val="center"/>
          </w:tcPr>
          <w:p>
            <w:pPr>
              <w:pStyle w:val="14"/>
            </w:pPr>
            <w:r>
              <w:t>40.70</w:t>
            </w:r>
          </w:p>
        </w:tc>
        <w:tc>
          <w:tcPr>
            <w:tcW w:w="1327" w:type="dxa"/>
            <w:noWrap w:val="0"/>
            <w:vAlign w:val="center"/>
          </w:tcPr>
          <w:p>
            <w:pPr>
              <w:pStyle w:val="13"/>
            </w:pPr>
            <w:r>
              <w:t>其他资金</w:t>
            </w:r>
          </w:p>
        </w:tc>
        <w:tc>
          <w:tcPr>
            <w:tcW w:w="1327" w:type="dxa"/>
            <w:noWrap w:val="0"/>
            <w:vAlign w:val="center"/>
          </w:tcPr>
          <w:p>
            <w:pPr>
              <w:pStyle w:val="14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noWrap w:val="0"/>
            <w:vAlign w:val="top"/>
          </w:tcPr>
          <w:p/>
        </w:tc>
        <w:tc>
          <w:tcPr>
            <w:tcW w:w="6635" w:type="dxa"/>
            <w:gridSpan w:val="5"/>
            <w:noWrap w:val="0"/>
            <w:vAlign w:val="center"/>
          </w:tcPr>
          <w:p>
            <w:r>
              <w:t>保障学校正常运转</w:t>
            </w:r>
          </w:p>
        </w:tc>
        <w:tc>
          <w:tcPr>
            <w:tcW w:w="1327" w:type="dxa"/>
            <w:noWrap w:val="0"/>
            <w:vAlign w:val="top"/>
          </w:tcPr>
          <w:p/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noWrap w:val="0"/>
            <w:vAlign w:val="center"/>
          </w:tcPr>
          <w:p>
            <w:pPr>
              <w:pStyle w:val="13"/>
            </w:pPr>
            <w:r>
              <w:t>资金支出计划（%）</w:t>
            </w:r>
          </w:p>
        </w:tc>
        <w:tc>
          <w:tcPr>
            <w:tcW w:w="1327" w:type="dxa"/>
            <w:noWrap w:val="0"/>
            <w:vAlign w:val="center"/>
          </w:tcPr>
          <w:p>
            <w:pPr>
              <w:pStyle w:val="13"/>
            </w:pPr>
            <w:r>
              <w:t>3月底</w:t>
            </w:r>
          </w:p>
        </w:tc>
        <w:tc>
          <w:tcPr>
            <w:tcW w:w="1327" w:type="dxa"/>
            <w:noWrap w:val="0"/>
            <w:vAlign w:val="top"/>
          </w:tcPr>
          <w:p/>
        </w:tc>
        <w:tc>
          <w:tcPr>
            <w:tcW w:w="1327" w:type="dxa"/>
            <w:noWrap w:val="0"/>
            <w:vAlign w:val="center"/>
          </w:tcPr>
          <w:p>
            <w:pPr>
              <w:pStyle w:val="13"/>
            </w:pPr>
            <w:r>
              <w:t>6月底</w:t>
            </w:r>
          </w:p>
        </w:tc>
        <w:tc>
          <w:tcPr>
            <w:tcW w:w="1327" w:type="dxa"/>
            <w:noWrap w:val="0"/>
            <w:vAlign w:val="center"/>
          </w:tcPr>
          <w:p>
            <w:pPr>
              <w:pStyle w:val="13"/>
            </w:pPr>
            <w:r>
              <w:t>10月底</w:t>
            </w:r>
          </w:p>
        </w:tc>
        <w:tc>
          <w:tcPr>
            <w:tcW w:w="1327" w:type="dxa"/>
            <w:noWrap w:val="0"/>
            <w:vAlign w:val="center"/>
          </w:tcPr>
          <w:p>
            <w:pPr>
              <w:pStyle w:val="13"/>
            </w:pPr>
            <w:r>
              <w:t>12月底</w:t>
            </w:r>
          </w:p>
        </w:tc>
        <w:tc>
          <w:tcPr>
            <w:tcW w:w="1327" w:type="dxa"/>
            <w:noWrap w:val="0"/>
            <w:vAlign w:val="top"/>
          </w:tcPr>
          <w:p/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noWrap w:val="0"/>
            <w:vAlign w:val="top"/>
          </w:tcPr>
          <w:p/>
        </w:tc>
        <w:tc>
          <w:tcPr>
            <w:tcW w:w="1327" w:type="dxa"/>
            <w:noWrap w:val="0"/>
            <w:vAlign w:val="center"/>
          </w:tcPr>
          <w:p>
            <w:pPr>
              <w:pStyle w:val="15"/>
            </w:pPr>
            <w:r>
              <w:t>30%</w:t>
            </w:r>
          </w:p>
        </w:tc>
        <w:tc>
          <w:tcPr>
            <w:tcW w:w="1327" w:type="dxa"/>
            <w:noWrap w:val="0"/>
            <w:vAlign w:val="top"/>
          </w:tcPr>
          <w:p/>
        </w:tc>
        <w:tc>
          <w:tcPr>
            <w:tcW w:w="1327" w:type="dxa"/>
            <w:noWrap w:val="0"/>
            <w:vAlign w:val="center"/>
          </w:tcPr>
          <w:p>
            <w:pPr>
              <w:pStyle w:val="15"/>
            </w:pPr>
            <w:r>
              <w:t>60%</w:t>
            </w:r>
          </w:p>
        </w:tc>
        <w:tc>
          <w:tcPr>
            <w:tcW w:w="1327" w:type="dxa"/>
            <w:noWrap w:val="0"/>
            <w:vAlign w:val="center"/>
          </w:tcPr>
          <w:p>
            <w:pPr>
              <w:pStyle w:val="15"/>
            </w:pPr>
            <w:r>
              <w:t>90%</w:t>
            </w:r>
          </w:p>
        </w:tc>
        <w:tc>
          <w:tcPr>
            <w:tcW w:w="1327" w:type="dxa"/>
            <w:noWrap w:val="0"/>
            <w:vAlign w:val="center"/>
          </w:tcPr>
          <w:p>
            <w:pPr>
              <w:pStyle w:val="15"/>
            </w:pPr>
            <w:r>
              <w:t>100%</w:t>
            </w:r>
          </w:p>
        </w:tc>
        <w:tc>
          <w:tcPr>
            <w:tcW w:w="1327" w:type="dxa"/>
            <w:noWrap w:val="0"/>
            <w:vAlign w:val="top"/>
          </w:tcPr>
          <w:p/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noWrap w:val="0"/>
            <w:vAlign w:val="center"/>
          </w:tcPr>
          <w:p>
            <w:pPr>
              <w:pStyle w:val="13"/>
            </w:pPr>
            <w:r>
              <w:t>绩效目标</w:t>
            </w:r>
          </w:p>
        </w:tc>
        <w:tc>
          <w:tcPr>
            <w:tcW w:w="6635" w:type="dxa"/>
            <w:gridSpan w:val="5"/>
            <w:noWrap w:val="0"/>
            <w:vAlign w:val="center"/>
          </w:tcPr>
          <w:p>
            <w:r>
              <w:t>1.保障义务教育学校正常发展</w:t>
            </w:r>
          </w:p>
        </w:tc>
        <w:tc>
          <w:tcPr>
            <w:tcW w:w="1327" w:type="dxa"/>
            <w:noWrap w:val="0"/>
            <w:vAlign w:val="top"/>
          </w:tcPr>
          <w:p/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6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noWrap w:val="0"/>
            <w:vAlign w:val="center"/>
          </w:tcPr>
          <w:p>
            <w:pPr>
              <w:pStyle w:val="13"/>
            </w:pPr>
            <w:r>
              <w:t>一级指标</w:t>
            </w:r>
          </w:p>
        </w:tc>
        <w:tc>
          <w:tcPr>
            <w:tcW w:w="1327" w:type="dxa"/>
            <w:noWrap w:val="0"/>
            <w:vAlign w:val="center"/>
          </w:tcPr>
          <w:p>
            <w:pPr>
              <w:pStyle w:val="13"/>
            </w:pPr>
            <w:r>
              <w:t>二级指标</w:t>
            </w:r>
          </w:p>
        </w:tc>
        <w:tc>
          <w:tcPr>
            <w:tcW w:w="1327" w:type="dxa"/>
            <w:noWrap w:val="0"/>
            <w:vAlign w:val="center"/>
          </w:tcPr>
          <w:p>
            <w:pPr>
              <w:pStyle w:val="13"/>
            </w:pPr>
            <w:r>
              <w:t>三级指标</w:t>
            </w:r>
          </w:p>
        </w:tc>
        <w:tc>
          <w:tcPr>
            <w:tcW w:w="1327" w:type="dxa"/>
            <w:noWrap w:val="0"/>
            <w:vAlign w:val="center"/>
          </w:tcPr>
          <w:p>
            <w:pPr>
              <w:pStyle w:val="13"/>
            </w:pPr>
            <w:r>
              <w:t>绩效指标描述</w:t>
            </w:r>
          </w:p>
        </w:tc>
        <w:tc>
          <w:tcPr>
            <w:tcW w:w="1327" w:type="dxa"/>
            <w:noWrap w:val="0"/>
            <w:vAlign w:val="top"/>
          </w:tcPr>
          <w:p/>
        </w:tc>
        <w:tc>
          <w:tcPr>
            <w:tcW w:w="1327" w:type="dxa"/>
            <w:noWrap w:val="0"/>
            <w:vAlign w:val="center"/>
          </w:tcPr>
          <w:p>
            <w:pPr>
              <w:pStyle w:val="13"/>
            </w:pPr>
            <w:r>
              <w:t>指标值</w:t>
            </w:r>
          </w:p>
        </w:tc>
        <w:tc>
          <w:tcPr>
            <w:tcW w:w="1327" w:type="dxa"/>
            <w:noWrap w:val="0"/>
            <w:vAlign w:val="center"/>
          </w:tcPr>
          <w:p>
            <w:pPr>
              <w:pStyle w:val="13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noWrap w:val="0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327" w:type="dxa"/>
            <w:noWrap w:val="0"/>
            <w:vAlign w:val="center"/>
          </w:tcPr>
          <w:p>
            <w:pPr>
              <w:pStyle w:val="14"/>
            </w:pPr>
            <w:r>
              <w:t>数量指标</w:t>
            </w:r>
          </w:p>
        </w:tc>
        <w:tc>
          <w:tcPr>
            <w:tcW w:w="1327" w:type="dxa"/>
            <w:noWrap w:val="0"/>
            <w:vAlign w:val="center"/>
          </w:tcPr>
          <w:p>
            <w:pPr>
              <w:pStyle w:val="14"/>
            </w:pPr>
            <w:r>
              <w:t>拨付标准</w:t>
            </w:r>
          </w:p>
        </w:tc>
        <w:tc>
          <w:tcPr>
            <w:tcW w:w="1327" w:type="dxa"/>
            <w:noWrap w:val="0"/>
            <w:vAlign w:val="center"/>
          </w:tcPr>
          <w:p>
            <w:pPr>
              <w:pStyle w:val="14"/>
            </w:pPr>
            <w:r>
              <w:t>按文件精神足额拨付学生生均经费</w:t>
            </w:r>
          </w:p>
        </w:tc>
        <w:tc>
          <w:tcPr>
            <w:tcW w:w="1327" w:type="dxa"/>
            <w:noWrap w:val="0"/>
            <w:vAlign w:val="center"/>
          </w:tcPr>
          <w:p/>
        </w:tc>
        <w:tc>
          <w:tcPr>
            <w:tcW w:w="1327" w:type="dxa"/>
            <w:noWrap w:val="0"/>
            <w:vAlign w:val="center"/>
          </w:tcPr>
          <w:p>
            <w:pPr>
              <w:pStyle w:val="14"/>
            </w:pPr>
            <w:r>
              <w:t>735元/人</w:t>
            </w:r>
          </w:p>
        </w:tc>
        <w:tc>
          <w:tcPr>
            <w:tcW w:w="1327" w:type="dxa"/>
            <w:noWrap w:val="0"/>
            <w:vAlign w:val="center"/>
          </w:tcPr>
          <w:p>
            <w:pPr>
              <w:pStyle w:val="14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noWrap w:val="0"/>
            <w:vAlign w:val="center"/>
          </w:tcPr>
          <w:p/>
        </w:tc>
        <w:tc>
          <w:tcPr>
            <w:tcW w:w="1327" w:type="dxa"/>
            <w:noWrap w:val="0"/>
            <w:vAlign w:val="center"/>
          </w:tcPr>
          <w:p>
            <w:pPr>
              <w:pStyle w:val="14"/>
            </w:pPr>
            <w:r>
              <w:t>质量指标</w:t>
            </w:r>
          </w:p>
        </w:tc>
        <w:tc>
          <w:tcPr>
            <w:tcW w:w="1327" w:type="dxa"/>
            <w:noWrap w:val="0"/>
            <w:vAlign w:val="center"/>
          </w:tcPr>
          <w:p>
            <w:pPr>
              <w:pStyle w:val="14"/>
            </w:pPr>
            <w:r>
              <w:t>运转保障率</w:t>
            </w:r>
          </w:p>
        </w:tc>
        <w:tc>
          <w:tcPr>
            <w:tcW w:w="1327" w:type="dxa"/>
            <w:noWrap w:val="0"/>
            <w:vAlign w:val="center"/>
          </w:tcPr>
          <w:p>
            <w:pPr>
              <w:pStyle w:val="14"/>
            </w:pPr>
            <w:r>
              <w:t>各项日常工作保障率</w:t>
            </w:r>
          </w:p>
        </w:tc>
        <w:tc>
          <w:tcPr>
            <w:tcW w:w="1327" w:type="dxa"/>
            <w:noWrap w:val="0"/>
            <w:vAlign w:val="center"/>
          </w:tcPr>
          <w:p/>
        </w:tc>
        <w:tc>
          <w:tcPr>
            <w:tcW w:w="1327" w:type="dxa"/>
            <w:noWrap w:val="0"/>
            <w:vAlign w:val="center"/>
          </w:tcPr>
          <w:p>
            <w:pPr>
              <w:pStyle w:val="14"/>
            </w:pPr>
            <w:r>
              <w:t>100%</w:t>
            </w:r>
          </w:p>
        </w:tc>
        <w:tc>
          <w:tcPr>
            <w:tcW w:w="1327" w:type="dxa"/>
            <w:noWrap w:val="0"/>
            <w:vAlign w:val="center"/>
          </w:tcPr>
          <w:p>
            <w:pPr>
              <w:pStyle w:val="14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noWrap w:val="0"/>
            <w:vAlign w:val="center"/>
          </w:tcPr>
          <w:p/>
        </w:tc>
        <w:tc>
          <w:tcPr>
            <w:tcW w:w="1327" w:type="dxa"/>
            <w:noWrap w:val="0"/>
            <w:vAlign w:val="center"/>
          </w:tcPr>
          <w:p>
            <w:pPr>
              <w:pStyle w:val="14"/>
            </w:pPr>
            <w:r>
              <w:t>时效指标</w:t>
            </w:r>
          </w:p>
        </w:tc>
        <w:tc>
          <w:tcPr>
            <w:tcW w:w="1327" w:type="dxa"/>
            <w:noWrap w:val="0"/>
            <w:vAlign w:val="center"/>
          </w:tcPr>
          <w:p>
            <w:pPr>
              <w:pStyle w:val="14"/>
            </w:pPr>
            <w:r>
              <w:t>经费保障及时性</w:t>
            </w:r>
          </w:p>
        </w:tc>
        <w:tc>
          <w:tcPr>
            <w:tcW w:w="1327" w:type="dxa"/>
            <w:noWrap w:val="0"/>
            <w:vAlign w:val="center"/>
          </w:tcPr>
          <w:p>
            <w:pPr>
              <w:pStyle w:val="14"/>
            </w:pPr>
            <w:r>
              <w:t>及时保障各项日常办公需要</w:t>
            </w:r>
          </w:p>
        </w:tc>
        <w:tc>
          <w:tcPr>
            <w:tcW w:w="1327" w:type="dxa"/>
            <w:noWrap w:val="0"/>
            <w:vAlign w:val="center"/>
          </w:tcPr>
          <w:p/>
        </w:tc>
        <w:tc>
          <w:tcPr>
            <w:tcW w:w="1327" w:type="dxa"/>
            <w:noWrap w:val="0"/>
            <w:vAlign w:val="center"/>
          </w:tcPr>
          <w:p>
            <w:pPr>
              <w:pStyle w:val="14"/>
            </w:pPr>
            <w:r>
              <w:t>及时保障</w:t>
            </w:r>
          </w:p>
        </w:tc>
        <w:tc>
          <w:tcPr>
            <w:tcW w:w="1327" w:type="dxa"/>
            <w:noWrap w:val="0"/>
            <w:vAlign w:val="center"/>
          </w:tcPr>
          <w:p>
            <w:pPr>
              <w:pStyle w:val="14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noWrap w:val="0"/>
            <w:vAlign w:val="center"/>
          </w:tcPr>
          <w:p/>
        </w:tc>
        <w:tc>
          <w:tcPr>
            <w:tcW w:w="1327" w:type="dxa"/>
            <w:noWrap w:val="0"/>
            <w:vAlign w:val="center"/>
          </w:tcPr>
          <w:p>
            <w:pPr>
              <w:pStyle w:val="14"/>
            </w:pPr>
            <w:r>
              <w:t>成本指标</w:t>
            </w:r>
          </w:p>
        </w:tc>
        <w:tc>
          <w:tcPr>
            <w:tcW w:w="1327" w:type="dxa"/>
            <w:noWrap w:val="0"/>
            <w:vAlign w:val="center"/>
          </w:tcPr>
          <w:p>
            <w:pPr>
              <w:pStyle w:val="14"/>
            </w:pPr>
            <w:r>
              <w:t>日常公用经费支出</w:t>
            </w:r>
          </w:p>
        </w:tc>
        <w:tc>
          <w:tcPr>
            <w:tcW w:w="1327" w:type="dxa"/>
            <w:noWrap w:val="0"/>
            <w:vAlign w:val="center"/>
          </w:tcPr>
          <w:p>
            <w:pPr>
              <w:pStyle w:val="14"/>
            </w:pPr>
            <w:r>
              <w:t>办公费、水电费及其他公用经费的支出</w:t>
            </w:r>
          </w:p>
        </w:tc>
        <w:tc>
          <w:tcPr>
            <w:tcW w:w="1327" w:type="dxa"/>
            <w:noWrap w:val="0"/>
            <w:vAlign w:val="center"/>
          </w:tcPr>
          <w:p/>
        </w:tc>
        <w:tc>
          <w:tcPr>
            <w:tcW w:w="1327" w:type="dxa"/>
            <w:noWrap w:val="0"/>
            <w:vAlign w:val="center"/>
          </w:tcPr>
          <w:p>
            <w:pPr>
              <w:pStyle w:val="14"/>
            </w:pPr>
            <w:r>
              <w:t>按统一规定执行</w:t>
            </w:r>
          </w:p>
        </w:tc>
        <w:tc>
          <w:tcPr>
            <w:tcW w:w="1327" w:type="dxa"/>
            <w:noWrap w:val="0"/>
            <w:vAlign w:val="center"/>
          </w:tcPr>
          <w:p>
            <w:pPr>
              <w:pStyle w:val="14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noWrap w:val="0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327" w:type="dxa"/>
            <w:noWrap w:val="0"/>
            <w:vAlign w:val="center"/>
          </w:tcPr>
          <w:p>
            <w:pPr>
              <w:pStyle w:val="14"/>
            </w:pPr>
            <w:r>
              <w:t>社会效益指标</w:t>
            </w:r>
          </w:p>
        </w:tc>
        <w:tc>
          <w:tcPr>
            <w:tcW w:w="1327" w:type="dxa"/>
            <w:noWrap w:val="0"/>
            <w:vAlign w:val="center"/>
          </w:tcPr>
          <w:p>
            <w:pPr>
              <w:pStyle w:val="14"/>
            </w:pPr>
            <w:r>
              <w:t>保障日常办公需要，维持学校正常运转</w:t>
            </w:r>
          </w:p>
        </w:tc>
        <w:tc>
          <w:tcPr>
            <w:tcW w:w="1327" w:type="dxa"/>
            <w:noWrap w:val="0"/>
            <w:vAlign w:val="center"/>
          </w:tcPr>
          <w:p>
            <w:pPr>
              <w:pStyle w:val="14"/>
            </w:pPr>
            <w:r>
              <w:t>保障日常办公需要，维持学校正常运转</w:t>
            </w:r>
          </w:p>
        </w:tc>
        <w:tc>
          <w:tcPr>
            <w:tcW w:w="1327" w:type="dxa"/>
            <w:noWrap w:val="0"/>
            <w:vAlign w:val="center"/>
          </w:tcPr>
          <w:p/>
        </w:tc>
        <w:tc>
          <w:tcPr>
            <w:tcW w:w="1327" w:type="dxa"/>
            <w:noWrap w:val="0"/>
            <w:vAlign w:val="center"/>
          </w:tcPr>
          <w:p>
            <w:pPr>
              <w:pStyle w:val="14"/>
            </w:pPr>
            <w:r>
              <w:t>维持学校正常运转</w:t>
            </w:r>
          </w:p>
        </w:tc>
        <w:tc>
          <w:tcPr>
            <w:tcW w:w="1327" w:type="dxa"/>
            <w:noWrap w:val="0"/>
            <w:vAlign w:val="center"/>
          </w:tcPr>
          <w:p>
            <w:pPr>
              <w:pStyle w:val="14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noWrap w:val="0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327" w:type="dxa"/>
            <w:noWrap w:val="0"/>
            <w:vAlign w:val="center"/>
          </w:tcPr>
          <w:p>
            <w:pPr>
              <w:pStyle w:val="14"/>
            </w:pPr>
            <w:r>
              <w:t>服务对象满意度指标</w:t>
            </w:r>
          </w:p>
        </w:tc>
        <w:tc>
          <w:tcPr>
            <w:tcW w:w="1327" w:type="dxa"/>
            <w:noWrap w:val="0"/>
            <w:vAlign w:val="center"/>
          </w:tcPr>
          <w:p>
            <w:pPr>
              <w:pStyle w:val="14"/>
            </w:pPr>
            <w:r>
              <w:t>师生满意度</w:t>
            </w:r>
          </w:p>
        </w:tc>
        <w:tc>
          <w:tcPr>
            <w:tcW w:w="1327" w:type="dxa"/>
            <w:noWrap w:val="0"/>
            <w:vAlign w:val="center"/>
          </w:tcPr>
          <w:p>
            <w:pPr>
              <w:pStyle w:val="14"/>
            </w:pPr>
            <w:r>
              <w:rPr>
                <w:sz w:val="18"/>
                <w:szCs w:val="18"/>
              </w:rPr>
              <w:t>满意师生人数占被调查师生总数的比例</w:t>
            </w:r>
          </w:p>
        </w:tc>
        <w:tc>
          <w:tcPr>
            <w:tcW w:w="1327" w:type="dxa"/>
            <w:noWrap w:val="0"/>
            <w:vAlign w:val="center"/>
          </w:tcPr>
          <w:p/>
        </w:tc>
        <w:tc>
          <w:tcPr>
            <w:tcW w:w="1327" w:type="dxa"/>
            <w:noWrap w:val="0"/>
            <w:vAlign w:val="center"/>
          </w:tcPr>
          <w:p>
            <w:pPr>
              <w:pStyle w:val="14"/>
            </w:pPr>
            <w:r>
              <w:t>≥98%</w:t>
            </w:r>
          </w:p>
        </w:tc>
        <w:tc>
          <w:tcPr>
            <w:tcW w:w="1327" w:type="dxa"/>
            <w:noWrap w:val="0"/>
            <w:vAlign w:val="center"/>
          </w:tcPr>
          <w:p>
            <w:pPr>
              <w:pStyle w:val="14"/>
            </w:pPr>
            <w:r>
              <w:t>年度工作计划</w:t>
            </w:r>
          </w:p>
        </w:tc>
      </w:tr>
    </w:tbl>
    <w:p>
      <w:pPr>
        <w:numPr>
          <w:ilvl w:val="0"/>
          <w:numId w:val="0"/>
        </w:numPr>
        <w:adjustRightInd w:val="0"/>
        <w:spacing w:line="580" w:lineRule="exact"/>
        <w:contextualSpacing/>
        <w:rPr>
          <w:rFonts w:hint="eastAsia" w:ascii="黑体" w:hAnsi="黑体" w:eastAsia="黑体" w:cs="黑体"/>
          <w:b/>
          <w:sz w:val="32"/>
          <w:szCs w:val="32"/>
          <w:lang w:eastAsia="zh-CN"/>
        </w:rPr>
        <w:sectPr>
          <w:pgSz w:w="11906" w:h="16838"/>
          <w:pgMar w:top="1418" w:right="1418" w:bottom="1418" w:left="1304" w:header="851" w:footer="992" w:gutter="0"/>
          <w:cols w:space="425" w:num="1"/>
          <w:docGrid w:type="lines" w:linePitch="312" w:charSpace="0"/>
        </w:sectPr>
      </w:pPr>
    </w:p>
    <w:p>
      <w:pPr>
        <w:ind w:firstLine="640" w:firstLineChars="200"/>
        <w:rPr>
          <w:rFonts w:ascii="黑体" w:hAnsi="黑体" w:eastAsia="黑体" w:cs="Times New Roman"/>
          <w:b w:val="0"/>
          <w:bCs w:val="0"/>
          <w:sz w:val="32"/>
          <w:szCs w:val="32"/>
          <w:u w:val="none"/>
        </w:rPr>
      </w:pPr>
      <w:r>
        <w:rPr>
          <w:rFonts w:hint="eastAsia" w:ascii="黑体" w:hAnsi="黑体" w:eastAsia="黑体" w:cs="Times New Roman"/>
          <w:b w:val="0"/>
          <w:bCs w:val="0"/>
          <w:sz w:val="32"/>
          <w:szCs w:val="32"/>
          <w:u w:val="none"/>
        </w:rPr>
        <w:t>六、政府采购预算情况</w:t>
      </w:r>
    </w:p>
    <w:p>
      <w:pPr>
        <w:ind w:firstLine="640" w:firstLineChars="200"/>
        <w:rPr>
          <w:rFonts w:hint="eastAsia" w:ascii="仿宋" w:hAnsi="仿宋" w:eastAsia="仿宋"/>
          <w:b w:val="0"/>
          <w:bCs w:val="0"/>
          <w:sz w:val="32"/>
          <w:szCs w:val="32"/>
          <w:u w:val="none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u w:val="none"/>
          <w:lang w:eastAsia="zh-CN"/>
        </w:rPr>
        <w:t>2022</w:t>
      </w:r>
      <w:r>
        <w:rPr>
          <w:rFonts w:hint="eastAsia" w:ascii="仿宋" w:hAnsi="仿宋" w:eastAsia="仿宋"/>
          <w:b w:val="0"/>
          <w:bCs w:val="0"/>
          <w:sz w:val="32"/>
          <w:szCs w:val="32"/>
          <w:u w:val="none"/>
        </w:rPr>
        <w:t>年，我</w:t>
      </w:r>
      <w:r>
        <w:rPr>
          <w:rFonts w:hint="eastAsia" w:ascii="仿宋" w:hAnsi="仿宋" w:eastAsia="仿宋"/>
          <w:b w:val="0"/>
          <w:bCs w:val="0"/>
          <w:sz w:val="32"/>
          <w:szCs w:val="32"/>
          <w:u w:val="none"/>
          <w:lang w:eastAsia="zh-CN"/>
        </w:rPr>
        <w:t>单位</w:t>
      </w:r>
      <w:r>
        <w:rPr>
          <w:rFonts w:hint="eastAsia" w:ascii="仿宋" w:hAnsi="仿宋" w:eastAsia="仿宋"/>
          <w:b w:val="0"/>
          <w:bCs w:val="0"/>
          <w:sz w:val="32"/>
          <w:szCs w:val="32"/>
          <w:u w:val="none"/>
        </w:rPr>
        <w:t xml:space="preserve">安排政府采购预算 </w:t>
      </w:r>
      <w:r>
        <w:rPr>
          <w:rFonts w:hint="eastAsia" w:ascii="仿宋" w:hAnsi="仿宋" w:eastAsia="仿宋"/>
          <w:b w:val="0"/>
          <w:bCs w:val="0"/>
          <w:sz w:val="32"/>
          <w:szCs w:val="32"/>
          <w:u w:val="none"/>
          <w:lang w:val="en-US" w:eastAsia="zh-CN"/>
        </w:rPr>
        <w:t>0</w:t>
      </w:r>
      <w:r>
        <w:rPr>
          <w:rFonts w:hint="eastAsia" w:ascii="仿宋" w:hAnsi="仿宋" w:eastAsia="仿宋"/>
          <w:b w:val="0"/>
          <w:bCs w:val="0"/>
          <w:sz w:val="32"/>
          <w:szCs w:val="32"/>
          <w:u w:val="none"/>
        </w:rPr>
        <w:t>万元。具体内容见下表。</w:t>
      </w:r>
    </w:p>
    <w:p>
      <w:pPr>
        <w:spacing w:line="540" w:lineRule="exact"/>
        <w:jc w:val="center"/>
        <w:outlineLvl w:val="0"/>
        <w:rPr>
          <w:rFonts w:hint="eastAsia" w:ascii="方正小标宋_GBK" w:hAnsi="Times New Roman" w:eastAsia="方正小标宋_GBK" w:cs="Times New Roman"/>
          <w:b w:val="0"/>
          <w:bCs w:val="0"/>
          <w:sz w:val="32"/>
          <w:szCs w:val="24"/>
          <w:u w:val="none"/>
        </w:rPr>
      </w:pPr>
      <w:r>
        <w:rPr>
          <w:rFonts w:hint="eastAsia" w:ascii="方正小标宋_GBK" w:hAnsi="Times New Roman" w:eastAsia="方正小标宋_GBK"/>
          <w:b w:val="0"/>
          <w:bCs w:val="0"/>
          <w:sz w:val="32"/>
          <w:szCs w:val="24"/>
          <w:u w:val="none"/>
          <w:lang w:eastAsia="zh-CN"/>
        </w:rPr>
        <w:t>单位</w:t>
      </w:r>
      <w:r>
        <w:rPr>
          <w:rFonts w:hint="eastAsia" w:ascii="方正小标宋_GBK" w:hAnsi="Times New Roman" w:eastAsia="方正小标宋_GBK"/>
          <w:b w:val="0"/>
          <w:bCs w:val="0"/>
          <w:sz w:val="32"/>
          <w:szCs w:val="24"/>
          <w:u w:val="none"/>
        </w:rPr>
        <w:t>政府采购预算</w:t>
      </w:r>
    </w:p>
    <w:tbl>
      <w:tblPr>
        <w:tblStyle w:val="6"/>
        <w:tblW w:w="14402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48"/>
        <w:gridCol w:w="1099"/>
        <w:gridCol w:w="974"/>
        <w:gridCol w:w="986"/>
        <w:gridCol w:w="760"/>
        <w:gridCol w:w="760"/>
        <w:gridCol w:w="848"/>
        <w:gridCol w:w="782"/>
        <w:gridCol w:w="1140"/>
        <w:gridCol w:w="961"/>
        <w:gridCol w:w="961"/>
        <w:gridCol w:w="964"/>
        <w:gridCol w:w="964"/>
        <w:gridCol w:w="755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7875" w:type="dxa"/>
            <w:gridSpan w:val="7"/>
            <w:tcBorders>
              <w:top w:val="single" w:color="FFFFFF" w:sz="6" w:space="0"/>
              <w:left w:val="single" w:color="FFFFFF" w:sz="6" w:space="0"/>
              <w:bottom w:val="single" w:color="000000" w:sz="6" w:space="0"/>
              <w:right w:val="single" w:color="FFFFFF" w:sz="6" w:space="0"/>
            </w:tcBorders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default" w:ascii="方正小标宋_GBK" w:eastAsia="方正小标宋_GBK" w:cs="Times New Roman"/>
                <w:b w:val="0"/>
                <w:bCs w:val="0"/>
                <w:sz w:val="24"/>
                <w:u w:val="none"/>
                <w:lang w:val="en-US" w:eastAsia="zh-CN"/>
              </w:rPr>
            </w:pPr>
            <w:r>
              <w:rPr>
                <w:rFonts w:hint="eastAsia" w:ascii="方正小标宋_GBK" w:eastAsia="方正小标宋_GBK"/>
                <w:b w:val="0"/>
                <w:bCs w:val="0"/>
                <w:sz w:val="24"/>
                <w:u w:val="none"/>
              </w:rPr>
              <w:t>3</w:t>
            </w:r>
            <w:r>
              <w:rPr>
                <w:rFonts w:hint="eastAsia" w:ascii="方正小标宋_GBK" w:eastAsia="方正小标宋_GBK"/>
                <w:b w:val="0"/>
                <w:bCs w:val="0"/>
                <w:sz w:val="24"/>
                <w:u w:val="none"/>
                <w:lang w:val="en-US" w:eastAsia="zh-CN"/>
              </w:rPr>
              <w:t>60009赞皇县西街小学</w:t>
            </w:r>
          </w:p>
        </w:tc>
        <w:tc>
          <w:tcPr>
            <w:tcW w:w="6527" w:type="dxa"/>
            <w:gridSpan w:val="7"/>
            <w:tcBorders>
              <w:top w:val="single" w:color="FFFFFF" w:sz="6" w:space="0"/>
              <w:left w:val="single" w:color="FFFFFF" w:sz="6" w:space="0"/>
              <w:bottom w:val="single" w:color="000000" w:sz="6" w:space="0"/>
              <w:right w:val="single" w:color="FFFFFF" w:sz="6" w:space="0"/>
            </w:tcBorders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 w:cs="Times New Roman"/>
                <w:b w:val="0"/>
                <w:bCs w:val="0"/>
                <w:sz w:val="24"/>
                <w:u w:val="none"/>
              </w:rPr>
            </w:pPr>
            <w:r>
              <w:rPr>
                <w:rFonts w:hint="eastAsia" w:ascii="方正书宋_GBK" w:eastAsia="方正书宋_GBK"/>
                <w:b w:val="0"/>
                <w:bCs w:val="0"/>
                <w:sz w:val="24"/>
                <w:u w:val="none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3547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  <w:r>
              <w:rPr>
                <w:rFonts w:hint="eastAsia" w:ascii="方正书宋_GBK" w:eastAsia="方正书宋_GBK"/>
                <w:b w:val="0"/>
                <w:bCs w:val="0"/>
                <w:u w:val="none"/>
              </w:rPr>
              <w:t>政府采购项目来源</w:t>
            </w:r>
          </w:p>
        </w:tc>
        <w:tc>
          <w:tcPr>
            <w:tcW w:w="974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  <w:r>
              <w:rPr>
                <w:rFonts w:hint="eastAsia" w:ascii="方正书宋_GBK" w:eastAsia="方正书宋_GBK"/>
                <w:b w:val="0"/>
                <w:bCs w:val="0"/>
                <w:u w:val="none"/>
              </w:rPr>
              <w:t>采购物品名称</w:t>
            </w:r>
          </w:p>
        </w:tc>
        <w:tc>
          <w:tcPr>
            <w:tcW w:w="986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  <w:r>
              <w:rPr>
                <w:rFonts w:hint="eastAsia" w:ascii="方正书宋_GBK" w:eastAsia="方正书宋_GBK"/>
                <w:b w:val="0"/>
                <w:bCs w:val="0"/>
                <w:u w:val="none"/>
              </w:rPr>
              <w:t>政府采购目录序号</w:t>
            </w:r>
          </w:p>
        </w:tc>
        <w:tc>
          <w:tcPr>
            <w:tcW w:w="76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  <w:r>
              <w:rPr>
                <w:rFonts w:hint="eastAsia" w:ascii="方正书宋_GBK" w:eastAsia="方正书宋_GBK"/>
                <w:b w:val="0"/>
                <w:bCs w:val="0"/>
                <w:u w:val="none"/>
              </w:rPr>
              <w:t>数量  单位</w:t>
            </w:r>
          </w:p>
        </w:tc>
        <w:tc>
          <w:tcPr>
            <w:tcW w:w="76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  <w:r>
              <w:rPr>
                <w:rFonts w:hint="eastAsia" w:ascii="方正书宋_GBK" w:eastAsia="方正书宋_GBK"/>
                <w:b w:val="0"/>
                <w:bCs w:val="0"/>
                <w:u w:val="none"/>
              </w:rPr>
              <w:t>数量</w:t>
            </w:r>
          </w:p>
        </w:tc>
        <w:tc>
          <w:tcPr>
            <w:tcW w:w="848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  <w:r>
              <w:rPr>
                <w:rFonts w:hint="eastAsia" w:ascii="方正书宋_GBK" w:eastAsia="方正书宋_GBK"/>
                <w:b w:val="0"/>
                <w:bCs w:val="0"/>
                <w:u w:val="none"/>
              </w:rPr>
              <w:t>单价</w:t>
            </w:r>
          </w:p>
        </w:tc>
        <w:tc>
          <w:tcPr>
            <w:tcW w:w="6527" w:type="dxa"/>
            <w:gridSpan w:val="7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  <w:r>
              <w:rPr>
                <w:rFonts w:hint="eastAsia" w:ascii="方正书宋_GBK" w:eastAsia="方正书宋_GBK"/>
                <w:b w:val="0"/>
                <w:bCs w:val="0"/>
                <w:u w:val="none"/>
              </w:rPr>
              <w:t>政府采购金额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2448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  <w:r>
              <w:rPr>
                <w:rFonts w:hint="eastAsia" w:ascii="方正书宋_GBK" w:eastAsia="方正书宋_GBK"/>
                <w:b w:val="0"/>
                <w:bCs w:val="0"/>
                <w:u w:val="none"/>
              </w:rPr>
              <w:t>项目名称</w:t>
            </w:r>
          </w:p>
        </w:tc>
        <w:tc>
          <w:tcPr>
            <w:tcW w:w="1099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  <w:r>
              <w:rPr>
                <w:rFonts w:hint="eastAsia" w:ascii="方正书宋_GBK" w:eastAsia="方正书宋_GBK"/>
                <w:b w:val="0"/>
                <w:bCs w:val="0"/>
                <w:u w:val="none"/>
              </w:rPr>
              <w:t>预算资金</w:t>
            </w:r>
          </w:p>
        </w:tc>
        <w:tc>
          <w:tcPr>
            <w:tcW w:w="974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</w:p>
        </w:tc>
        <w:tc>
          <w:tcPr>
            <w:tcW w:w="98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</w:p>
        </w:tc>
        <w:tc>
          <w:tcPr>
            <w:tcW w:w="7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</w:p>
        </w:tc>
        <w:tc>
          <w:tcPr>
            <w:tcW w:w="7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</w:p>
        </w:tc>
        <w:tc>
          <w:tcPr>
            <w:tcW w:w="848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</w:p>
        </w:tc>
        <w:tc>
          <w:tcPr>
            <w:tcW w:w="782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  <w:r>
              <w:rPr>
                <w:rFonts w:hint="eastAsia" w:ascii="方正书宋_GBK" w:eastAsia="方正书宋_GBK"/>
                <w:b w:val="0"/>
                <w:bCs w:val="0"/>
                <w:u w:val="none"/>
              </w:rPr>
              <w:t>总计</w:t>
            </w:r>
          </w:p>
        </w:tc>
        <w:tc>
          <w:tcPr>
            <w:tcW w:w="4990" w:type="dxa"/>
            <w:gridSpan w:val="5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  <w:r>
              <w:rPr>
                <w:rFonts w:hint="eastAsia" w:ascii="方正书宋_GBK" w:eastAsia="方正书宋_GBK"/>
                <w:b w:val="0"/>
                <w:bCs w:val="0"/>
                <w:u w:val="none"/>
              </w:rPr>
              <w:t>当年</w:t>
            </w:r>
            <w:r>
              <w:rPr>
                <w:rFonts w:hint="eastAsia" w:ascii="方正书宋_GBK" w:eastAsia="方正书宋_GBK"/>
                <w:b w:val="0"/>
                <w:bCs w:val="0"/>
                <w:u w:val="none"/>
                <w:lang w:eastAsia="zh-CN"/>
              </w:rPr>
              <w:t>单位</w:t>
            </w:r>
            <w:r>
              <w:rPr>
                <w:rFonts w:hint="eastAsia" w:ascii="方正书宋_GBK" w:eastAsia="方正书宋_GBK"/>
                <w:b w:val="0"/>
                <w:bCs w:val="0"/>
                <w:u w:val="none"/>
              </w:rPr>
              <w:t>预算安排资金</w:t>
            </w:r>
          </w:p>
        </w:tc>
        <w:tc>
          <w:tcPr>
            <w:tcW w:w="755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  <w:r>
              <w:rPr>
                <w:rFonts w:hint="eastAsia" w:ascii="方正书宋_GBK" w:eastAsia="方正书宋_GBK"/>
                <w:b w:val="0"/>
                <w:bCs w:val="0"/>
                <w:u w:val="none"/>
              </w:rPr>
              <w:t>其他渠道资金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blHeader/>
          <w:jc w:val="center"/>
        </w:trPr>
        <w:tc>
          <w:tcPr>
            <w:tcW w:w="2448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</w:p>
        </w:tc>
        <w:tc>
          <w:tcPr>
            <w:tcW w:w="1099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</w:p>
        </w:tc>
        <w:tc>
          <w:tcPr>
            <w:tcW w:w="974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</w:p>
        </w:tc>
        <w:tc>
          <w:tcPr>
            <w:tcW w:w="98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</w:p>
        </w:tc>
        <w:tc>
          <w:tcPr>
            <w:tcW w:w="7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</w:p>
        </w:tc>
        <w:tc>
          <w:tcPr>
            <w:tcW w:w="7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</w:p>
        </w:tc>
        <w:tc>
          <w:tcPr>
            <w:tcW w:w="848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</w:p>
        </w:tc>
        <w:tc>
          <w:tcPr>
            <w:tcW w:w="782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</w:p>
        </w:tc>
        <w:tc>
          <w:tcPr>
            <w:tcW w:w="114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  <w:r>
              <w:rPr>
                <w:rFonts w:hint="eastAsia" w:ascii="方正书宋_GBK" w:eastAsia="方正书宋_GBK"/>
                <w:b w:val="0"/>
                <w:bCs w:val="0"/>
                <w:u w:val="none"/>
              </w:rPr>
              <w:t>合计</w:t>
            </w:r>
          </w:p>
        </w:tc>
        <w:tc>
          <w:tcPr>
            <w:tcW w:w="9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  <w:r>
              <w:rPr>
                <w:rFonts w:hint="eastAsia" w:ascii="方正书宋_GBK" w:eastAsia="方正书宋_GBK"/>
                <w:b w:val="0"/>
                <w:bCs w:val="0"/>
                <w:u w:val="none"/>
              </w:rPr>
              <w:t>一般公共预算拨款</w:t>
            </w:r>
          </w:p>
        </w:tc>
        <w:tc>
          <w:tcPr>
            <w:tcW w:w="9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  <w:r>
              <w:rPr>
                <w:rFonts w:hint="eastAsia" w:ascii="方正书宋_GBK" w:eastAsia="方正书宋_GBK"/>
                <w:b w:val="0"/>
                <w:bCs w:val="0"/>
                <w:u w:val="none"/>
              </w:rPr>
              <w:t>基金预算拨款</w:t>
            </w:r>
          </w:p>
        </w:tc>
        <w:tc>
          <w:tcPr>
            <w:tcW w:w="96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  <w:r>
              <w:rPr>
                <w:rFonts w:hint="eastAsia" w:ascii="方正书宋_GBK" w:eastAsia="方正书宋_GBK"/>
                <w:b w:val="0"/>
                <w:bCs w:val="0"/>
                <w:u w:val="none"/>
              </w:rPr>
              <w:t>财政专户核拨</w:t>
            </w:r>
          </w:p>
        </w:tc>
        <w:tc>
          <w:tcPr>
            <w:tcW w:w="96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  <w:r>
              <w:rPr>
                <w:rFonts w:hint="eastAsia" w:ascii="方正书宋_GBK" w:eastAsia="方正书宋_GBK"/>
                <w:b w:val="0"/>
                <w:bCs w:val="0"/>
                <w:u w:val="none"/>
              </w:rPr>
              <w:t>其他来源收入</w:t>
            </w:r>
          </w:p>
        </w:tc>
        <w:tc>
          <w:tcPr>
            <w:tcW w:w="755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244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  <w:r>
              <w:rPr>
                <w:rFonts w:hint="eastAsia" w:ascii="方正书宋_GBK" w:eastAsia="方正书宋_GBK"/>
                <w:b w:val="0"/>
                <w:bCs w:val="0"/>
                <w:u w:val="none"/>
              </w:rPr>
              <w:t>合　计</w:t>
            </w:r>
          </w:p>
        </w:tc>
        <w:tc>
          <w:tcPr>
            <w:tcW w:w="10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</w:p>
        </w:tc>
        <w:tc>
          <w:tcPr>
            <w:tcW w:w="97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</w:p>
        </w:tc>
        <w:tc>
          <w:tcPr>
            <w:tcW w:w="98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</w:p>
        </w:tc>
        <w:tc>
          <w:tcPr>
            <w:tcW w:w="7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</w:p>
        </w:tc>
        <w:tc>
          <w:tcPr>
            <w:tcW w:w="7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</w:p>
        </w:tc>
        <w:tc>
          <w:tcPr>
            <w:tcW w:w="84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</w:p>
        </w:tc>
        <w:tc>
          <w:tcPr>
            <w:tcW w:w="78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</w:p>
        </w:tc>
        <w:tc>
          <w:tcPr>
            <w:tcW w:w="114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</w:p>
        </w:tc>
        <w:tc>
          <w:tcPr>
            <w:tcW w:w="9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</w:p>
        </w:tc>
        <w:tc>
          <w:tcPr>
            <w:tcW w:w="9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</w:p>
        </w:tc>
        <w:tc>
          <w:tcPr>
            <w:tcW w:w="96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</w:p>
        </w:tc>
        <w:tc>
          <w:tcPr>
            <w:tcW w:w="96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</w:p>
        </w:tc>
        <w:tc>
          <w:tcPr>
            <w:tcW w:w="75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244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方正书宋_GBK" w:eastAsia="方正书宋_GBK"/>
                <w:b w:val="0"/>
                <w:bCs w:val="0"/>
                <w:u w:val="none"/>
              </w:rPr>
            </w:pPr>
            <w:r>
              <w:rPr>
                <w:rFonts w:hint="eastAsia" w:ascii="方正书宋_GBK" w:eastAsia="方正书宋_GBK"/>
                <w:b w:val="0"/>
                <w:bCs w:val="0"/>
                <w:u w:val="none"/>
              </w:rPr>
              <w:t>项目1</w:t>
            </w:r>
          </w:p>
        </w:tc>
        <w:tc>
          <w:tcPr>
            <w:tcW w:w="10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</w:p>
        </w:tc>
        <w:tc>
          <w:tcPr>
            <w:tcW w:w="97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</w:p>
        </w:tc>
        <w:tc>
          <w:tcPr>
            <w:tcW w:w="98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</w:p>
        </w:tc>
        <w:tc>
          <w:tcPr>
            <w:tcW w:w="7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</w:p>
        </w:tc>
        <w:tc>
          <w:tcPr>
            <w:tcW w:w="7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</w:p>
        </w:tc>
        <w:tc>
          <w:tcPr>
            <w:tcW w:w="84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</w:p>
        </w:tc>
        <w:tc>
          <w:tcPr>
            <w:tcW w:w="78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</w:p>
        </w:tc>
        <w:tc>
          <w:tcPr>
            <w:tcW w:w="114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</w:p>
        </w:tc>
        <w:tc>
          <w:tcPr>
            <w:tcW w:w="9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</w:p>
        </w:tc>
        <w:tc>
          <w:tcPr>
            <w:tcW w:w="9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</w:p>
        </w:tc>
        <w:tc>
          <w:tcPr>
            <w:tcW w:w="96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</w:p>
        </w:tc>
        <w:tc>
          <w:tcPr>
            <w:tcW w:w="96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</w:p>
        </w:tc>
        <w:tc>
          <w:tcPr>
            <w:tcW w:w="75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244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方正书宋_GBK" w:eastAsia="方正书宋_GBK"/>
                <w:b w:val="0"/>
                <w:bCs w:val="0"/>
                <w:u w:val="none"/>
              </w:rPr>
            </w:pPr>
            <w:r>
              <w:rPr>
                <w:rFonts w:hint="eastAsia" w:ascii="方正书宋_GBK" w:eastAsia="方正书宋_GBK"/>
                <w:b w:val="0"/>
                <w:bCs w:val="0"/>
                <w:u w:val="none"/>
              </w:rPr>
              <w:t>项目2</w:t>
            </w:r>
          </w:p>
        </w:tc>
        <w:tc>
          <w:tcPr>
            <w:tcW w:w="10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</w:p>
        </w:tc>
        <w:tc>
          <w:tcPr>
            <w:tcW w:w="97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</w:p>
        </w:tc>
        <w:tc>
          <w:tcPr>
            <w:tcW w:w="98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</w:p>
        </w:tc>
        <w:tc>
          <w:tcPr>
            <w:tcW w:w="7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</w:p>
        </w:tc>
        <w:tc>
          <w:tcPr>
            <w:tcW w:w="7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</w:p>
        </w:tc>
        <w:tc>
          <w:tcPr>
            <w:tcW w:w="84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</w:p>
        </w:tc>
        <w:tc>
          <w:tcPr>
            <w:tcW w:w="78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</w:p>
        </w:tc>
        <w:tc>
          <w:tcPr>
            <w:tcW w:w="114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</w:p>
        </w:tc>
        <w:tc>
          <w:tcPr>
            <w:tcW w:w="9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</w:p>
        </w:tc>
        <w:tc>
          <w:tcPr>
            <w:tcW w:w="9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</w:p>
        </w:tc>
        <w:tc>
          <w:tcPr>
            <w:tcW w:w="96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</w:p>
        </w:tc>
        <w:tc>
          <w:tcPr>
            <w:tcW w:w="96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</w:p>
        </w:tc>
        <w:tc>
          <w:tcPr>
            <w:tcW w:w="75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 w:cs="Times New Roman"/>
                <w:b w:val="0"/>
                <w:bCs w:val="0"/>
                <w:u w:val="none"/>
              </w:rPr>
            </w:pPr>
          </w:p>
        </w:tc>
      </w:tr>
    </w:tbl>
    <w:p>
      <w:pPr>
        <w:numPr>
          <w:ilvl w:val="0"/>
          <w:numId w:val="0"/>
        </w:numPr>
        <w:adjustRightInd w:val="0"/>
        <w:spacing w:line="580" w:lineRule="exact"/>
        <w:ind w:leftChars="200" w:firstLine="640" w:firstLineChars="200"/>
        <w:contextualSpacing/>
        <w:rPr>
          <w:rFonts w:hint="eastAsia" w:ascii="黑体" w:hAnsi="黑体" w:eastAsia="黑体" w:cs="黑体"/>
          <w:b/>
          <w:sz w:val="32"/>
          <w:szCs w:val="32"/>
          <w:lang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</w:rPr>
        <w:t>注：无政府采购预算</w:t>
      </w:r>
      <w:r>
        <w:rPr>
          <w:rFonts w:hint="eastAsia" w:ascii="仿宋" w:hAnsi="仿宋" w:eastAsia="仿宋"/>
          <w:b w:val="0"/>
          <w:bCs w:val="0"/>
          <w:sz w:val="32"/>
          <w:szCs w:val="32"/>
          <w:lang w:eastAsia="zh-CN"/>
        </w:rPr>
        <w:t>支出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，空表列示。</w:t>
      </w:r>
    </w:p>
    <w:p>
      <w:pPr>
        <w:numPr>
          <w:ilvl w:val="0"/>
          <w:numId w:val="0"/>
        </w:numPr>
        <w:adjustRightInd w:val="0"/>
        <w:spacing w:line="580" w:lineRule="exact"/>
        <w:ind w:leftChars="200" w:firstLine="643" w:firstLineChars="200"/>
        <w:contextualSpacing/>
        <w:rPr>
          <w:rFonts w:hint="eastAsia" w:ascii="黑体" w:hAnsi="黑体" w:eastAsia="黑体" w:cs="黑体"/>
          <w:b/>
          <w:sz w:val="32"/>
          <w:szCs w:val="32"/>
          <w:lang w:eastAsia="zh-CN"/>
        </w:rPr>
        <w:sectPr>
          <w:pgSz w:w="16838" w:h="11906" w:orient="landscape"/>
          <w:pgMar w:top="1304" w:right="1418" w:bottom="1418" w:left="1418" w:header="851" w:footer="992" w:gutter="0"/>
          <w:cols w:space="425" w:num="1"/>
          <w:docGrid w:type="lines" w:linePitch="312" w:charSpace="0"/>
        </w:sectPr>
      </w:pPr>
    </w:p>
    <w:p>
      <w:pPr>
        <w:numPr>
          <w:ilvl w:val="0"/>
          <w:numId w:val="0"/>
        </w:numPr>
        <w:adjustRightInd w:val="0"/>
        <w:spacing w:line="580" w:lineRule="exact"/>
        <w:ind w:firstLine="643" w:firstLineChars="200"/>
        <w:contextualSpacing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黑体" w:hAnsi="黑体" w:eastAsia="黑体" w:cs="黑体"/>
          <w:b/>
          <w:sz w:val="32"/>
          <w:szCs w:val="32"/>
          <w:lang w:eastAsia="zh-CN"/>
        </w:rPr>
        <w:t>七、</w:t>
      </w:r>
      <w:r>
        <w:rPr>
          <w:rFonts w:hint="eastAsia" w:ascii="黑体" w:hAnsi="黑体" w:eastAsia="黑体" w:cs="黑体"/>
          <w:b/>
          <w:sz w:val="32"/>
          <w:szCs w:val="32"/>
        </w:rPr>
        <w:t>国有资产信息</w:t>
      </w:r>
    </w:p>
    <w:p>
      <w:pPr>
        <w:ind w:firstLine="640"/>
        <w:rPr>
          <w:rFonts w:ascii="仿宋_GB2312" w:hAnsi="黑体" w:eastAsia="仿宋_GB2312" w:cs="Times New Roman"/>
          <w:b w:val="0"/>
          <w:bCs w:val="0"/>
          <w:sz w:val="32"/>
          <w:szCs w:val="32"/>
        </w:rPr>
      </w:pPr>
      <w:r>
        <w:rPr>
          <w:rFonts w:hint="eastAsia" w:ascii="仿宋_GB2312" w:hAnsi="黑体" w:eastAsia="仿宋_GB2312" w:cs="Times New Roman"/>
          <w:b w:val="0"/>
          <w:bCs w:val="0"/>
          <w:sz w:val="32"/>
          <w:szCs w:val="32"/>
        </w:rPr>
        <w:t>上年末固定资产金额为</w:t>
      </w:r>
      <w:r>
        <w:rPr>
          <w:rFonts w:hint="eastAsia" w:ascii="仿宋_GB2312" w:hAnsi="黑体" w:eastAsia="仿宋_GB2312" w:cs="Times New Roman"/>
          <w:b w:val="0"/>
          <w:bCs w:val="0"/>
          <w:sz w:val="32"/>
          <w:szCs w:val="32"/>
          <w:lang w:val="en-US" w:eastAsia="zh-CN"/>
        </w:rPr>
        <w:t>1033.09</w:t>
      </w:r>
      <w:r>
        <w:rPr>
          <w:rFonts w:hint="eastAsia" w:ascii="仿宋_GB2312" w:hAnsi="黑体" w:eastAsia="仿宋_GB2312" w:cs="Times New Roman"/>
          <w:b w:val="0"/>
          <w:bCs w:val="0"/>
          <w:sz w:val="32"/>
          <w:szCs w:val="32"/>
        </w:rPr>
        <w:t>万元（详见下表）。本年度拟购置的固定资产为0万元。</w:t>
      </w:r>
    </w:p>
    <w:tbl>
      <w:tblPr>
        <w:tblStyle w:val="6"/>
        <w:tblW w:w="0" w:type="auto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59"/>
        <w:gridCol w:w="2051"/>
        <w:gridCol w:w="319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</w:trPr>
        <w:tc>
          <w:tcPr>
            <w:tcW w:w="8804" w:type="dxa"/>
            <w:gridSpan w:val="3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 w:val="0"/>
                <w:bCs w:val="0"/>
                <w:kern w:val="0"/>
                <w:sz w:val="32"/>
                <w:szCs w:val="32"/>
              </w:rPr>
            </w:pPr>
            <w:r>
              <w:rPr>
                <w:rFonts w:hint="eastAsia" w:ascii="宋体" w:hAnsi="宋体" w:cs="宋体"/>
                <w:b w:val="0"/>
                <w:bCs w:val="0"/>
                <w:kern w:val="0"/>
                <w:sz w:val="32"/>
                <w:szCs w:val="32"/>
                <w:lang w:eastAsia="zh-CN"/>
              </w:rPr>
              <w:t>单位占用</w:t>
            </w:r>
            <w:r>
              <w:rPr>
                <w:rFonts w:hint="eastAsia" w:ascii="宋体" w:hAnsi="宋体" w:cs="宋体"/>
                <w:b w:val="0"/>
                <w:bCs w:val="0"/>
                <w:kern w:val="0"/>
                <w:sz w:val="32"/>
                <w:szCs w:val="32"/>
              </w:rPr>
              <w:t>固定资产占用情况表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610" w:type="dxa"/>
            <w:gridSpan w:val="2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 w:cs="宋体"/>
                <w:b w:val="0"/>
                <w:bCs w:val="0"/>
                <w:kern w:val="0"/>
                <w:sz w:val="22"/>
                <w:lang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kern w:val="0"/>
                <w:sz w:val="22"/>
              </w:rPr>
              <w:t>编制部门：</w:t>
            </w:r>
            <w:r>
              <w:rPr>
                <w:rFonts w:hint="eastAsia" w:ascii="宋体" w:hAnsi="宋体" w:cs="宋体"/>
                <w:b w:val="0"/>
                <w:bCs w:val="0"/>
                <w:kern w:val="0"/>
                <w:sz w:val="22"/>
                <w:lang w:eastAsia="zh-CN"/>
              </w:rPr>
              <w:t>赞皇县</w:t>
            </w:r>
            <w:r>
              <w:rPr>
                <w:rFonts w:hint="eastAsia" w:ascii="宋体" w:hAnsi="宋体" w:cs="宋体"/>
                <w:b w:val="0"/>
                <w:bCs w:val="0"/>
                <w:kern w:val="0"/>
                <w:sz w:val="22"/>
                <w:lang w:val="en-US" w:eastAsia="zh-CN"/>
              </w:rPr>
              <w:t>西街小学</w:t>
            </w:r>
          </w:p>
        </w:tc>
        <w:tc>
          <w:tcPr>
            <w:tcW w:w="3194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 w:val="0"/>
                <w:bCs w:val="0"/>
                <w:kern w:val="0"/>
                <w:sz w:val="22"/>
              </w:rPr>
            </w:pPr>
            <w:r>
              <w:rPr>
                <w:rFonts w:hint="eastAsia" w:ascii="宋体" w:hAnsi="宋体" w:cs="宋体"/>
                <w:b w:val="0"/>
                <w:bCs w:val="0"/>
                <w:kern w:val="0"/>
                <w:sz w:val="22"/>
              </w:rPr>
              <w:t>截止时间：20</w:t>
            </w:r>
            <w:r>
              <w:rPr>
                <w:rFonts w:hint="eastAsia" w:ascii="宋体" w:hAnsi="宋体" w:cs="宋体"/>
                <w:b w:val="0"/>
                <w:bCs w:val="0"/>
                <w:kern w:val="0"/>
                <w:sz w:val="22"/>
                <w:lang w:val="en-US" w:eastAsia="zh-CN"/>
              </w:rPr>
              <w:t>21</w:t>
            </w:r>
            <w:r>
              <w:rPr>
                <w:rFonts w:hint="eastAsia" w:ascii="宋体" w:hAnsi="宋体" w:cs="宋体"/>
                <w:b w:val="0"/>
                <w:bCs w:val="0"/>
                <w:kern w:val="0"/>
                <w:sz w:val="22"/>
              </w:rPr>
              <w:t xml:space="preserve">年12月31日 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3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 w:val="0"/>
                <w:bCs w:val="0"/>
                <w:kern w:val="0"/>
                <w:sz w:val="22"/>
              </w:rPr>
            </w:pPr>
            <w:r>
              <w:rPr>
                <w:rFonts w:hint="eastAsia" w:ascii="宋体" w:hAnsi="宋体" w:cs="宋体"/>
                <w:b w:val="0"/>
                <w:bCs w:val="0"/>
                <w:kern w:val="0"/>
                <w:sz w:val="22"/>
              </w:rPr>
              <w:t>项   目</w:t>
            </w:r>
          </w:p>
        </w:tc>
        <w:tc>
          <w:tcPr>
            <w:tcW w:w="20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 w:val="0"/>
                <w:bCs w:val="0"/>
                <w:kern w:val="0"/>
                <w:sz w:val="22"/>
              </w:rPr>
            </w:pPr>
            <w:r>
              <w:rPr>
                <w:rFonts w:hint="eastAsia" w:ascii="宋体" w:hAnsi="宋体" w:cs="宋体"/>
                <w:b w:val="0"/>
                <w:bCs w:val="0"/>
                <w:kern w:val="0"/>
                <w:sz w:val="22"/>
              </w:rPr>
              <w:t>数量</w:t>
            </w:r>
          </w:p>
        </w:tc>
        <w:tc>
          <w:tcPr>
            <w:tcW w:w="31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 w:val="0"/>
                <w:bCs w:val="0"/>
                <w:kern w:val="0"/>
                <w:sz w:val="22"/>
              </w:rPr>
            </w:pPr>
            <w:r>
              <w:rPr>
                <w:rFonts w:hint="eastAsia" w:ascii="宋体" w:hAnsi="宋体" w:cs="宋体"/>
                <w:b w:val="0"/>
                <w:bCs w:val="0"/>
                <w:kern w:val="0"/>
                <w:sz w:val="22"/>
              </w:rPr>
              <w:t>价值（金额单位：万元）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355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 w:val="0"/>
                <w:bCs w:val="0"/>
                <w:kern w:val="0"/>
                <w:sz w:val="22"/>
              </w:rPr>
            </w:pPr>
            <w:r>
              <w:rPr>
                <w:rFonts w:hint="eastAsia" w:ascii="宋体" w:hAnsi="宋体" w:cs="宋体"/>
                <w:b w:val="0"/>
                <w:bCs w:val="0"/>
                <w:kern w:val="0"/>
                <w:sz w:val="22"/>
              </w:rPr>
              <w:t>资产总额</w:t>
            </w:r>
          </w:p>
        </w:tc>
        <w:tc>
          <w:tcPr>
            <w:tcW w:w="20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 w:val="0"/>
                <w:bCs w:val="0"/>
                <w:kern w:val="0"/>
                <w:sz w:val="22"/>
              </w:rPr>
            </w:pPr>
            <w:r>
              <w:rPr>
                <w:rFonts w:hint="eastAsia" w:ascii="宋体" w:hAnsi="宋体" w:cs="宋体"/>
                <w:b w:val="0"/>
                <w:bCs w:val="0"/>
                <w:kern w:val="0"/>
                <w:sz w:val="22"/>
              </w:rPr>
              <w:t>——</w:t>
            </w:r>
          </w:p>
        </w:tc>
        <w:tc>
          <w:tcPr>
            <w:tcW w:w="31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宋体" w:hAnsi="宋体" w:eastAsia="宋体" w:cs="宋体"/>
                <w:b w:val="0"/>
                <w:bCs w:val="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kern w:val="0"/>
                <w:sz w:val="22"/>
                <w:lang w:val="en-US" w:eastAsia="zh-CN"/>
              </w:rPr>
              <w:t>1033.09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355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 w:val="0"/>
                <w:bCs w:val="0"/>
                <w:kern w:val="0"/>
                <w:sz w:val="22"/>
              </w:rPr>
            </w:pPr>
            <w:r>
              <w:rPr>
                <w:rFonts w:hint="eastAsia" w:ascii="宋体" w:hAnsi="宋体" w:cs="宋体"/>
                <w:b w:val="0"/>
                <w:bCs w:val="0"/>
                <w:kern w:val="0"/>
                <w:sz w:val="22"/>
              </w:rPr>
              <w:t>1</w:t>
            </w:r>
            <w:r>
              <w:rPr>
                <w:rFonts w:hint="eastAsia" w:ascii="宋体" w:hAnsi="宋体" w:cs="宋体"/>
                <w:b w:val="0"/>
                <w:bCs w:val="0"/>
                <w:kern w:val="0"/>
                <w:sz w:val="22"/>
                <w:lang w:val="en-US" w:eastAsia="zh-CN"/>
              </w:rPr>
              <w:t>.</w:t>
            </w:r>
            <w:r>
              <w:rPr>
                <w:rFonts w:hint="eastAsia" w:ascii="宋体" w:hAnsi="宋体" w:cs="宋体"/>
                <w:b w:val="0"/>
                <w:bCs w:val="0"/>
                <w:kern w:val="0"/>
                <w:sz w:val="22"/>
              </w:rPr>
              <w:t>房屋（平方米）</w:t>
            </w:r>
          </w:p>
        </w:tc>
        <w:tc>
          <w:tcPr>
            <w:tcW w:w="20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宋体" w:hAnsi="宋体" w:eastAsia="宋体" w:cs="宋体"/>
                <w:b w:val="0"/>
                <w:bCs w:val="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kern w:val="0"/>
                <w:sz w:val="22"/>
                <w:lang w:val="en-US" w:eastAsia="zh-CN"/>
              </w:rPr>
              <w:t>4032.32</w:t>
            </w:r>
          </w:p>
        </w:tc>
        <w:tc>
          <w:tcPr>
            <w:tcW w:w="31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宋体" w:hAnsi="宋体" w:eastAsia="宋体" w:cs="宋体"/>
                <w:b w:val="0"/>
                <w:bCs w:val="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kern w:val="0"/>
                <w:sz w:val="22"/>
                <w:lang w:val="en-US" w:eastAsia="zh-CN"/>
              </w:rPr>
              <w:t>621.91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355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 w:val="0"/>
                <w:bCs w:val="0"/>
                <w:kern w:val="0"/>
                <w:sz w:val="22"/>
              </w:rPr>
            </w:pPr>
            <w:r>
              <w:rPr>
                <w:rFonts w:hint="eastAsia" w:ascii="宋体" w:hAnsi="宋体" w:cs="宋体"/>
                <w:b w:val="0"/>
                <w:bCs w:val="0"/>
                <w:kern w:val="0"/>
                <w:sz w:val="22"/>
              </w:rPr>
              <w:t xml:space="preserve">  其中：办公用房（平方米）</w:t>
            </w:r>
          </w:p>
        </w:tc>
        <w:tc>
          <w:tcPr>
            <w:tcW w:w="20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宋体" w:hAnsi="宋体" w:eastAsia="宋体" w:cs="宋体"/>
                <w:b w:val="0"/>
                <w:bCs w:val="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kern w:val="0"/>
                <w:sz w:val="22"/>
                <w:lang w:val="en-US" w:eastAsia="zh-CN"/>
              </w:rPr>
              <w:t>220</w:t>
            </w:r>
          </w:p>
        </w:tc>
        <w:tc>
          <w:tcPr>
            <w:tcW w:w="31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宋体" w:hAnsi="宋体" w:eastAsia="宋体" w:cs="宋体"/>
                <w:b w:val="0"/>
                <w:bCs w:val="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kern w:val="0"/>
                <w:sz w:val="22"/>
                <w:lang w:val="en-US" w:eastAsia="zh-CN"/>
              </w:rPr>
              <w:t>17.6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355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 w:val="0"/>
                <w:bCs w:val="0"/>
                <w:kern w:val="0"/>
                <w:sz w:val="22"/>
              </w:rPr>
            </w:pPr>
            <w:r>
              <w:rPr>
                <w:rFonts w:hint="eastAsia" w:ascii="宋体" w:hAnsi="宋体" w:cs="宋体"/>
                <w:b w:val="0"/>
                <w:bCs w:val="0"/>
                <w:kern w:val="0"/>
                <w:sz w:val="22"/>
              </w:rPr>
              <w:t>2</w:t>
            </w:r>
            <w:r>
              <w:rPr>
                <w:rFonts w:hint="eastAsia" w:ascii="宋体" w:hAnsi="宋体" w:cs="宋体"/>
                <w:b w:val="0"/>
                <w:bCs w:val="0"/>
                <w:kern w:val="0"/>
                <w:sz w:val="22"/>
                <w:lang w:val="en-US" w:eastAsia="zh-CN"/>
              </w:rPr>
              <w:t>.</w:t>
            </w:r>
            <w:r>
              <w:rPr>
                <w:rFonts w:hint="eastAsia" w:ascii="宋体" w:hAnsi="宋体" w:cs="宋体"/>
                <w:b w:val="0"/>
                <w:bCs w:val="0"/>
                <w:kern w:val="0"/>
                <w:sz w:val="22"/>
              </w:rPr>
              <w:t>车辆（台、辆）</w:t>
            </w:r>
          </w:p>
        </w:tc>
        <w:tc>
          <w:tcPr>
            <w:tcW w:w="20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 w:val="0"/>
                <w:bCs w:val="0"/>
                <w:kern w:val="0"/>
                <w:sz w:val="22"/>
              </w:rPr>
            </w:pPr>
          </w:p>
        </w:tc>
        <w:tc>
          <w:tcPr>
            <w:tcW w:w="31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 w:val="0"/>
                <w:bCs w:val="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355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 w:val="0"/>
                <w:bCs w:val="0"/>
                <w:kern w:val="0"/>
                <w:sz w:val="22"/>
              </w:rPr>
            </w:pPr>
            <w:r>
              <w:rPr>
                <w:rFonts w:hint="eastAsia" w:ascii="宋体" w:hAnsi="宋体" w:cs="宋体"/>
                <w:b w:val="0"/>
                <w:bCs w:val="0"/>
                <w:kern w:val="0"/>
                <w:sz w:val="22"/>
              </w:rPr>
              <w:t>3</w:t>
            </w:r>
            <w:r>
              <w:rPr>
                <w:rFonts w:hint="eastAsia" w:ascii="宋体" w:hAnsi="宋体" w:cs="宋体"/>
                <w:b w:val="0"/>
                <w:bCs w:val="0"/>
                <w:kern w:val="0"/>
                <w:sz w:val="22"/>
                <w:lang w:val="en-US" w:eastAsia="zh-CN"/>
              </w:rPr>
              <w:t>.</w:t>
            </w:r>
            <w:r>
              <w:rPr>
                <w:rFonts w:hint="eastAsia" w:ascii="宋体" w:hAnsi="宋体" w:cs="宋体"/>
                <w:b w:val="0"/>
                <w:bCs w:val="0"/>
                <w:kern w:val="0"/>
                <w:sz w:val="22"/>
              </w:rPr>
              <w:t>单价在20万元以上设备</w:t>
            </w:r>
          </w:p>
        </w:tc>
        <w:tc>
          <w:tcPr>
            <w:tcW w:w="20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 w:val="0"/>
                <w:bCs w:val="0"/>
                <w:kern w:val="0"/>
                <w:sz w:val="22"/>
              </w:rPr>
            </w:pPr>
            <w:r>
              <w:rPr>
                <w:rFonts w:hint="eastAsia" w:ascii="宋体" w:hAnsi="宋体" w:cs="宋体"/>
                <w:b w:val="0"/>
                <w:bCs w:val="0"/>
                <w:kern w:val="0"/>
                <w:sz w:val="22"/>
              </w:rPr>
              <w:t>——</w:t>
            </w:r>
          </w:p>
        </w:tc>
        <w:tc>
          <w:tcPr>
            <w:tcW w:w="31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 w:val="0"/>
                <w:bCs w:val="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355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 w:val="0"/>
                <w:bCs w:val="0"/>
                <w:kern w:val="0"/>
                <w:sz w:val="22"/>
              </w:rPr>
            </w:pPr>
            <w:r>
              <w:rPr>
                <w:rFonts w:hint="eastAsia" w:ascii="宋体" w:hAnsi="宋体" w:cs="宋体"/>
                <w:b w:val="0"/>
                <w:bCs w:val="0"/>
                <w:kern w:val="0"/>
                <w:sz w:val="22"/>
              </w:rPr>
              <w:t>4</w:t>
            </w:r>
            <w:r>
              <w:rPr>
                <w:rFonts w:hint="eastAsia" w:ascii="宋体" w:hAnsi="宋体" w:cs="宋体"/>
                <w:b w:val="0"/>
                <w:bCs w:val="0"/>
                <w:kern w:val="0"/>
                <w:sz w:val="22"/>
                <w:lang w:val="en-US" w:eastAsia="zh-CN"/>
              </w:rPr>
              <w:t>.</w:t>
            </w:r>
            <w:r>
              <w:rPr>
                <w:rFonts w:hint="eastAsia" w:ascii="宋体" w:hAnsi="宋体" w:cs="宋体"/>
                <w:b w:val="0"/>
                <w:bCs w:val="0"/>
                <w:kern w:val="0"/>
                <w:sz w:val="22"/>
              </w:rPr>
              <w:t>其他固定资产</w:t>
            </w:r>
          </w:p>
        </w:tc>
        <w:tc>
          <w:tcPr>
            <w:tcW w:w="20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 w:val="0"/>
                <w:bCs w:val="0"/>
                <w:kern w:val="0"/>
                <w:sz w:val="22"/>
              </w:rPr>
            </w:pPr>
            <w:r>
              <w:rPr>
                <w:rFonts w:hint="eastAsia" w:ascii="宋体" w:hAnsi="宋体" w:cs="宋体"/>
                <w:b w:val="0"/>
                <w:bCs w:val="0"/>
                <w:kern w:val="0"/>
                <w:sz w:val="22"/>
              </w:rPr>
              <w:t>——</w:t>
            </w:r>
          </w:p>
        </w:tc>
        <w:tc>
          <w:tcPr>
            <w:tcW w:w="31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宋体" w:hAnsi="宋体" w:eastAsia="宋体" w:cs="宋体"/>
                <w:b w:val="0"/>
                <w:bCs w:val="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kern w:val="0"/>
                <w:sz w:val="22"/>
                <w:lang w:val="en-US" w:eastAsia="zh-CN"/>
              </w:rPr>
              <w:t>411.18</w:t>
            </w:r>
          </w:p>
        </w:tc>
      </w:tr>
    </w:tbl>
    <w:p>
      <w:pPr>
        <w:adjustRightInd w:val="0"/>
        <w:spacing w:line="580" w:lineRule="exact"/>
        <w:ind w:firstLine="643" w:firstLineChars="200"/>
        <w:contextualSpacing/>
        <w:rPr>
          <w:rFonts w:hint="eastAsia" w:ascii="仿宋" w:hAnsi="仿宋" w:eastAsia="仿宋" w:cs="仿宋"/>
          <w:b/>
          <w:sz w:val="32"/>
          <w:szCs w:val="32"/>
        </w:rPr>
      </w:pPr>
    </w:p>
    <w:p>
      <w:pPr>
        <w:numPr>
          <w:ilvl w:val="0"/>
          <w:numId w:val="0"/>
        </w:numPr>
        <w:adjustRightInd w:val="0"/>
        <w:spacing w:line="580" w:lineRule="exact"/>
        <w:ind w:leftChars="200"/>
        <w:contextualSpacing/>
        <w:rPr>
          <w:rFonts w:hint="eastAsia" w:ascii="黑体" w:hAnsi="黑体" w:eastAsia="黑体" w:cs="黑体"/>
          <w:b/>
          <w:sz w:val="32"/>
          <w:szCs w:val="32"/>
        </w:rPr>
      </w:pPr>
      <w:r>
        <w:rPr>
          <w:rFonts w:hint="eastAsia" w:ascii="黑体" w:hAnsi="黑体" w:eastAsia="黑体" w:cs="黑体"/>
          <w:b/>
          <w:sz w:val="32"/>
          <w:szCs w:val="32"/>
          <w:lang w:eastAsia="zh-CN"/>
        </w:rPr>
        <w:t>八、</w:t>
      </w:r>
      <w:r>
        <w:rPr>
          <w:rFonts w:hint="eastAsia" w:ascii="黑体" w:hAnsi="黑体" w:eastAsia="黑体" w:cs="黑体"/>
          <w:b/>
          <w:sz w:val="32"/>
          <w:szCs w:val="32"/>
        </w:rPr>
        <w:t>名词解释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360" w:lineRule="auto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1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.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一般预算收入：县级财政当年拨付的资金。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360" w:lineRule="auto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2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.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基本支出：为保障机构正常运转，完成日常工作任务，而发生的人员支出和公用支出。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360" w:lineRule="auto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  <w:u w:val="none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u w:val="none"/>
        </w:rPr>
        <w:t>3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u w:val="none"/>
          <w:lang w:eastAsia="zh-CN"/>
        </w:rPr>
        <w:t>.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u w:val="none"/>
        </w:rPr>
        <w:t>项目支出：是指在基本支出之外，为完成特定行政任务和事业发展目标，而发生的支出。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360" w:lineRule="auto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b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4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.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机关运行费：是指为保证行政单位（包括参照公务员管理的事业单位）运行，用于购买货物和服务的各项资金。主要包括：办公费、印刷费，水费、电费、邮电费、福利费、日常维修费、办公取暖费、办公物业服务费、公务车运行维护费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360" w:lineRule="auto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" w:eastAsia="仿宋_GB2312" w:cs="仿宋"/>
          <w:b w:val="0"/>
          <w:bCs w:val="0"/>
          <w:color w:val="333333"/>
          <w:sz w:val="32"/>
          <w:szCs w:val="32"/>
          <w:u w:val="none"/>
          <w:shd w:val="clear" w:color="auto" w:fill="FFFFFF"/>
          <w:lang w:val="en-US" w:eastAsia="zh-CN"/>
        </w:rPr>
      </w:pPr>
      <w:r>
        <w:rPr>
          <w:rFonts w:hint="eastAsia" w:ascii="仿宋_GB2312" w:hAnsi="仿宋" w:eastAsia="仿宋_GB2312" w:cs="仿宋"/>
          <w:b w:val="0"/>
          <w:bCs w:val="0"/>
          <w:color w:val="333333"/>
          <w:sz w:val="32"/>
          <w:szCs w:val="32"/>
          <w:u w:val="none"/>
          <w:shd w:val="clear" w:color="auto" w:fill="FFFFFF"/>
        </w:rPr>
        <w:t>5</w:t>
      </w:r>
      <w:r>
        <w:rPr>
          <w:rFonts w:hint="eastAsia" w:ascii="仿宋_GB2312" w:hAnsi="仿宋" w:eastAsia="仿宋_GB2312" w:cs="仿宋"/>
          <w:b w:val="0"/>
          <w:bCs w:val="0"/>
          <w:color w:val="333333"/>
          <w:sz w:val="32"/>
          <w:szCs w:val="32"/>
          <w:u w:val="none"/>
          <w:shd w:val="clear" w:color="auto" w:fill="FFFFFF"/>
          <w:lang w:val="en-US" w:eastAsia="zh-CN"/>
        </w:rPr>
        <w:t>.</w:t>
      </w:r>
      <w:r>
        <w:rPr>
          <w:rFonts w:hint="eastAsia" w:ascii="仿宋_GB2312" w:hAnsi="仿宋" w:eastAsia="仿宋_GB2312" w:cs="仿宋"/>
          <w:b w:val="0"/>
          <w:bCs w:val="0"/>
          <w:color w:val="333333"/>
          <w:sz w:val="32"/>
          <w:szCs w:val="32"/>
          <w:u w:val="none"/>
          <w:shd w:val="clear" w:color="auto" w:fill="FFFFFF"/>
        </w:rPr>
        <w:t>“两免一补”：“两免一补”是指在</w:t>
      </w:r>
      <w:r>
        <w:rPr>
          <w:rFonts w:hint="eastAsia" w:ascii="仿宋_GB2312" w:hAnsi="仿宋" w:eastAsia="仿宋_GB2312" w:cs="仿宋"/>
          <w:b w:val="0"/>
          <w:bCs w:val="0"/>
          <w:color w:val="333333"/>
          <w:sz w:val="32"/>
          <w:szCs w:val="32"/>
          <w:u w:val="none"/>
          <w:shd w:val="clear" w:color="auto" w:fill="FFFFFF"/>
          <w:lang w:val="en-US" w:eastAsia="zh-CN"/>
        </w:rPr>
        <w:t>对城乡义务教育学生（含民办学校学生）免除学杂费、免费提供教科书，对家庭经济困难学生发放生活补助。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360" w:lineRule="auto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" w:eastAsia="仿宋_GB2312" w:cs="仿宋"/>
          <w:b w:val="0"/>
          <w:bCs w:val="0"/>
          <w:color w:val="333333"/>
          <w:sz w:val="32"/>
          <w:szCs w:val="32"/>
          <w:u w:val="none"/>
          <w:shd w:val="clear" w:color="auto" w:fill="FFFFFF"/>
          <w:lang w:val="en-US" w:eastAsia="zh-CN"/>
        </w:rPr>
      </w:pPr>
      <w:r>
        <w:rPr>
          <w:rFonts w:hint="eastAsia" w:ascii="仿宋_GB2312" w:hAnsi="仿宋" w:eastAsia="仿宋_GB2312" w:cs="仿宋"/>
          <w:b w:val="0"/>
          <w:bCs w:val="0"/>
          <w:color w:val="333333"/>
          <w:sz w:val="32"/>
          <w:szCs w:val="32"/>
          <w:u w:val="none"/>
          <w:shd w:val="clear" w:color="auto" w:fill="FFFFFF"/>
          <w:lang w:val="en-US" w:eastAsia="zh-CN"/>
        </w:rPr>
        <w:t>6.</w:t>
      </w:r>
      <w:r>
        <w:rPr>
          <w:rFonts w:hint="default" w:ascii="仿宋_GB2312" w:hAnsi="仿宋" w:eastAsia="仿宋_GB2312" w:cs="仿宋"/>
          <w:b w:val="0"/>
          <w:bCs w:val="0"/>
          <w:color w:val="333333"/>
          <w:sz w:val="32"/>
          <w:szCs w:val="32"/>
          <w:u w:val="none"/>
          <w:shd w:val="clear" w:color="auto" w:fill="FFFFFF"/>
          <w:lang w:val="en-US" w:eastAsia="zh-CN"/>
        </w:rPr>
        <w:t>“</w:t>
      </w:r>
      <w:r>
        <w:rPr>
          <w:rFonts w:hint="eastAsia" w:ascii="仿宋_GB2312" w:hAnsi="仿宋" w:eastAsia="仿宋_GB2312" w:cs="仿宋"/>
          <w:b w:val="0"/>
          <w:bCs w:val="0"/>
          <w:color w:val="333333"/>
          <w:sz w:val="32"/>
          <w:szCs w:val="32"/>
          <w:u w:val="none"/>
          <w:shd w:val="clear" w:color="auto" w:fill="FFFFFF"/>
          <w:lang w:val="en-US" w:eastAsia="zh-CN"/>
        </w:rPr>
        <w:t>三公</w:t>
      </w:r>
      <w:r>
        <w:rPr>
          <w:rFonts w:hint="default" w:ascii="仿宋_GB2312" w:hAnsi="仿宋" w:eastAsia="仿宋_GB2312" w:cs="仿宋"/>
          <w:b w:val="0"/>
          <w:bCs w:val="0"/>
          <w:color w:val="333333"/>
          <w:sz w:val="32"/>
          <w:szCs w:val="32"/>
          <w:u w:val="none"/>
          <w:shd w:val="clear" w:color="auto" w:fill="FFFFFF"/>
          <w:lang w:val="en-US" w:eastAsia="zh-CN"/>
        </w:rPr>
        <w:t>”</w:t>
      </w:r>
      <w:r>
        <w:rPr>
          <w:rFonts w:hint="eastAsia" w:ascii="仿宋_GB2312" w:hAnsi="仿宋" w:eastAsia="仿宋_GB2312" w:cs="仿宋"/>
          <w:b w:val="0"/>
          <w:bCs w:val="0"/>
          <w:color w:val="333333"/>
          <w:sz w:val="32"/>
          <w:szCs w:val="32"/>
          <w:u w:val="none"/>
          <w:shd w:val="clear" w:color="auto" w:fill="FFFFFF"/>
          <w:lang w:val="en-US" w:eastAsia="zh-CN"/>
        </w:rPr>
        <w:t>经费：纳入县级财政预算管理的</w:t>
      </w:r>
      <w:r>
        <w:rPr>
          <w:rFonts w:hint="default" w:ascii="仿宋_GB2312" w:hAnsi="仿宋" w:eastAsia="仿宋_GB2312" w:cs="仿宋"/>
          <w:b w:val="0"/>
          <w:bCs w:val="0"/>
          <w:color w:val="333333"/>
          <w:sz w:val="32"/>
          <w:szCs w:val="32"/>
          <w:u w:val="none"/>
          <w:shd w:val="clear" w:color="auto" w:fill="FFFFFF"/>
          <w:lang w:val="en-US" w:eastAsia="zh-CN"/>
        </w:rPr>
        <w:t>“</w:t>
      </w:r>
      <w:r>
        <w:rPr>
          <w:rFonts w:hint="eastAsia" w:ascii="仿宋_GB2312" w:hAnsi="仿宋" w:eastAsia="仿宋_GB2312" w:cs="仿宋"/>
          <w:b w:val="0"/>
          <w:bCs w:val="0"/>
          <w:color w:val="333333"/>
          <w:sz w:val="32"/>
          <w:szCs w:val="32"/>
          <w:u w:val="none"/>
          <w:shd w:val="clear" w:color="auto" w:fill="FFFFFF"/>
          <w:lang w:val="en-US" w:eastAsia="zh-CN"/>
        </w:rPr>
        <w:t>三公</w:t>
      </w:r>
      <w:r>
        <w:rPr>
          <w:rFonts w:hint="default" w:ascii="仿宋_GB2312" w:hAnsi="仿宋" w:eastAsia="仿宋_GB2312" w:cs="仿宋"/>
          <w:b w:val="0"/>
          <w:bCs w:val="0"/>
          <w:color w:val="333333"/>
          <w:sz w:val="32"/>
          <w:szCs w:val="32"/>
          <w:u w:val="none"/>
          <w:shd w:val="clear" w:color="auto" w:fill="FFFFFF"/>
          <w:lang w:val="en-US" w:eastAsia="zh-CN"/>
        </w:rPr>
        <w:t>”</w:t>
      </w:r>
      <w:r>
        <w:rPr>
          <w:rFonts w:hint="eastAsia" w:ascii="仿宋_GB2312" w:hAnsi="仿宋" w:eastAsia="仿宋_GB2312" w:cs="仿宋"/>
          <w:b w:val="0"/>
          <w:bCs w:val="0"/>
          <w:color w:val="333333"/>
          <w:sz w:val="32"/>
          <w:szCs w:val="32"/>
          <w:u w:val="none"/>
          <w:shd w:val="clear" w:color="auto" w:fill="FFFFFF"/>
          <w:lang w:val="en-US" w:eastAsia="zh-CN"/>
        </w:rPr>
        <w:t xml:space="preserve">经费，是指预算部门单位用财政拨款安排的因公出国（境）费、公务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360" w:lineRule="auto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" w:eastAsia="仿宋_GB2312" w:cs="仿宋"/>
          <w:b w:val="0"/>
          <w:bCs w:val="0"/>
          <w:color w:val="333333"/>
          <w:sz w:val="32"/>
          <w:szCs w:val="32"/>
          <w:u w:val="none"/>
          <w:shd w:val="clear" w:color="auto" w:fill="FFFFFF"/>
          <w:lang w:val="en-US" w:eastAsia="zh-CN"/>
        </w:rPr>
      </w:pPr>
      <w:r>
        <w:rPr>
          <w:rFonts w:hint="eastAsia" w:ascii="仿宋_GB2312" w:hAnsi="仿宋" w:eastAsia="仿宋_GB2312" w:cs="仿宋"/>
          <w:b w:val="0"/>
          <w:bCs w:val="0"/>
          <w:color w:val="333333"/>
          <w:sz w:val="32"/>
          <w:szCs w:val="32"/>
          <w:u w:val="none"/>
          <w:shd w:val="clear" w:color="auto" w:fill="FFFFFF"/>
          <w:lang w:val="en-US" w:eastAsia="zh-CN"/>
        </w:rPr>
        <w:t>用车购置及运维费和公务接待费。其中，因公出国（境）费反映单位公务出国（境）的住宿费、旅费、伙食补助费、杂费、培训费等支出；公务用车购置及运维费反映单位公务用车购置费及租用费、燃料费、维修费、过路过桥费、保险费、安全奖励费用等支出；公务接待费反映单位按规定开支的各类公务接待（含外宾接待）支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360" w:lineRule="auto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" w:eastAsia="仿宋_GB2312" w:cs="仿宋"/>
          <w:b w:val="0"/>
          <w:bCs w:val="0"/>
          <w:color w:val="333333"/>
          <w:sz w:val="32"/>
          <w:szCs w:val="32"/>
          <w:u w:val="none"/>
          <w:shd w:val="clear" w:color="auto" w:fill="FFFFFF"/>
          <w:lang w:val="en-US" w:eastAsia="zh-CN"/>
        </w:rPr>
      </w:pPr>
      <w:r>
        <w:rPr>
          <w:rFonts w:hint="eastAsia" w:ascii="仿宋_GB2312" w:hAnsi="仿宋" w:eastAsia="仿宋_GB2312" w:cs="仿宋"/>
          <w:b w:val="0"/>
          <w:bCs w:val="0"/>
          <w:color w:val="333333"/>
          <w:sz w:val="32"/>
          <w:szCs w:val="32"/>
          <w:u w:val="none"/>
          <w:shd w:val="clear" w:color="auto" w:fill="FFFFFF"/>
          <w:lang w:val="en-US" w:eastAsia="zh-CN"/>
        </w:rPr>
        <w:t>7.上年结转：指以前年度尚未完成、结转到本年仍按原规定用途继续使用的资金。</w:t>
      </w:r>
    </w:p>
    <w:p>
      <w:pPr>
        <w:numPr>
          <w:ilvl w:val="0"/>
          <w:numId w:val="0"/>
        </w:numPr>
        <w:adjustRightInd w:val="0"/>
        <w:spacing w:line="580" w:lineRule="exact"/>
        <w:ind w:leftChars="200" w:firstLine="321" w:firstLineChars="100"/>
        <w:contextualSpacing/>
        <w:rPr>
          <w:rFonts w:hint="eastAsia" w:ascii="黑体" w:hAnsi="黑体" w:eastAsia="黑体" w:cs="黑体"/>
          <w:b/>
          <w:sz w:val="32"/>
          <w:szCs w:val="32"/>
        </w:rPr>
      </w:pPr>
      <w:r>
        <w:rPr>
          <w:rFonts w:hint="eastAsia" w:ascii="黑体" w:hAnsi="黑体" w:eastAsia="黑体" w:cs="黑体"/>
          <w:b/>
          <w:sz w:val="32"/>
          <w:szCs w:val="32"/>
          <w:lang w:eastAsia="zh-CN"/>
        </w:rPr>
        <w:t>九、</w:t>
      </w:r>
      <w:r>
        <w:rPr>
          <w:rFonts w:hint="eastAsia" w:ascii="黑体" w:hAnsi="黑体" w:eastAsia="黑体" w:cs="黑体"/>
          <w:b/>
          <w:sz w:val="32"/>
          <w:szCs w:val="32"/>
        </w:rPr>
        <w:t>其他需说明的事项</w:t>
      </w:r>
    </w:p>
    <w:p>
      <w:pPr>
        <w:autoSpaceDE w:val="0"/>
        <w:autoSpaceDN w:val="0"/>
        <w:adjustRightInd w:val="0"/>
        <w:ind w:firstLine="640" w:firstLineChars="200"/>
        <w:jc w:val="left"/>
        <w:rPr>
          <w:rFonts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我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单位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无其他需要说明的事项。</w:t>
      </w:r>
    </w:p>
    <w:p>
      <w:pPr>
        <w:numPr>
          <w:ilvl w:val="0"/>
          <w:numId w:val="0"/>
        </w:numPr>
        <w:adjustRightInd w:val="0"/>
        <w:spacing w:line="580" w:lineRule="exact"/>
        <w:ind w:leftChars="200"/>
        <w:contextualSpacing/>
        <w:rPr>
          <w:rFonts w:hint="eastAsia" w:ascii="黑体" w:hAnsi="黑体" w:eastAsia="黑体" w:cs="黑体"/>
          <w:b/>
          <w:sz w:val="32"/>
          <w:szCs w:val="32"/>
        </w:rPr>
      </w:pPr>
    </w:p>
    <w:p>
      <w:pPr>
        <w:numPr>
          <w:ilvl w:val="0"/>
          <w:numId w:val="0"/>
        </w:numPr>
        <w:adjustRightInd w:val="0"/>
        <w:spacing w:line="580" w:lineRule="exact"/>
        <w:ind w:leftChars="200"/>
        <w:contextualSpacing/>
        <w:rPr>
          <w:rFonts w:hint="eastAsia" w:ascii="黑体" w:hAnsi="黑体" w:eastAsia="黑体" w:cs="黑体"/>
          <w:b/>
          <w:sz w:val="32"/>
          <w:szCs w:val="32"/>
        </w:rPr>
      </w:pPr>
    </w:p>
    <w:sectPr>
      <w:pgSz w:w="11906" w:h="16838"/>
      <w:pgMar w:top="1418" w:right="1418" w:bottom="1418" w:left="130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roman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CESI仿宋-GB13000">
    <w:altName w:val="方正仿宋_GBK"/>
    <w:panose1 w:val="02000500000000000000"/>
    <w:charset w:val="86"/>
    <w:family w:val="auto"/>
    <w:pitch w:val="default"/>
    <w:sig w:usb0="00000000" w:usb1="00000000" w:usb2="00000016" w:usb3="00000000" w:csb0="0004000F" w:csb1="00000000"/>
  </w:font>
  <w:font w:name="楷体">
    <w:altName w:val="方正楷体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B25D6F5"/>
    <w:multiLevelType w:val="singleLevel"/>
    <w:tmpl w:val="8B25D6F5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5497BADC"/>
    <w:multiLevelType w:val="singleLevel"/>
    <w:tmpl w:val="5497BADC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false"/>
  <w:bordersDoNotSurroundFooter w:val="false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295C"/>
    <w:rsid w:val="00010CF9"/>
    <w:rsid w:val="0002295C"/>
    <w:rsid w:val="00056290"/>
    <w:rsid w:val="00141251"/>
    <w:rsid w:val="001D4FFF"/>
    <w:rsid w:val="0025583A"/>
    <w:rsid w:val="00324BE6"/>
    <w:rsid w:val="00337570"/>
    <w:rsid w:val="003C7052"/>
    <w:rsid w:val="003F6A4A"/>
    <w:rsid w:val="00407A57"/>
    <w:rsid w:val="00434A86"/>
    <w:rsid w:val="005A65B8"/>
    <w:rsid w:val="00625932"/>
    <w:rsid w:val="006D0F2F"/>
    <w:rsid w:val="007364BD"/>
    <w:rsid w:val="007455B9"/>
    <w:rsid w:val="007545A1"/>
    <w:rsid w:val="0083050D"/>
    <w:rsid w:val="009D4CA1"/>
    <w:rsid w:val="00A469CA"/>
    <w:rsid w:val="00A84B4B"/>
    <w:rsid w:val="00AB2BDE"/>
    <w:rsid w:val="00AC6BD6"/>
    <w:rsid w:val="00B81F32"/>
    <w:rsid w:val="00C9096C"/>
    <w:rsid w:val="00D37938"/>
    <w:rsid w:val="00F1120C"/>
    <w:rsid w:val="00F65C90"/>
    <w:rsid w:val="00F77976"/>
    <w:rsid w:val="06E259A2"/>
    <w:rsid w:val="09FD27DF"/>
    <w:rsid w:val="0E8536A2"/>
    <w:rsid w:val="19076BA9"/>
    <w:rsid w:val="19D11E91"/>
    <w:rsid w:val="1BC34195"/>
    <w:rsid w:val="1D4961E3"/>
    <w:rsid w:val="1F6D1817"/>
    <w:rsid w:val="1FE34065"/>
    <w:rsid w:val="21B77BBF"/>
    <w:rsid w:val="23AB0215"/>
    <w:rsid w:val="23D52F74"/>
    <w:rsid w:val="246B0F38"/>
    <w:rsid w:val="264072C9"/>
    <w:rsid w:val="2A0760E8"/>
    <w:rsid w:val="2AE95460"/>
    <w:rsid w:val="2B381D70"/>
    <w:rsid w:val="2BE73805"/>
    <w:rsid w:val="2CB924C6"/>
    <w:rsid w:val="2CBD0E5B"/>
    <w:rsid w:val="30110DE2"/>
    <w:rsid w:val="3143321D"/>
    <w:rsid w:val="328442B4"/>
    <w:rsid w:val="34621C0C"/>
    <w:rsid w:val="39A714AC"/>
    <w:rsid w:val="3B0752BB"/>
    <w:rsid w:val="41523008"/>
    <w:rsid w:val="425236AF"/>
    <w:rsid w:val="43B43B06"/>
    <w:rsid w:val="456B6CB0"/>
    <w:rsid w:val="4A2C3B19"/>
    <w:rsid w:val="4E7A4506"/>
    <w:rsid w:val="5122148C"/>
    <w:rsid w:val="518708CA"/>
    <w:rsid w:val="51CF66BA"/>
    <w:rsid w:val="53536E98"/>
    <w:rsid w:val="5461629E"/>
    <w:rsid w:val="54817A35"/>
    <w:rsid w:val="54F16968"/>
    <w:rsid w:val="563B1409"/>
    <w:rsid w:val="56766C9E"/>
    <w:rsid w:val="578C4726"/>
    <w:rsid w:val="57C3692F"/>
    <w:rsid w:val="5AD17D39"/>
    <w:rsid w:val="5C85038D"/>
    <w:rsid w:val="5E84084D"/>
    <w:rsid w:val="5EDA66BF"/>
    <w:rsid w:val="5F9920D6"/>
    <w:rsid w:val="66FB5425"/>
    <w:rsid w:val="67926B06"/>
    <w:rsid w:val="68071BA7"/>
    <w:rsid w:val="69252C2D"/>
    <w:rsid w:val="6DE66015"/>
    <w:rsid w:val="6E3000AA"/>
    <w:rsid w:val="6FA06ECF"/>
    <w:rsid w:val="6FC46C63"/>
    <w:rsid w:val="732C3557"/>
    <w:rsid w:val="741C1497"/>
    <w:rsid w:val="767EC059"/>
    <w:rsid w:val="782D565A"/>
    <w:rsid w:val="785D5F3F"/>
    <w:rsid w:val="79E01F34"/>
    <w:rsid w:val="7A517C7D"/>
    <w:rsid w:val="7B4D5DBF"/>
    <w:rsid w:val="7EB73ECF"/>
    <w:rsid w:val="B7FF60DD"/>
    <w:rsid w:val="D55B24C6"/>
    <w:rsid w:val="F17AEC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1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customStyle="1" w:styleId="8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9">
    <w:name w:val="页脚 Char"/>
    <w:basedOn w:val="7"/>
    <w:link w:val="3"/>
    <w:qFormat/>
    <w:uiPriority w:val="99"/>
    <w:rPr>
      <w:sz w:val="18"/>
      <w:szCs w:val="18"/>
    </w:rPr>
  </w:style>
  <w:style w:type="paragraph" w:styleId="10">
    <w:name w:val="List Paragraph"/>
    <w:basedOn w:val="1"/>
    <w:qFormat/>
    <w:uiPriority w:val="34"/>
    <w:pPr>
      <w:ind w:firstLine="420" w:firstLineChars="200"/>
    </w:pPr>
  </w:style>
  <w:style w:type="character" w:customStyle="1" w:styleId="11">
    <w:name w:val="批注框文本 Char"/>
    <w:basedOn w:val="7"/>
    <w:link w:val="2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paragraph" w:customStyle="1" w:styleId="12">
    <w:name w:val="单元格样式4"/>
    <w:basedOn w:val="1"/>
    <w:qFormat/>
    <w:uiPriority w:val="0"/>
    <w:pPr>
      <w:spacing w:before="0" w:after="0"/>
      <w:ind w:firstLine="0"/>
      <w:jc w:val="right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13">
    <w:name w:val="单元格样式1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b/>
      <w:sz w:val="21"/>
    </w:rPr>
  </w:style>
  <w:style w:type="paragraph" w:customStyle="1" w:styleId="14">
    <w:name w:val="单元格样式2"/>
    <w:basedOn w:val="1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15">
    <w:name w:val="单元格样式3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sz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2</Pages>
  <Words>159</Words>
  <Characters>912</Characters>
  <Lines>7</Lines>
  <Paragraphs>2</Paragraphs>
  <TotalTime>12</TotalTime>
  <ScaleCrop>false</ScaleCrop>
  <LinksUpToDate>false</LinksUpToDate>
  <CharactersWithSpaces>1069</CharactersWithSpaces>
  <Application>WPS Office_11.8.2.10554_F1E327BC-269C-435d-A152-05C5408002CA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2021-05-15T09:03:00Z</dcterms:created>
  <dc:creator>user</dc:creator>
  <cp:lastModifiedBy>jsj07</cp:lastModifiedBy>
  <cp:lastPrinted>2022-02-23T00:55:00Z</cp:lastPrinted>
  <dcterms:modified xsi:type="dcterms:W3CDTF">2024-09-19T17:02:27Z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2052-11.8.2.10554</vt:lpwstr>
  </property>
  <property fmtid="{D5CDD505-2E9C-101B-9397-08002B2CF9AE}" pid="3" name="ICV">
    <vt:lpwstr>20D74ACE242D48AF9FBFCEAB0880AAB5</vt:lpwstr>
  </property>
</Properties>
</file>