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9C34BD" w:rsidRDefault="00E60D81">
      <w:pPr>
        <w:jc w:val="center"/>
        <w:rPr>
          <w:rFonts w:ascii="宋体" w:cs="宋体"/>
          <w:b/>
          <w:sz w:val="44"/>
          <w:szCs w:val="44"/>
        </w:rPr>
      </w:pPr>
      <w:r>
        <w:rPr>
          <w:rFonts w:ascii="宋体" w:hAnsi="宋体" w:cs="宋体" w:hint="eastAsia"/>
          <w:b/>
          <w:sz w:val="44"/>
          <w:szCs w:val="44"/>
        </w:rPr>
        <w:t>赞皇县文化广电体育和旅游局</w:t>
      </w:r>
    </w:p>
    <w:p w:rsidR="009C34BD" w:rsidRDefault="00E60D81">
      <w:pPr>
        <w:jc w:val="center"/>
        <w:rPr>
          <w:rFonts w:ascii="宋体" w:hAnsi="宋体" w:cs="宋体"/>
          <w:b/>
          <w:sz w:val="44"/>
          <w:szCs w:val="44"/>
        </w:rPr>
      </w:pPr>
      <w:r>
        <w:rPr>
          <w:rFonts w:ascii="Times New Roman" w:hAnsi="Times New Roman"/>
          <w:b/>
          <w:sz w:val="44"/>
          <w:szCs w:val="44"/>
        </w:rPr>
        <w:t>2019</w:t>
      </w:r>
      <w:r>
        <w:rPr>
          <w:rFonts w:ascii="宋体" w:hAnsi="宋体" w:cs="宋体" w:hint="eastAsia"/>
          <w:b/>
          <w:sz w:val="44"/>
          <w:szCs w:val="44"/>
        </w:rPr>
        <w:t>年部门预算信息公开情况说明</w:t>
      </w:r>
    </w:p>
    <w:p w:rsidR="009C34BD" w:rsidRDefault="009C34BD">
      <w:pPr>
        <w:jc w:val="center"/>
        <w:rPr>
          <w:rFonts w:ascii="宋体" w:hAnsi="宋体" w:cs="宋体"/>
          <w:b/>
          <w:sz w:val="44"/>
          <w:szCs w:val="44"/>
        </w:rPr>
      </w:pPr>
    </w:p>
    <w:p w:rsidR="009C34BD" w:rsidRDefault="00E60D81">
      <w:pPr>
        <w:ind w:firstLineChars="200" w:firstLine="640"/>
        <w:rPr>
          <w:rFonts w:ascii="仿宋" w:eastAsia="仿宋" w:hAnsi="仿宋"/>
          <w:sz w:val="32"/>
          <w:szCs w:val="32"/>
        </w:rPr>
      </w:pPr>
      <w:r>
        <w:rPr>
          <w:rFonts w:ascii="仿宋" w:eastAsia="仿宋" w:hAnsi="仿宋" w:hint="eastAsia"/>
          <w:sz w:val="32"/>
          <w:szCs w:val="32"/>
        </w:rPr>
        <w:t>按照《</w:t>
      </w:r>
      <w:r w:rsidR="00CF64EE">
        <w:rPr>
          <w:rFonts w:ascii="仿宋" w:eastAsia="仿宋" w:hAnsi="仿宋" w:hint="eastAsia"/>
          <w:sz w:val="32"/>
          <w:szCs w:val="32"/>
        </w:rPr>
        <w:t>中华人民共和国</w:t>
      </w:r>
      <w:r>
        <w:rPr>
          <w:rFonts w:ascii="仿宋" w:eastAsia="仿宋" w:hAnsi="仿宋" w:hint="eastAsia"/>
          <w:sz w:val="32"/>
          <w:szCs w:val="32"/>
        </w:rPr>
        <w:t>预算法》、《地方预决算公开操作规程》和《县级预算公开办法》规定，现将赞皇县文化广电体育和旅游局</w:t>
      </w:r>
      <w:r>
        <w:rPr>
          <w:rFonts w:ascii="仿宋" w:eastAsia="仿宋" w:hAnsi="仿宋"/>
          <w:sz w:val="32"/>
          <w:szCs w:val="32"/>
        </w:rPr>
        <w:t>2019</w:t>
      </w:r>
      <w:r>
        <w:rPr>
          <w:rFonts w:ascii="仿宋" w:eastAsia="仿宋" w:hAnsi="仿宋" w:hint="eastAsia"/>
          <w:sz w:val="32"/>
          <w:szCs w:val="32"/>
        </w:rPr>
        <w:t>年部门预算公开如下：</w:t>
      </w:r>
    </w:p>
    <w:p w:rsidR="009C34BD" w:rsidRDefault="00E60D81">
      <w:pPr>
        <w:ind w:firstLine="640"/>
        <w:rPr>
          <w:rFonts w:ascii="黑体" w:eastAsia="黑体" w:hAnsi="黑体"/>
          <w:sz w:val="32"/>
          <w:szCs w:val="32"/>
        </w:rPr>
      </w:pPr>
      <w:r>
        <w:rPr>
          <w:rFonts w:ascii="黑体" w:eastAsia="黑体" w:hAnsi="黑体" w:hint="eastAsia"/>
          <w:sz w:val="32"/>
          <w:szCs w:val="32"/>
        </w:rPr>
        <w:t>一、部门职责及机构设置情况</w:t>
      </w:r>
    </w:p>
    <w:p w:rsidR="009C34BD" w:rsidRDefault="00E60D81">
      <w:pPr>
        <w:spacing w:line="570" w:lineRule="exact"/>
        <w:ind w:firstLineChars="200" w:firstLine="643"/>
        <w:rPr>
          <w:rFonts w:ascii="宋体" w:cs="宋体"/>
          <w:b/>
          <w:sz w:val="32"/>
          <w:szCs w:val="32"/>
        </w:rPr>
      </w:pPr>
      <w:r>
        <w:rPr>
          <w:rFonts w:ascii="宋体" w:hAnsi="宋体" w:cs="宋体" w:hint="eastAsia"/>
          <w:b/>
          <w:sz w:val="32"/>
          <w:szCs w:val="32"/>
        </w:rPr>
        <w:t>部门职责：</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一）贯彻执行党和国家文化、广播电视、网络视听节目、体育和旅游工作方针政策和法律法规。研究拟订全县文化、广播电视、体育和旅游政策措施，起草全县文化、广播电视、网络视听节目服务管理、体育和旅游地方性法规、政府规章和规范性文件草案。</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（二）拟订全县文化事业、文化产业、广播电视领域、体育事业、体育产业和旅游业发展规划并组织实施，推进文化、广播电视、体育和旅游融合发展，推进文化、广播电视、体育和旅游体制机制改革。</w:t>
      </w:r>
    </w:p>
    <w:p w:rsidR="009C34BD" w:rsidRDefault="00E60D81">
      <w:pPr>
        <w:adjustRightInd w:val="0"/>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三）管理和组织全县性重大文化、体育和旅游活动，组织实施全县广播电视公共服务重大公益工程和公益活动。指导和监管全县重点文化、体育和旅游设施建设，组织赞皇文化、体育和旅游整体形象推广，促进对外合作和国际市场推广；指导、组织推进全域旅游。</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（四）指导、管理全县文艺事业。指导艺术创作生产，</w:t>
      </w:r>
      <w:r>
        <w:rPr>
          <w:rFonts w:ascii="仿宋" w:eastAsia="仿宋" w:hAnsi="仿宋" w:cs="仿宋_GB2312" w:hint="eastAsia"/>
          <w:sz w:val="32"/>
          <w:szCs w:val="32"/>
        </w:rPr>
        <w:lastRenderedPageBreak/>
        <w:t>扶持体现社会主义核心价值观、具有导向性代表性示范性的文艺作品，推动全县各门类艺术、各艺术品种发展。指导全县电视剧行业发展和电视剧创作生产。</w:t>
      </w:r>
    </w:p>
    <w:p w:rsidR="009C34BD" w:rsidRDefault="00E60D81">
      <w:pPr>
        <w:adjustRightInd w:val="0"/>
        <w:spacing w:line="570" w:lineRule="exact"/>
        <w:ind w:firstLineChars="200" w:firstLine="640"/>
        <w:rPr>
          <w:rFonts w:ascii="仿宋" w:eastAsia="仿宋" w:hAnsi="仿宋" w:cs="仿宋_GB2312"/>
          <w:sz w:val="32"/>
          <w:szCs w:val="32"/>
        </w:rPr>
      </w:pPr>
      <w:r>
        <w:rPr>
          <w:rFonts w:ascii="仿宋" w:eastAsia="仿宋" w:hAnsi="仿宋" w:hint="eastAsia"/>
          <w:snapToGrid w:val="0"/>
          <w:kern w:val="0"/>
          <w:sz w:val="32"/>
          <w:szCs w:val="32"/>
        </w:rPr>
        <w:t>（五）负责统筹规划全县群众体育发展，推行全民健身计划，开展群众性体育活动，实施国家体育锻炼标准，开展国民体质监测，负责公共体育设施建设及监督管理工作。</w:t>
      </w:r>
    </w:p>
    <w:p w:rsidR="009C34BD" w:rsidRDefault="00E60D81">
      <w:pPr>
        <w:adjustRightInd w:val="0"/>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（六）</w:t>
      </w:r>
      <w:r>
        <w:rPr>
          <w:rFonts w:ascii="仿宋" w:eastAsia="仿宋" w:hAnsi="仿宋" w:hint="eastAsia"/>
          <w:snapToGrid w:val="0"/>
          <w:kern w:val="0"/>
          <w:sz w:val="32"/>
          <w:szCs w:val="32"/>
        </w:rPr>
        <w:t>负责统筹规划全县竞技体育发展，确定全县青少年体育项目的设置和布局，指导全县青少年业余训练机构开展业余训练，建设县级青少年竞赛体系，组织协调由县级承办的重要竞技体育赛事，组织开展全县青少年反兴奋剂工作。</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（七）负责全县文化、广播电视、体育和旅游事业发展。推动全县文化、广播电视、体育和旅游公共服务体系建设，深入实施文化惠民工程，统筹推进全县文化、广播电视、体育和旅游服务标准化、均等化。</w:t>
      </w:r>
    </w:p>
    <w:p w:rsidR="009C34BD" w:rsidRDefault="00E60D81">
      <w:pPr>
        <w:spacing w:line="570" w:lineRule="exact"/>
        <w:ind w:firstLineChars="200" w:firstLine="640"/>
        <w:rPr>
          <w:rFonts w:ascii="仿宋" w:eastAsia="仿宋" w:hAnsi="仿宋" w:cs="仿宋_GB2312"/>
          <w:color w:val="FF0000"/>
          <w:sz w:val="32"/>
          <w:szCs w:val="32"/>
        </w:rPr>
      </w:pPr>
      <w:r>
        <w:rPr>
          <w:rFonts w:ascii="仿宋" w:eastAsia="仿宋" w:hAnsi="仿宋" w:cs="仿宋_GB2312" w:hint="eastAsia"/>
          <w:color w:val="000000"/>
          <w:sz w:val="32"/>
          <w:szCs w:val="32"/>
        </w:rPr>
        <w:t>（八）</w:t>
      </w:r>
      <w:r>
        <w:rPr>
          <w:rFonts w:ascii="仿宋" w:eastAsia="仿宋" w:hAnsi="仿宋" w:cs="仿宋_GB2312" w:hint="eastAsia"/>
          <w:sz w:val="32"/>
          <w:szCs w:val="32"/>
        </w:rPr>
        <w:t>指导、推进全县文化、广播电视、体育和旅游科技创新发展，推进文化、体育和旅游行业信息化、标准化建设；</w:t>
      </w:r>
      <w:r>
        <w:rPr>
          <w:rFonts w:ascii="仿宋" w:eastAsia="仿宋" w:hAnsi="仿宋" w:cs="仿宋_GB2312" w:hint="eastAsia"/>
          <w:color w:val="000000"/>
          <w:sz w:val="32"/>
          <w:szCs w:val="32"/>
        </w:rPr>
        <w:t>负责对广播电视节目传输覆盖、监听、监看、监测的监管，指导、监管全县广播电视广告播放；推进全县应急广播体系建设，监管协调调度全县广播电视安全播出。</w:t>
      </w:r>
    </w:p>
    <w:p w:rsidR="009C34BD" w:rsidRDefault="00E60D81">
      <w:pPr>
        <w:pStyle w:val="a3"/>
        <w:spacing w:line="570" w:lineRule="exact"/>
        <w:ind w:firstLineChars="200" w:firstLine="640"/>
        <w:rPr>
          <w:rFonts w:ascii="仿宋" w:eastAsia="仿宋" w:hAnsi="仿宋" w:cs="仿宋_GB2312"/>
          <w:color w:val="000000"/>
          <w:sz w:val="32"/>
          <w:szCs w:val="32"/>
        </w:rPr>
      </w:pPr>
      <w:r>
        <w:rPr>
          <w:rFonts w:ascii="仿宋" w:eastAsia="仿宋" w:hAnsi="仿宋" w:cs="仿宋_GB2312" w:hint="eastAsia"/>
          <w:sz w:val="32"/>
          <w:szCs w:val="32"/>
        </w:rPr>
        <w:t>（九）</w:t>
      </w:r>
      <w:r>
        <w:rPr>
          <w:rFonts w:ascii="仿宋" w:eastAsia="仿宋" w:hAnsi="仿宋" w:cs="仿宋_GB2312" w:hint="eastAsia"/>
          <w:color w:val="000000"/>
          <w:sz w:val="32"/>
          <w:szCs w:val="32"/>
        </w:rPr>
        <w:t>负责对全县各类广播电视机构进行业务指导和监管，会同有关部门对全县网络视听节目服务机构进行管理，推进广播电视与新媒体新技术新业态融合发展，推进广电网与电信网、互联网三网融合。</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（十）负责全县非物质文化遗产保护，推动非物质文化</w:t>
      </w:r>
      <w:r>
        <w:rPr>
          <w:rFonts w:ascii="仿宋" w:eastAsia="仿宋" w:hAnsi="仿宋" w:cs="仿宋_GB2312" w:hint="eastAsia"/>
          <w:sz w:val="32"/>
          <w:szCs w:val="32"/>
        </w:rPr>
        <w:lastRenderedPageBreak/>
        <w:t>遗产的保护、传承、普及、弘扬和振兴。</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（十一）统筹规划全县文化产业、广播电视产业、体育产业和旅游产业。组织实施文化、体育和旅游资源普查、挖掘、保护和开发利用工作，促进文化产业、广播电视产业、体育产业和旅游产业发展。</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二）指导全县文化、广播电视、体育和旅游市场发展。对文化、广播电视、体育和旅游市场经营进行行业监管，推进全县文化、广播电视、体育和旅游行业信用体系建设，依法规范文化、广播电视、体育和旅游市场。</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（十三）负责全县文化、文物、出版、广播电视、电影、体育、旅游等市场综合执法。督查督办全县性、跨区域性大案要案，维护市场秩序。</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（十四）负责文化遗产的管理和保护，指导和管理文物、博物馆事业，组织指导文物的保护抢救、考古发掘和开发利用工作。</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（十五）承担全县文化、广播电视、体育和旅游行业安全综合协调和监督管理工作，负责全县文化、广播电视、体育和旅游行业突发应急事件的处理工作。</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六）指导、管理全县文化、广播电视、体育和旅游对外及对港澳台交流、合作和宣传、推广工作。代表县政府签订对外文化、广播电视、体育和旅游合作交流协定，组织大型文化、广播电视、体育和旅游对外及对港澳台交流活动。</w:t>
      </w:r>
    </w:p>
    <w:p w:rsidR="009C34BD" w:rsidRDefault="00E60D81">
      <w:pPr>
        <w:spacing w:line="570" w:lineRule="exact"/>
        <w:ind w:firstLineChars="200" w:firstLine="640"/>
        <w:rPr>
          <w:rFonts w:ascii="仿宋" w:eastAsia="仿宋" w:hAnsi="仿宋" w:cs="仿宋_GB2312"/>
          <w:sz w:val="32"/>
          <w:szCs w:val="32"/>
        </w:rPr>
      </w:pPr>
      <w:r>
        <w:rPr>
          <w:rFonts w:ascii="仿宋" w:eastAsia="仿宋" w:hAnsi="仿宋" w:cs="仿宋_GB2312" w:hint="eastAsia"/>
          <w:sz w:val="32"/>
          <w:szCs w:val="32"/>
        </w:rPr>
        <w:t>（十七）完成县委、县政府交办的其他任务。</w:t>
      </w:r>
    </w:p>
    <w:p w:rsidR="009C34BD" w:rsidRDefault="00E60D81">
      <w:pPr>
        <w:spacing w:line="570" w:lineRule="exact"/>
        <w:ind w:firstLineChars="200" w:firstLine="640"/>
        <w:rPr>
          <w:rFonts w:ascii="仿宋" w:eastAsia="仿宋" w:hAnsi="仿宋" w:cs="仿宋_GB2312"/>
          <w:sz w:val="32"/>
          <w:szCs w:val="32"/>
          <w:shd w:val="clear" w:color="auto" w:fill="FFFFFF"/>
        </w:rPr>
      </w:pPr>
      <w:r>
        <w:rPr>
          <w:rFonts w:ascii="仿宋" w:eastAsia="仿宋" w:hAnsi="仿宋" w:cs="仿宋_GB2312" w:hint="eastAsia"/>
          <w:sz w:val="32"/>
          <w:szCs w:val="32"/>
        </w:rPr>
        <w:t>县文化广电体育和旅游局设下列内设机构：办公室、规</w:t>
      </w:r>
      <w:r>
        <w:rPr>
          <w:rFonts w:ascii="仿宋" w:eastAsia="仿宋" w:hAnsi="仿宋" w:cs="仿宋_GB2312" w:hint="eastAsia"/>
          <w:sz w:val="32"/>
          <w:szCs w:val="32"/>
        </w:rPr>
        <w:lastRenderedPageBreak/>
        <w:t>划发展科、</w:t>
      </w:r>
      <w:r>
        <w:rPr>
          <w:rFonts w:ascii="仿宋" w:eastAsia="仿宋" w:hAnsi="仿宋" w:cs="仿宋_GB2312" w:hint="eastAsia"/>
          <w:sz w:val="32"/>
          <w:szCs w:val="32"/>
          <w:shd w:val="clear" w:color="auto" w:fill="FFFFFF"/>
        </w:rPr>
        <w:t>公共服务科、体育科。</w:t>
      </w:r>
    </w:p>
    <w:p w:rsidR="009C34BD" w:rsidRDefault="009C34BD">
      <w:pPr>
        <w:spacing w:line="570" w:lineRule="exact"/>
        <w:rPr>
          <w:rFonts w:ascii="仿宋_GB2312" w:eastAsia="仿宋_GB2312" w:hAnsi="仿宋_GB2312" w:cs="仿宋_GB2312"/>
          <w:sz w:val="32"/>
          <w:szCs w:val="32"/>
        </w:rPr>
      </w:pPr>
    </w:p>
    <w:p w:rsidR="009C34BD" w:rsidRDefault="00E60D81">
      <w:pPr>
        <w:autoSpaceDE w:val="0"/>
        <w:autoSpaceDN w:val="0"/>
        <w:adjustRightInd w:val="0"/>
        <w:jc w:val="left"/>
        <w:rPr>
          <w:rFonts w:ascii="????_GBK" w:eastAsia="Times New Roman" w:hAnsi="Times New Roman"/>
          <w:b/>
          <w:sz w:val="32"/>
          <w:szCs w:val="32"/>
        </w:rPr>
      </w:pPr>
      <w:r>
        <w:rPr>
          <w:rFonts w:ascii="????_GBK" w:eastAsia="Times New Roman" w:hAnsi="Times New Roman"/>
          <w:b/>
          <w:sz w:val="32"/>
          <w:szCs w:val="32"/>
        </w:rPr>
        <w:t>机构设置：</w:t>
      </w:r>
    </w:p>
    <w:p w:rsidR="009C34BD" w:rsidRDefault="00E60D81">
      <w:pPr>
        <w:jc w:val="center"/>
        <w:outlineLvl w:val="0"/>
        <w:rPr>
          <w:rFonts w:ascii="Times New Roman" w:hAnsi="Times New Roman"/>
          <w:sz w:val="32"/>
          <w:szCs w:val="24"/>
        </w:rPr>
      </w:pPr>
      <w:r>
        <w:rPr>
          <w:rFonts w:ascii="宋体" w:hAnsi="宋体" w:cs="宋体" w:hint="eastAsia"/>
          <w:sz w:val="32"/>
          <w:szCs w:val="24"/>
        </w:rPr>
        <w:t>部门机构设置情况</w:t>
      </w:r>
    </w:p>
    <w:tbl>
      <w:tblPr>
        <w:tblW w:w="9782"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359"/>
        <w:gridCol w:w="1134"/>
        <w:gridCol w:w="1276"/>
        <w:gridCol w:w="3013"/>
      </w:tblGrid>
      <w:tr w:rsidR="009C34BD">
        <w:trPr>
          <w:trHeight w:val="300"/>
          <w:tblHeader/>
          <w:jc w:val="center"/>
        </w:trPr>
        <w:tc>
          <w:tcPr>
            <w:tcW w:w="4359"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单位名称</w:t>
            </w:r>
          </w:p>
        </w:tc>
        <w:tc>
          <w:tcPr>
            <w:tcW w:w="1134"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单位性质</w:t>
            </w:r>
          </w:p>
        </w:tc>
        <w:tc>
          <w:tcPr>
            <w:tcW w:w="1276"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单位规格</w:t>
            </w:r>
          </w:p>
        </w:tc>
        <w:tc>
          <w:tcPr>
            <w:tcW w:w="3013"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经费保障形式</w:t>
            </w:r>
          </w:p>
        </w:tc>
      </w:tr>
      <w:tr w:rsidR="009C34BD">
        <w:trPr>
          <w:trHeight w:val="300"/>
          <w:tblHeader/>
          <w:jc w:val="center"/>
        </w:trPr>
        <w:tc>
          <w:tcPr>
            <w:tcW w:w="4359" w:type="dxa"/>
            <w:vMerge/>
            <w:vAlign w:val="center"/>
          </w:tcPr>
          <w:p w:rsidR="009C34BD" w:rsidRDefault="009C34BD">
            <w:pPr>
              <w:spacing w:line="300" w:lineRule="exact"/>
              <w:jc w:val="center"/>
              <w:outlineLvl w:val="0"/>
            </w:pPr>
          </w:p>
        </w:tc>
        <w:tc>
          <w:tcPr>
            <w:tcW w:w="1134" w:type="dxa"/>
            <w:vMerge/>
            <w:vAlign w:val="center"/>
          </w:tcPr>
          <w:p w:rsidR="009C34BD" w:rsidRDefault="009C34BD">
            <w:pPr>
              <w:spacing w:line="300" w:lineRule="exact"/>
              <w:jc w:val="center"/>
              <w:outlineLvl w:val="0"/>
            </w:pPr>
          </w:p>
        </w:tc>
        <w:tc>
          <w:tcPr>
            <w:tcW w:w="1276" w:type="dxa"/>
            <w:vMerge/>
            <w:vAlign w:val="center"/>
          </w:tcPr>
          <w:p w:rsidR="009C34BD" w:rsidRDefault="009C34BD">
            <w:pPr>
              <w:spacing w:line="300" w:lineRule="exact"/>
              <w:jc w:val="center"/>
              <w:outlineLvl w:val="0"/>
            </w:pPr>
          </w:p>
        </w:tc>
        <w:tc>
          <w:tcPr>
            <w:tcW w:w="3013" w:type="dxa"/>
            <w:vMerge/>
            <w:vAlign w:val="center"/>
          </w:tcPr>
          <w:p w:rsidR="009C34BD" w:rsidRDefault="009C34BD">
            <w:pPr>
              <w:spacing w:line="300" w:lineRule="exact"/>
              <w:jc w:val="center"/>
              <w:outlineLvl w:val="0"/>
            </w:pPr>
          </w:p>
        </w:tc>
      </w:tr>
      <w:tr w:rsidR="009C34BD">
        <w:trPr>
          <w:trHeight w:val="585"/>
          <w:jc w:val="center"/>
        </w:trPr>
        <w:tc>
          <w:tcPr>
            <w:tcW w:w="4359"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赞皇县文化广电体育和旅游局</w:t>
            </w:r>
          </w:p>
        </w:tc>
        <w:tc>
          <w:tcPr>
            <w:tcW w:w="1134"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事业</w:t>
            </w:r>
          </w:p>
        </w:tc>
        <w:tc>
          <w:tcPr>
            <w:tcW w:w="1276"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正科级</w:t>
            </w:r>
          </w:p>
        </w:tc>
        <w:tc>
          <w:tcPr>
            <w:tcW w:w="3013"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财政性资金基本保证</w:t>
            </w:r>
          </w:p>
        </w:tc>
      </w:tr>
    </w:tbl>
    <w:p w:rsidR="009C34BD" w:rsidRDefault="009C34BD">
      <w:pPr>
        <w:ind w:firstLine="640"/>
        <w:rPr>
          <w:rFonts w:ascii="黑体" w:eastAsia="黑体" w:hAnsi="黑体"/>
          <w:sz w:val="32"/>
          <w:szCs w:val="32"/>
        </w:rPr>
      </w:pPr>
    </w:p>
    <w:p w:rsidR="009C34BD" w:rsidRDefault="00E60D81">
      <w:pPr>
        <w:ind w:firstLine="640"/>
        <w:rPr>
          <w:rFonts w:ascii="黑体" w:eastAsia="黑体" w:hAnsi="黑体"/>
          <w:sz w:val="32"/>
          <w:szCs w:val="32"/>
        </w:rPr>
      </w:pPr>
      <w:r>
        <w:rPr>
          <w:rFonts w:ascii="黑体" w:eastAsia="黑体" w:hAnsi="黑体" w:hint="eastAsia"/>
          <w:sz w:val="32"/>
          <w:szCs w:val="32"/>
        </w:rPr>
        <w:t>二、部门预算安排的总体情况</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按照预算管理有关规定，目前我县部门预算的编制实行综合预算管理，即全部收入和支出都反映在预算中。赞皇县文化广电体育和旅游局机关及所属事业单位的收支包含在部门预算中。</w:t>
      </w:r>
    </w:p>
    <w:p w:rsidR="009C34BD" w:rsidRDefault="00E60D81">
      <w:pPr>
        <w:ind w:firstLineChars="200" w:firstLine="640"/>
        <w:rPr>
          <w:rFonts w:ascii="仿宋" w:eastAsia="仿宋" w:hAnsi="仿宋" w:cs="仿宋"/>
          <w:sz w:val="32"/>
          <w:szCs w:val="32"/>
        </w:rPr>
      </w:pPr>
      <w:r>
        <w:rPr>
          <w:rFonts w:ascii="仿宋" w:eastAsia="仿宋" w:hAnsi="仿宋" w:cs="仿宋"/>
          <w:sz w:val="32"/>
          <w:szCs w:val="32"/>
        </w:rPr>
        <w:t>1</w:t>
      </w:r>
      <w:r>
        <w:rPr>
          <w:rFonts w:ascii="仿宋" w:eastAsia="仿宋" w:hAnsi="仿宋" w:cs="仿宋" w:hint="eastAsia"/>
          <w:sz w:val="32"/>
          <w:szCs w:val="32"/>
        </w:rPr>
        <w:t>、收入说明</w:t>
      </w:r>
    </w:p>
    <w:p w:rsidR="009C34BD" w:rsidRDefault="00E60D81">
      <w:pPr>
        <w:ind w:firstLineChars="200" w:firstLine="640"/>
        <w:rPr>
          <w:rFonts w:ascii="仿宋" w:eastAsia="仿宋" w:hAnsi="仿宋" w:cs="仿宋"/>
          <w:sz w:val="32"/>
          <w:szCs w:val="32"/>
        </w:rPr>
      </w:pPr>
      <w:r>
        <w:rPr>
          <w:rFonts w:ascii="仿宋" w:eastAsia="仿宋" w:hAnsi="仿宋" w:cs="仿宋"/>
          <w:sz w:val="32"/>
          <w:szCs w:val="32"/>
        </w:rPr>
        <w:t>2019</w:t>
      </w:r>
      <w:r>
        <w:rPr>
          <w:rFonts w:ascii="仿宋" w:eastAsia="仿宋" w:hAnsi="仿宋" w:cs="仿宋" w:hint="eastAsia"/>
          <w:sz w:val="32"/>
          <w:szCs w:val="32"/>
        </w:rPr>
        <w:t>年预算收入</w:t>
      </w:r>
      <w:r>
        <w:rPr>
          <w:rFonts w:ascii="仿宋" w:eastAsia="仿宋" w:hAnsi="仿宋" w:cs="仿宋"/>
          <w:sz w:val="32"/>
          <w:szCs w:val="32"/>
        </w:rPr>
        <w:t>1211.76</w:t>
      </w:r>
      <w:r>
        <w:rPr>
          <w:rFonts w:ascii="仿宋" w:eastAsia="仿宋" w:hAnsi="仿宋" w:cs="仿宋" w:hint="eastAsia"/>
          <w:sz w:val="32"/>
          <w:szCs w:val="32"/>
        </w:rPr>
        <w:t>万元，其中：一般公共预算收入</w:t>
      </w:r>
      <w:r>
        <w:rPr>
          <w:rFonts w:ascii="仿宋" w:eastAsia="仿宋" w:hAnsi="仿宋" w:cs="仿宋"/>
          <w:sz w:val="32"/>
          <w:szCs w:val="32"/>
        </w:rPr>
        <w:t>990.76</w:t>
      </w:r>
      <w:r>
        <w:rPr>
          <w:rFonts w:ascii="仿宋" w:eastAsia="仿宋" w:hAnsi="仿宋" w:cs="仿宋" w:hint="eastAsia"/>
          <w:sz w:val="32"/>
          <w:szCs w:val="32"/>
        </w:rPr>
        <w:t>万元，基金预算收入</w:t>
      </w:r>
      <w:r>
        <w:rPr>
          <w:rFonts w:ascii="仿宋" w:eastAsia="仿宋" w:hAnsi="仿宋" w:cs="仿宋"/>
          <w:sz w:val="32"/>
          <w:szCs w:val="32"/>
        </w:rPr>
        <w:t>221</w:t>
      </w:r>
      <w:r>
        <w:rPr>
          <w:rFonts w:ascii="仿宋" w:eastAsia="仿宋" w:hAnsi="仿宋" w:cs="仿宋" w:hint="eastAsia"/>
          <w:sz w:val="32"/>
          <w:szCs w:val="32"/>
        </w:rPr>
        <w:t>万元</w:t>
      </w:r>
      <w:r>
        <w:rPr>
          <w:rFonts w:ascii="仿宋" w:eastAsia="仿宋" w:hAnsi="仿宋" w:cs="仿宋"/>
          <w:sz w:val="32"/>
          <w:szCs w:val="32"/>
        </w:rPr>
        <w:t xml:space="preserve">, </w:t>
      </w:r>
      <w:r>
        <w:rPr>
          <w:rFonts w:ascii="仿宋" w:eastAsia="仿宋" w:hAnsi="仿宋" w:cs="仿宋" w:hint="eastAsia"/>
          <w:sz w:val="32"/>
          <w:szCs w:val="32"/>
        </w:rPr>
        <w:t>财政专户核拨收入</w:t>
      </w:r>
      <w:r>
        <w:rPr>
          <w:rFonts w:ascii="仿宋" w:eastAsia="仿宋" w:hAnsi="仿宋" w:cs="仿宋"/>
          <w:sz w:val="32"/>
          <w:szCs w:val="32"/>
        </w:rPr>
        <w:t>0</w:t>
      </w:r>
      <w:r>
        <w:rPr>
          <w:rFonts w:ascii="仿宋" w:eastAsia="仿宋" w:hAnsi="仿宋" w:cs="仿宋" w:hint="eastAsia"/>
          <w:sz w:val="32"/>
          <w:szCs w:val="32"/>
        </w:rPr>
        <w:t>万元，其他来源收入</w:t>
      </w:r>
      <w:r>
        <w:rPr>
          <w:rFonts w:ascii="仿宋" w:eastAsia="仿宋" w:hAnsi="仿宋" w:cs="仿宋"/>
          <w:sz w:val="32"/>
          <w:szCs w:val="32"/>
        </w:rPr>
        <w:t>0</w:t>
      </w:r>
      <w:r>
        <w:rPr>
          <w:rFonts w:ascii="仿宋" w:eastAsia="仿宋" w:hAnsi="仿宋" w:cs="仿宋" w:hint="eastAsia"/>
          <w:sz w:val="32"/>
          <w:szCs w:val="32"/>
        </w:rPr>
        <w:t>元。</w:t>
      </w:r>
    </w:p>
    <w:p w:rsidR="009C34BD" w:rsidRDefault="00E60D81">
      <w:pPr>
        <w:ind w:firstLineChars="200" w:firstLine="640"/>
        <w:rPr>
          <w:rFonts w:ascii="仿宋" w:eastAsia="仿宋" w:hAnsi="仿宋" w:cs="仿宋"/>
          <w:sz w:val="32"/>
          <w:szCs w:val="32"/>
        </w:rPr>
      </w:pPr>
      <w:r>
        <w:rPr>
          <w:rFonts w:ascii="仿宋" w:eastAsia="仿宋" w:hAnsi="仿宋" w:cs="仿宋"/>
          <w:sz w:val="32"/>
          <w:szCs w:val="32"/>
        </w:rPr>
        <w:t>2</w:t>
      </w:r>
      <w:r>
        <w:rPr>
          <w:rFonts w:ascii="仿宋" w:eastAsia="仿宋" w:hAnsi="仿宋" w:cs="仿宋" w:hint="eastAsia"/>
          <w:sz w:val="32"/>
          <w:szCs w:val="32"/>
        </w:rPr>
        <w:t>、支出说明</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收支预算总表支出栏、基本支出表、项目支出表按经济分类和支出功能分类科目编制，反映赞皇县文化广电体育和旅游局年度部门预算中支出预算的总体情况。</w:t>
      </w:r>
      <w:r>
        <w:rPr>
          <w:rFonts w:ascii="仿宋" w:eastAsia="仿宋" w:hAnsi="仿宋" w:cs="仿宋"/>
          <w:sz w:val="32"/>
          <w:szCs w:val="32"/>
        </w:rPr>
        <w:t>2019</w:t>
      </w:r>
      <w:r>
        <w:rPr>
          <w:rFonts w:ascii="仿宋" w:eastAsia="仿宋" w:hAnsi="仿宋" w:cs="仿宋" w:hint="eastAsia"/>
          <w:sz w:val="32"/>
          <w:szCs w:val="32"/>
        </w:rPr>
        <w:t>年支出预算</w:t>
      </w:r>
      <w:r>
        <w:rPr>
          <w:rFonts w:ascii="仿宋" w:eastAsia="仿宋" w:hAnsi="仿宋" w:cs="仿宋"/>
          <w:sz w:val="32"/>
          <w:szCs w:val="32"/>
        </w:rPr>
        <w:t>1211.76</w:t>
      </w:r>
      <w:r>
        <w:rPr>
          <w:rFonts w:ascii="仿宋" w:eastAsia="仿宋" w:hAnsi="仿宋" w:cs="仿宋" w:hint="eastAsia"/>
          <w:sz w:val="32"/>
          <w:szCs w:val="32"/>
        </w:rPr>
        <w:t>万元，其中基本支出</w:t>
      </w:r>
      <w:r>
        <w:rPr>
          <w:rFonts w:ascii="仿宋" w:eastAsia="仿宋" w:hAnsi="仿宋" w:cs="仿宋"/>
          <w:sz w:val="32"/>
          <w:szCs w:val="32"/>
        </w:rPr>
        <w:t>419.67</w:t>
      </w:r>
      <w:r>
        <w:rPr>
          <w:rFonts w:ascii="仿宋" w:eastAsia="仿宋" w:hAnsi="仿宋" w:cs="仿宋" w:hint="eastAsia"/>
          <w:sz w:val="32"/>
          <w:szCs w:val="32"/>
        </w:rPr>
        <w:t>万元，包括人员经费</w:t>
      </w:r>
      <w:r>
        <w:rPr>
          <w:rFonts w:ascii="仿宋" w:eastAsia="仿宋" w:hAnsi="仿宋" w:cs="仿宋"/>
          <w:sz w:val="32"/>
          <w:szCs w:val="32"/>
        </w:rPr>
        <w:t>364.97</w:t>
      </w:r>
      <w:r>
        <w:rPr>
          <w:rFonts w:ascii="仿宋" w:eastAsia="仿宋" w:hAnsi="仿宋" w:cs="仿宋" w:hint="eastAsia"/>
          <w:sz w:val="32"/>
          <w:szCs w:val="32"/>
        </w:rPr>
        <w:t>万元和日常公用经费</w:t>
      </w:r>
      <w:r>
        <w:rPr>
          <w:rFonts w:ascii="仿宋" w:eastAsia="仿宋" w:hAnsi="仿宋" w:cs="仿宋"/>
          <w:sz w:val="32"/>
          <w:szCs w:val="32"/>
        </w:rPr>
        <w:t>54.73</w:t>
      </w:r>
      <w:r>
        <w:rPr>
          <w:rFonts w:ascii="仿宋" w:eastAsia="仿宋" w:hAnsi="仿宋" w:cs="仿宋" w:hint="eastAsia"/>
          <w:sz w:val="32"/>
          <w:szCs w:val="32"/>
        </w:rPr>
        <w:t>万元；项目支出</w:t>
      </w:r>
      <w:r>
        <w:rPr>
          <w:rFonts w:ascii="仿宋" w:eastAsia="仿宋" w:hAnsi="仿宋" w:cs="仿宋"/>
          <w:sz w:val="32"/>
          <w:szCs w:val="32"/>
        </w:rPr>
        <w:t>571.09</w:t>
      </w:r>
      <w:r>
        <w:rPr>
          <w:rFonts w:ascii="仿宋" w:eastAsia="仿宋" w:hAnsi="仿宋" w:cs="仿宋" w:hint="eastAsia"/>
          <w:sz w:val="32"/>
          <w:szCs w:val="32"/>
        </w:rPr>
        <w:lastRenderedPageBreak/>
        <w:t>万元。包括本级支出和对下补助支出，主要为其他文化体育与传媒支出、其他文化和旅游支出、艺术表演团体、非物质文化遗产保护、旅游行业业务管理、文物保护等</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3、比上年增减情况</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我局为2019年机构改革新成立单位，无上年数据。</w:t>
      </w:r>
    </w:p>
    <w:p w:rsidR="009C34BD" w:rsidRDefault="00E60D81">
      <w:pPr>
        <w:autoSpaceDE w:val="0"/>
        <w:autoSpaceDN w:val="0"/>
        <w:adjustRightInd w:val="0"/>
        <w:ind w:left="198" w:firstLineChars="200" w:firstLine="640"/>
        <w:jc w:val="left"/>
        <w:rPr>
          <w:rFonts w:ascii="黑体" w:eastAsia="黑体" w:hAnsi="黑体"/>
          <w:sz w:val="32"/>
          <w:szCs w:val="32"/>
        </w:rPr>
      </w:pPr>
      <w:r>
        <w:rPr>
          <w:rFonts w:ascii="黑体" w:eastAsia="黑体" w:hAnsi="黑体" w:hint="eastAsia"/>
          <w:sz w:val="32"/>
          <w:szCs w:val="32"/>
        </w:rPr>
        <w:t>三、机关运行经费安排情况</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2019</w:t>
      </w:r>
      <w:r>
        <w:rPr>
          <w:rFonts w:ascii="仿宋_GB2312" w:eastAsia="仿宋_GB2312" w:hAnsi="仿宋_GB2312" w:cs="仿宋_GB2312" w:hint="eastAsia"/>
          <w:sz w:val="32"/>
          <w:szCs w:val="32"/>
        </w:rPr>
        <w:t>年我局机关运行经费共计安排</w:t>
      </w:r>
      <w:r>
        <w:rPr>
          <w:rFonts w:ascii="仿宋_GB2312" w:eastAsia="仿宋_GB2312" w:hAnsi="仿宋_GB2312" w:cs="仿宋_GB2312"/>
          <w:sz w:val="32"/>
          <w:szCs w:val="32"/>
        </w:rPr>
        <w:t>54.73</w:t>
      </w:r>
      <w:r>
        <w:rPr>
          <w:rFonts w:ascii="仿宋_GB2312" w:eastAsia="仿宋_GB2312" w:hAnsi="仿宋_GB2312" w:cs="仿宋_GB2312" w:hint="eastAsia"/>
          <w:sz w:val="32"/>
          <w:szCs w:val="32"/>
        </w:rPr>
        <w:t>万元，主要用于其他交通费用、邮电费、办公设备购置、全民健身中心办公</w:t>
      </w:r>
      <w:r>
        <w:rPr>
          <w:rFonts w:ascii="仿宋" w:eastAsia="仿宋" w:hAnsi="仿宋" w:cs="仿宋" w:hint="eastAsia"/>
          <w:sz w:val="32"/>
          <w:szCs w:val="32"/>
        </w:rPr>
        <w:t>等日常运行支出。</w:t>
      </w:r>
    </w:p>
    <w:p w:rsidR="009C34BD" w:rsidRDefault="00E60D81">
      <w:pPr>
        <w:autoSpaceDE w:val="0"/>
        <w:autoSpaceDN w:val="0"/>
        <w:adjustRightInd w:val="0"/>
        <w:ind w:left="198" w:firstLineChars="200" w:firstLine="640"/>
        <w:jc w:val="left"/>
        <w:rPr>
          <w:rFonts w:ascii="黑体" w:eastAsia="黑体" w:hAnsi="黑体"/>
          <w:sz w:val="32"/>
          <w:szCs w:val="32"/>
        </w:rPr>
      </w:pPr>
      <w:r>
        <w:rPr>
          <w:rFonts w:ascii="黑体" w:eastAsia="黑体" w:hAnsi="黑体" w:hint="eastAsia"/>
          <w:sz w:val="32"/>
          <w:szCs w:val="32"/>
        </w:rPr>
        <w:t>四、财政拨款“三公”经费预算情况及增减变化原因</w:t>
      </w:r>
    </w:p>
    <w:p w:rsidR="009C34BD" w:rsidRDefault="00E60D81">
      <w:pPr>
        <w:ind w:firstLineChars="200" w:firstLine="640"/>
        <w:rPr>
          <w:rFonts w:ascii="仿宋" w:eastAsia="仿宋" w:hAnsi="仿宋" w:cs="仿宋"/>
          <w:sz w:val="32"/>
          <w:szCs w:val="32"/>
        </w:rPr>
      </w:pPr>
      <w:r>
        <w:rPr>
          <w:rFonts w:ascii="仿宋" w:eastAsia="仿宋" w:hAnsi="仿宋" w:cs="仿宋"/>
          <w:sz w:val="32"/>
          <w:szCs w:val="32"/>
        </w:rPr>
        <w:t>2019</w:t>
      </w:r>
      <w:r>
        <w:rPr>
          <w:rFonts w:ascii="仿宋" w:eastAsia="仿宋" w:hAnsi="仿宋" w:cs="仿宋" w:hint="eastAsia"/>
          <w:sz w:val="32"/>
          <w:szCs w:val="32"/>
        </w:rPr>
        <w:t>年我局财政拨款“三公”经费预算安排</w:t>
      </w:r>
      <w:r>
        <w:rPr>
          <w:rFonts w:ascii="仿宋" w:eastAsia="仿宋" w:hAnsi="仿宋" w:cs="仿宋"/>
          <w:sz w:val="32"/>
          <w:szCs w:val="32"/>
        </w:rPr>
        <w:t>0</w:t>
      </w:r>
      <w:r>
        <w:rPr>
          <w:rFonts w:ascii="仿宋" w:eastAsia="仿宋" w:hAnsi="仿宋" w:cs="仿宋" w:hint="eastAsia"/>
          <w:sz w:val="32"/>
          <w:szCs w:val="32"/>
        </w:rPr>
        <w:t>万元，其中因公出国（境）费</w:t>
      </w:r>
      <w:r>
        <w:rPr>
          <w:rFonts w:ascii="仿宋" w:eastAsia="仿宋" w:hAnsi="仿宋" w:cs="仿宋"/>
          <w:sz w:val="32"/>
          <w:szCs w:val="32"/>
        </w:rPr>
        <w:t>0</w:t>
      </w:r>
      <w:r>
        <w:rPr>
          <w:rFonts w:ascii="仿宋" w:eastAsia="仿宋" w:hAnsi="仿宋" w:cs="仿宋" w:hint="eastAsia"/>
          <w:sz w:val="32"/>
          <w:szCs w:val="32"/>
        </w:rPr>
        <w:t>万元；公务用车购置及运维费</w:t>
      </w:r>
      <w:r>
        <w:rPr>
          <w:rFonts w:ascii="仿宋" w:eastAsia="仿宋" w:hAnsi="仿宋" w:cs="仿宋"/>
          <w:sz w:val="32"/>
          <w:szCs w:val="32"/>
        </w:rPr>
        <w:t>0</w:t>
      </w:r>
      <w:r>
        <w:rPr>
          <w:rFonts w:ascii="仿宋" w:eastAsia="仿宋" w:hAnsi="仿宋" w:cs="仿宋" w:hint="eastAsia"/>
          <w:sz w:val="32"/>
          <w:szCs w:val="32"/>
        </w:rPr>
        <w:t>万元（其中：公务用车购置费为</w:t>
      </w:r>
      <w:r>
        <w:rPr>
          <w:rFonts w:ascii="仿宋" w:eastAsia="仿宋" w:hAnsi="仿宋" w:cs="仿宋"/>
          <w:sz w:val="32"/>
          <w:szCs w:val="32"/>
        </w:rPr>
        <w:t>0</w:t>
      </w:r>
      <w:r>
        <w:rPr>
          <w:rFonts w:ascii="仿宋" w:eastAsia="仿宋" w:hAnsi="仿宋" w:cs="仿宋" w:hint="eastAsia"/>
          <w:sz w:val="32"/>
          <w:szCs w:val="32"/>
        </w:rPr>
        <w:t>万元，公务用车运维费</w:t>
      </w:r>
      <w:r>
        <w:rPr>
          <w:rFonts w:ascii="仿宋" w:eastAsia="仿宋" w:hAnsi="仿宋" w:cs="仿宋"/>
          <w:sz w:val="32"/>
          <w:szCs w:val="32"/>
        </w:rPr>
        <w:t>0</w:t>
      </w:r>
      <w:r>
        <w:rPr>
          <w:rFonts w:ascii="仿宋" w:eastAsia="仿宋" w:hAnsi="仿宋" w:cs="仿宋" w:hint="eastAsia"/>
          <w:sz w:val="32"/>
          <w:szCs w:val="32"/>
        </w:rPr>
        <w:t>万元</w:t>
      </w:r>
      <w:r>
        <w:rPr>
          <w:rFonts w:ascii="仿宋" w:eastAsia="仿宋" w:hAnsi="仿宋" w:cs="仿宋"/>
          <w:sz w:val="32"/>
          <w:szCs w:val="32"/>
        </w:rPr>
        <w:t>)</w:t>
      </w:r>
      <w:r>
        <w:rPr>
          <w:rFonts w:ascii="仿宋" w:eastAsia="仿宋" w:hAnsi="仿宋" w:cs="仿宋" w:hint="eastAsia"/>
          <w:sz w:val="32"/>
          <w:szCs w:val="32"/>
        </w:rPr>
        <w:t>；公务接待费</w:t>
      </w:r>
      <w:r>
        <w:rPr>
          <w:rFonts w:ascii="仿宋" w:eastAsia="仿宋" w:hAnsi="仿宋" w:cs="仿宋"/>
          <w:sz w:val="32"/>
          <w:szCs w:val="32"/>
        </w:rPr>
        <w:t>0</w:t>
      </w:r>
      <w:r>
        <w:rPr>
          <w:rFonts w:ascii="仿宋" w:eastAsia="仿宋" w:hAnsi="仿宋" w:cs="仿宋" w:hint="eastAsia"/>
          <w:sz w:val="32"/>
          <w:szCs w:val="32"/>
        </w:rPr>
        <w:t>万元。我局为机构改革中新成立单位，无上年数据。</w:t>
      </w:r>
    </w:p>
    <w:p w:rsidR="009C34BD" w:rsidRDefault="00E60D81">
      <w:pPr>
        <w:ind w:firstLine="640"/>
        <w:rPr>
          <w:rFonts w:ascii="黑体" w:eastAsia="黑体" w:hAnsi="黑体"/>
          <w:sz w:val="32"/>
          <w:szCs w:val="32"/>
        </w:rPr>
      </w:pPr>
      <w:r>
        <w:rPr>
          <w:rFonts w:ascii="黑体" w:eastAsia="黑体" w:hAnsi="黑体" w:hint="eastAsia"/>
          <w:sz w:val="32"/>
          <w:szCs w:val="32"/>
        </w:rPr>
        <w:t>五、绩效预算信息</w:t>
      </w:r>
    </w:p>
    <w:p w:rsidR="009C34BD" w:rsidRDefault="00E60D81">
      <w:pPr>
        <w:spacing w:line="500" w:lineRule="exact"/>
        <w:ind w:firstLine="560"/>
        <w:rPr>
          <w:rFonts w:ascii="宋体" w:cs="宋体"/>
          <w:b/>
          <w:sz w:val="32"/>
          <w:szCs w:val="32"/>
        </w:rPr>
      </w:pPr>
      <w:bookmarkStart w:id="0" w:name="_Toc471398463"/>
      <w:r>
        <w:rPr>
          <w:rFonts w:ascii="宋体" w:hAnsi="宋体" w:cs="宋体" w:hint="eastAsia"/>
          <w:b/>
          <w:sz w:val="32"/>
          <w:szCs w:val="32"/>
        </w:rPr>
        <w:t>总体绩效目标：</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赞皇县文化广电体育和旅游局是根据《赞皇县人民政府机构改革方案》成立的县政府直属事业机构。文化广电体育和旅游局系统现有独立的企事业单位是：文化市场行政执法大队、河北广电信息网络集团股份有限公司赞皇县分公司、文化馆、图书馆、美术馆、文保所、全民健身活动中心、丝</w:t>
      </w:r>
      <w:r>
        <w:rPr>
          <w:rFonts w:ascii="仿宋" w:eastAsia="仿宋" w:hAnsi="仿宋" w:cs="仿宋" w:hint="eastAsia"/>
          <w:sz w:val="32"/>
          <w:szCs w:val="32"/>
        </w:rPr>
        <w:lastRenderedPageBreak/>
        <w:t>弦剧团。2019年，县文化广电体育和旅游局在县委、县政府的坚强领导下，坚持以习近平新时代中国特色社会主义思想为指导，全面贯彻党的十九大和十九届二中、三中全会精神，按照文化兴县、文化强县的总体要求，以不断繁荣群众精神文化生活为目标，争取我县文化工作更上一层楼。</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1、文化基础设施建设</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一是文化场所建设。一是县城文化场馆建设。年底建成文化馆、图书馆综合楼及文体活动中心配套设施，使文体活动中心尽早投入使用。二是继续支持乡、村级农村文体广场建设，为广大群众开展健康向上的文体活动提供舞台。二是文艺器材设备配备。继续对经常开展活动、有一定规模、有特色的农村文体队伍给予服装、音响、器材等方面的支持，扶持他们壮大发展，使这些队伍成为活跃农村文化生活非常重要的力量。</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2、公共文化服务体系建设</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一是公共文化服务阵地建设。一是县文化馆、图书馆、美术馆正常开放，引导、组织群众文化活动，为群众提供精神文明生活阵地作用发挥良好。二是不断探索农村书屋有效发挥作用的典型，使农村书屋真正成为农村群众的业余文化生活阵地。三是扶持盛唐数字影院正常运转，为城镇居民提供更加丰富的精神文化食粮。二是开展基层文化服务。一是完成全年120场送文化、送戏下乡演出目标。二是完成每个</w:t>
      </w:r>
      <w:r>
        <w:rPr>
          <w:rFonts w:ascii="仿宋" w:eastAsia="仿宋" w:hAnsi="仿宋" w:cs="仿宋" w:hint="eastAsia"/>
          <w:sz w:val="32"/>
          <w:szCs w:val="32"/>
        </w:rPr>
        <w:lastRenderedPageBreak/>
        <w:t>行政村每月一场农村公益电影，全县全年2544场次放映任务。三是培训基层文化体育骨干队伍，全年培训人次不少于10000人次。一是长期聘请省市舞蹈、声乐、美术、戏曲、健身秧歌、健身球、体育球类、武术等专业老师开展业务培训班，提高文化从业者和文艺爱好者的专业水平；二是聘请县级专业教师继续深入农村对农村文艺、体育队伍进行各项培训。四是继续加强对广播电视、电台安全播出以及广告业的管理力度，确保广播电视宣传始终保持正确的舆论导向。五是加强文化市场监管，确保文化市场健康有序发展。</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3、文体活动蓬勃开展</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一是抓好节日文化、常规文化活动的开展。突出抓好彩色周末活动以及春节、五一、七一、国庆节、元旦、春节等节日文体活动，不断创新活动形式、提高节目质量、丰富活动内容、扩大活动规模，使我局文化活动成为群众夏日、节日必备文化大餐。二是打造我县文体活动品牌。一是发挥嶂石岩、石柱山两个国家级体育旅游精品景区和环京津体育休闲健身圈基地作用。二是办好第三届美丽嶂石岩骑行赛，打造骑行赛品牌。三是办好乒乓球全市县区联赛。四是办好赞皇、元氏、高邑、赵县、行唐五县美术联展。五是办好摄影展，在全市创品牌。三是繁荣文化艺术创作。继续鼓励全县文艺工作者保持积极的创作热情，不断创作出更高水平的书画、摄影、音乐创作、文学创作等作品。</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lastRenderedPageBreak/>
        <w:t>4、文化产业建设</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培育一批文体产业典型，促进文体活动走向市场。一是促成西街、王家庄、秦家庄强强联合，将西街铁龙灯打造成在全国有名气的优质品牌，争取赶超井陉拉花。二是促成原村土布技术博物馆、蕊源蜂业蜜蜂博物馆向社会开放。三是帮助国球馆做大做强，走向市场。四是整合民间戏班、乐队，进行全面培训，提高水平，加强支持，增强市场竞争力。五是支持南关村少林武院，促进武院发展。六是加大对县丝弦剧团扶持力度。加大跑办力度，落实剧团排练场项目。落实政府购买服务，每年演出66场，每场5000元。招收年轻演员，吸收新鲜血液，排练新剧目，解决剧团后继无人，缺乏后劲的问题。</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5、文物保护、非遗传承工作</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一是争取治平寺石塔本体保护项目。二是加大长城管护工作。三是支持已有省级非遗项目传承工作。赞皇丝弦，西街铁龙灯、千根九曲黄河灯、赞皇陈村腊八船、赞皇六宰相传说、赞皇原村土布纺织技艺、青龙山庙会、水潼仙姑祭祀。四是继续对我县非物质文化遗产进行挖掘、整理、申报，保护。</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6、旅游文化发展</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加强思想政治工作，认真贯彻落实十八届三中、四中、五中全会精神，组织员工集中学习，全面提升员工的执行力。</w:t>
      </w:r>
      <w:r>
        <w:rPr>
          <w:rFonts w:ascii="仿宋" w:eastAsia="仿宋" w:hAnsi="仿宋" w:cs="仿宋" w:hint="eastAsia"/>
          <w:sz w:val="32"/>
          <w:szCs w:val="32"/>
        </w:rPr>
        <w:lastRenderedPageBreak/>
        <w:t>编制建设全县域3A级旅游景区总体规划。在国道省道旅游大型指示牌。偿还旅游局前几任局长旧欠。偿还96年嶂石岩水毁工程欠款。编制嶂石岩国家级风景名胜区详细规划。在都户路口建设唐相故里之乡牌坊设计施工。偿还东高工业区至马峪三岔口旅游风景线绿化植树工程。嶂石岩游客中心大楼工程款每年偿还500万，连续三年还清。参展省旅游局、省文化厅组织的文化旅游商品会。举办第二届旅游推介商品展销会。圆满完成县委交办的各项重点任务，组织好会员代表参加行风评议和优化发展环境的行风监督。</w:t>
      </w:r>
    </w:p>
    <w:p w:rsidR="009C34BD" w:rsidRDefault="00E60D81">
      <w:pPr>
        <w:spacing w:line="500" w:lineRule="exact"/>
        <w:ind w:firstLine="560"/>
        <w:rPr>
          <w:rFonts w:ascii="宋体" w:cs="宋体"/>
          <w:b/>
          <w:sz w:val="32"/>
          <w:szCs w:val="32"/>
        </w:rPr>
      </w:pPr>
      <w:r>
        <w:rPr>
          <w:rFonts w:ascii="宋体" w:hAnsi="宋体" w:cs="宋体" w:hint="eastAsia"/>
          <w:b/>
          <w:sz w:val="32"/>
          <w:szCs w:val="32"/>
        </w:rPr>
        <w:t>职责分类绩效目标：</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1、广播电视产业建设</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职责描述：统筹规划并组织实施广播电视产业发展,推进广电网与电信网、互联网三网融合</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年度绩效目标：指导、协调产业项目开展，统筹规划并组织实施广播电视产业发展,推进广电网与电信网、互联网三网融合</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中长期目标：推动IPTV播控平台功能完善工作，监督、指导相关单位在全县全面推开IPTV业务。</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2、市场监管、办案，扫黄打非</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职责描述：负责我县文化、新闻出版市场监管和法制宣传，打击违法活动，查处违法案件；负责全县扫黄打非工作；案件举报奖励。</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lastRenderedPageBreak/>
        <w:t>年度绩效目标：严厉打击违法活动，维护我县文化市场、出版物市场的良好有序健康发展。</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中长期目标：指导文化市场行政执法工作。负责对文化经营场所日常监管、文化艺术经营活动行业监管，对从事演艺活动的民办机构进行监管。做好出版物市场检查、案件查处，保证出版物市场洁净有序。</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3、体育发展</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职责描述：推动多元化体育服务体系建设，推动体育公共服务；规范体育服务管理工作。</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年度绩效目标：加强体育公共服务体系建设，促进全县体育事业全面协调可持续发展。引导全县体育产业繁荣、健康、良性发展。</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贯彻落实《全民健身条例》，推行全民健身计划，发展全民健身事业，完善全民健身公共服务体系；促进全县群众体育活动开展，加强群众体育设施建设，满足群众健身需求，提高群众身体素质和健康水平；指导群众科学健身，会同有关部门举办全县残疾人、农民、少数民族、职工综合性运动会，培训社会体育指导员，开展国民体质监测。</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4、文化艺术管理</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职责描述：管理和指导全县文化建设，推进文化发展环境能力建设，提供公共文化服务、文化艺术资源建设和文化艺术生产。</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lastRenderedPageBreak/>
        <w:t>年度绩效目标：文化发展环境健康向上，文化发展能力不断增强，文化艺术资源丰富，公共文化服务和文化艺术生产水平不断提高。</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中长期目标：公共文化设施达标，机构和队伍健全，实现公共文化资源共享，形成城乡一体公共文化服务网络；公共文化产品生产和服务能力提高，基本公共文化服务标准化、均等化水平不断提高。</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5、文化宣传交流</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职责描述：指导、组织全县优秀文化产品、服务和品牌活动宣传推介；组织全县文化交流活动。</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年度绩效目标：提升文化交流档次和水平，不断增大我县文化产业产值，扩大我县文化影响力。</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中长期目标：推动更多文化项目入选上级扶持项目；推动更多文化项目取得大赛名次和被认知；提高我县文化的影响力。</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6、文化保护</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 xml:space="preserve">职责描述：指导、组织开展文化保护工作;组织实施优秀民族文化的传承普及工作；维护国家文化安全。 </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年度绩效目标：构建健全的文化保护体系，文化保护工作得到全面加强，优秀文化得到传承和发扬。</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中长期目标：珍贵、濒危的非物质文化遗产得到有效抢救和保护，优秀特色文化得到传承和发扬。</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lastRenderedPageBreak/>
        <w:t>7、文化政务管理</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职责描述：负责系统综合业务管理和机关综合事务管理。</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年度绩效目标：确保各项业务工作谋划到位、顺利开展。保障机关工作正常高效运转。</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拟订并组织实施全县文化艺术事业发展规划,开展全县文化事业调查研究，履行文化市场监管职责，加快文化产业发展，加强非物质文化遗产保护和优秀民族文化的传承普及，开展文化宣传、交流、合作、保护等业务管理工作。</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8、美术展览</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职责描述：组织、引进优秀美术作品展览。</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年度绩效目标：发扬优秀文化，提高我县大众的审美水平，陶冶情操。</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中长期目标：直接引进外地及上级的优质展览来我县展出。提高本县美术书法作者的审美和技能。</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9、艺术收藏</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职责描述：收藏优秀美术作品。</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年度绩效目标：提高我县文化实力，增加我县文化积累，奖励优秀作者，</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中长期目标：收藏本县籍艺术家优秀美术作品，收藏本县籍艺术家优秀美术作品。</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10、美术培训</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lastRenderedPageBreak/>
        <w:t>职责描述：组织优秀美术作者学习、培训、写生。</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年度绩效目标：提高美术作者文化水平与业务水平。</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中长期目标：组织县域优秀美术作者外出写生，为美术创作注入活力。</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11、举办各类文化艺术活动</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职责描述：举办高水平的大型文化演出，不断丰富满足群众文化生活。</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年度绩效目标：文化发展环境健康向上，文化发展能力不断增强，文化艺术资源丰富，公共文化服务和文化艺术生产水平不断提高。</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中长期目标：组织赞皇文化骨干下乡演出，把精彩的文艺节目送到群众家门口。文化艺术作品进一步丰富，专业艺术创作生产能力和地位不断提高。</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12、文物保护、文物征集</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职责描述：对全县的文物进行保护、对文物进行征集</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年度绩效目标：使全县的文物得到保护，免于被破坏。使更多的文物得到保护。</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中长期目标：对全县文物保护点进行保护、修缮，积极做好文物普查工作。保护中国传统文化。把散落在民间的文物收归国有。</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13、旅游文化事业发展</w:t>
      </w:r>
    </w:p>
    <w:p w:rsidR="009C34BD" w:rsidRDefault="00E60D81">
      <w:pPr>
        <w:ind w:firstLineChars="200" w:firstLine="640"/>
        <w:rPr>
          <w:rFonts w:ascii="仿宋" w:eastAsia="仿宋" w:hAnsi="仿宋" w:cs="仿宋"/>
          <w:sz w:val="32"/>
          <w:szCs w:val="32"/>
        </w:rPr>
      </w:pPr>
      <w:r>
        <w:rPr>
          <w:rFonts w:ascii="仿宋" w:eastAsia="仿宋" w:hAnsi="仿宋" w:cs="仿宋" w:hint="eastAsia"/>
          <w:sz w:val="32"/>
          <w:szCs w:val="32"/>
        </w:rPr>
        <w:t>编制全县域3A级旅游景区总体规划，积极配合县政府</w:t>
      </w:r>
      <w:r>
        <w:rPr>
          <w:rFonts w:ascii="仿宋" w:eastAsia="仿宋" w:hAnsi="仿宋" w:cs="仿宋" w:hint="eastAsia"/>
          <w:sz w:val="32"/>
          <w:szCs w:val="32"/>
        </w:rPr>
        <w:lastRenderedPageBreak/>
        <w:t>创建全县域3A级旅游景区，加大景区的升级改造力度。利用各种方式宣传推介，参加各类推介会和旅游商品博览会，加大旅游宣传力度。同时在国道、省道摄制的大型指示牌，为来赞游客提供交通方便，提高我县旅游景区的知名度。偿还原旅游局前几任局长旧欠和96年嶂石岩水毁工程款等旧欠，做好旅游维稳工作。编制嶂石岩风景名胜区详细规划，以规进行景区建设，促进嶂石岩景区可持续健康发展。建设都户路口唐相之乡牌坊，提高我县唐相故里形象，为创建全县域3A级旅游景区奠定基础。完善景区基础设施建设，打造旅游风景线。偿还嶂石岩景区游客中心工程款和东高工业区至马峪道口旅游风景线绿化工程款。圆满完成县委、县政府交办的其他重点任务。</w:t>
      </w:r>
    </w:p>
    <w:p w:rsidR="009C34BD" w:rsidRDefault="009C34BD">
      <w:pPr>
        <w:ind w:firstLineChars="200" w:firstLine="640"/>
        <w:rPr>
          <w:rFonts w:ascii="仿宋" w:eastAsia="仿宋" w:hAnsi="仿宋" w:cs="仿宋"/>
          <w:sz w:val="32"/>
          <w:szCs w:val="32"/>
        </w:rPr>
      </w:pPr>
    </w:p>
    <w:p w:rsidR="009C34BD" w:rsidRDefault="009C34BD">
      <w:pPr>
        <w:ind w:firstLineChars="200" w:firstLine="640"/>
        <w:rPr>
          <w:rFonts w:ascii="仿宋" w:eastAsia="仿宋" w:hAnsi="仿宋" w:cs="仿宋"/>
          <w:sz w:val="32"/>
          <w:szCs w:val="32"/>
        </w:rPr>
        <w:sectPr w:rsidR="009C34BD">
          <w:headerReference w:type="even" r:id="rId7"/>
          <w:headerReference w:type="default" r:id="rId8"/>
          <w:pgSz w:w="11906" w:h="16838"/>
          <w:pgMar w:top="1440" w:right="1800" w:bottom="1440" w:left="1800" w:header="851" w:footer="992" w:gutter="0"/>
          <w:cols w:space="425"/>
          <w:docGrid w:type="lines" w:linePitch="312"/>
        </w:sectPr>
      </w:pPr>
    </w:p>
    <w:p w:rsidR="009C34BD" w:rsidRDefault="00E60D81">
      <w:pPr>
        <w:jc w:val="center"/>
        <w:outlineLvl w:val="0"/>
        <w:rPr>
          <w:rFonts w:ascii="?????_GBK" w:eastAsia="Times New Roman"/>
          <w:color w:val="FFFFFF"/>
          <w:sz w:val="32"/>
        </w:rPr>
      </w:pPr>
      <w:bookmarkStart w:id="1" w:name="_Toc536180604"/>
      <w:r>
        <w:rPr>
          <w:rFonts w:ascii="?????_GBK" w:eastAsia="Times New Roman"/>
          <w:sz w:val="32"/>
        </w:rPr>
        <w:lastRenderedPageBreak/>
        <w:t>部门职责</w:t>
      </w:r>
      <w:r>
        <w:rPr>
          <w:rFonts w:ascii="?????_GBK" w:eastAsia="Times New Roman"/>
          <w:sz w:val="32"/>
        </w:rPr>
        <w:t>-</w:t>
      </w:r>
      <w:r>
        <w:rPr>
          <w:rFonts w:ascii="?????_GBK" w:eastAsia="Times New Roman"/>
          <w:sz w:val="32"/>
        </w:rPr>
        <w:t>工作活动绩效目标</w:t>
      </w:r>
      <w:r>
        <w:rPr>
          <w:rStyle w:val="aa"/>
          <w:rFonts w:ascii="?????_GBK" w:hAnsi="?????_GBK"/>
          <w:color w:val="FFFFFF"/>
          <w:sz w:val="32"/>
          <w:szCs w:val="32"/>
        </w:rPr>
        <w:footnoteReference w:customMarkFollows="1" w:id="1"/>
        <w:sym w:font="Symbol" w:char="F020"/>
      </w:r>
      <w:bookmarkEnd w:id="1"/>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341"/>
        <w:gridCol w:w="1276"/>
        <w:gridCol w:w="2976"/>
        <w:gridCol w:w="2976"/>
        <w:gridCol w:w="1417"/>
        <w:gridCol w:w="737"/>
        <w:gridCol w:w="737"/>
        <w:gridCol w:w="737"/>
        <w:gridCol w:w="737"/>
      </w:tblGrid>
      <w:tr w:rsidR="009C34BD">
        <w:trPr>
          <w:trHeight w:val="227"/>
          <w:tblHeader/>
          <w:jc w:val="center"/>
        </w:trPr>
        <w:tc>
          <w:tcPr>
            <w:tcW w:w="10986" w:type="dxa"/>
            <w:gridSpan w:val="5"/>
            <w:tcBorders>
              <w:top w:val="single" w:sz="6" w:space="0" w:color="FFFFFF"/>
              <w:left w:val="single" w:sz="6" w:space="0" w:color="FFFFFF"/>
              <w:right w:val="single" w:sz="6" w:space="0" w:color="FFFFFF"/>
            </w:tcBorders>
            <w:vAlign w:val="center"/>
          </w:tcPr>
          <w:p w:rsidR="009C34BD" w:rsidRDefault="00E60D81">
            <w:pPr>
              <w:spacing w:line="300" w:lineRule="exact"/>
              <w:jc w:val="left"/>
              <w:rPr>
                <w:rFonts w:ascii="?????_GBK" w:eastAsia="Times New Roman"/>
                <w:sz w:val="24"/>
              </w:rPr>
            </w:pPr>
            <w:r>
              <w:rPr>
                <w:rFonts w:ascii="?????_GBK" w:eastAsia="Times New Roman"/>
                <w:sz w:val="24"/>
              </w:rPr>
              <w:t>357</w:t>
            </w:r>
            <w:r>
              <w:rPr>
                <w:rFonts w:ascii="?????_GBK" w:eastAsia="Times New Roman"/>
                <w:sz w:val="24"/>
              </w:rPr>
              <w:t>文化旅游局</w:t>
            </w:r>
          </w:p>
        </w:tc>
        <w:tc>
          <w:tcPr>
            <w:tcW w:w="2948" w:type="dxa"/>
            <w:gridSpan w:val="4"/>
            <w:tcBorders>
              <w:top w:val="single" w:sz="6" w:space="0" w:color="FFFFFF"/>
              <w:left w:val="single" w:sz="6" w:space="0" w:color="FFFFFF"/>
              <w:right w:val="single" w:sz="6" w:space="0" w:color="FFFFFF"/>
            </w:tcBorders>
            <w:vAlign w:val="center"/>
          </w:tcPr>
          <w:p w:rsidR="009C34BD" w:rsidRDefault="00E60D81">
            <w:pPr>
              <w:spacing w:line="300" w:lineRule="exact"/>
              <w:jc w:val="right"/>
              <w:rPr>
                <w:rFonts w:ascii="方正书宋_GBK" w:eastAsia="方正书宋_GBK"/>
                <w:sz w:val="24"/>
              </w:rPr>
            </w:pPr>
            <w:r>
              <w:rPr>
                <w:rFonts w:ascii="方正书宋_GBK" w:eastAsia="方正书宋_GBK" w:hint="eastAsia"/>
                <w:sz w:val="24"/>
              </w:rPr>
              <w:t>单位：万元</w:t>
            </w:r>
          </w:p>
        </w:tc>
      </w:tr>
      <w:tr w:rsidR="009C34BD">
        <w:trPr>
          <w:trHeight w:val="227"/>
          <w:tblHeader/>
          <w:jc w:val="center"/>
        </w:trPr>
        <w:tc>
          <w:tcPr>
            <w:tcW w:w="2341"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内容描述</w:t>
            </w:r>
          </w:p>
        </w:tc>
        <w:tc>
          <w:tcPr>
            <w:tcW w:w="2976"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评价标准</w:t>
            </w:r>
          </w:p>
        </w:tc>
      </w:tr>
      <w:tr w:rsidR="009C34BD">
        <w:trPr>
          <w:trHeight w:val="227"/>
          <w:tblHeader/>
          <w:jc w:val="center"/>
        </w:trPr>
        <w:tc>
          <w:tcPr>
            <w:tcW w:w="2341" w:type="dxa"/>
            <w:vMerge/>
            <w:vAlign w:val="center"/>
          </w:tcPr>
          <w:p w:rsidR="009C34BD" w:rsidRDefault="009C34BD">
            <w:pPr>
              <w:spacing w:line="300" w:lineRule="exact"/>
              <w:jc w:val="left"/>
              <w:outlineLvl w:val="0"/>
            </w:pPr>
          </w:p>
        </w:tc>
        <w:tc>
          <w:tcPr>
            <w:tcW w:w="1276" w:type="dxa"/>
            <w:vMerge/>
            <w:vAlign w:val="center"/>
          </w:tcPr>
          <w:p w:rsidR="009C34BD" w:rsidRDefault="009C34BD">
            <w:pPr>
              <w:spacing w:line="300" w:lineRule="exact"/>
              <w:jc w:val="left"/>
              <w:outlineLvl w:val="0"/>
            </w:pPr>
          </w:p>
        </w:tc>
        <w:tc>
          <w:tcPr>
            <w:tcW w:w="2976" w:type="dxa"/>
            <w:vMerge/>
            <w:vAlign w:val="center"/>
          </w:tcPr>
          <w:p w:rsidR="009C34BD" w:rsidRDefault="009C34BD">
            <w:pPr>
              <w:spacing w:line="300" w:lineRule="exact"/>
              <w:jc w:val="left"/>
              <w:outlineLvl w:val="0"/>
            </w:pPr>
          </w:p>
        </w:tc>
        <w:tc>
          <w:tcPr>
            <w:tcW w:w="2976" w:type="dxa"/>
            <w:vMerge/>
            <w:vAlign w:val="center"/>
          </w:tcPr>
          <w:p w:rsidR="009C34BD" w:rsidRDefault="009C34BD">
            <w:pPr>
              <w:spacing w:line="300" w:lineRule="exact"/>
              <w:jc w:val="left"/>
              <w:outlineLvl w:val="0"/>
            </w:pPr>
          </w:p>
        </w:tc>
        <w:tc>
          <w:tcPr>
            <w:tcW w:w="1417" w:type="dxa"/>
            <w:vMerge/>
            <w:vAlign w:val="center"/>
          </w:tcPr>
          <w:p w:rsidR="009C34BD" w:rsidRDefault="009C34BD">
            <w:pPr>
              <w:spacing w:line="300" w:lineRule="exact"/>
              <w:jc w:val="left"/>
              <w:outlineLvl w:val="0"/>
            </w:pPr>
          </w:p>
        </w:tc>
        <w:tc>
          <w:tcPr>
            <w:tcW w:w="737"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差</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一、新闻出版广播影视事业建设</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做好各类广播电视节目制作、宣传、采访报道、传输发射实验以及影视剧、专题片等创作生产。建立广播电视安全播出保障体系，加强台站、安全播出管理。组织实施重大公益工程和公益活动。</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宣传党的路线、方针、政策和县委、县政府的工作部署，坚持正确舆论导向，发挥主流媒体作用；办好各类广播电视节目；开展各类宣传工作；配合上级台完成我县的采访报道工作并提供各类节目；承担县委、县政府宣传片的创作生产、专题片等的创作生产。负责相关设备的正常运行和维护。</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、广播影视节目制作播出</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坚持正确舆论导向，发挥主流媒体作用，加强内容形式以及方法手段创新，提高广播电视覆盖人口规模与数量，提升电台、电视台影响力。</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研发新节目，打造品牌活动；媒体识别度和影响力进一步提升，收听收看群体扩大；广告创收任务完成。</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开办新栏目、新节目数量（个）</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&lt;2</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对上报道录用率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&lt;75%</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、广播影视节目制作能力建设</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加强技术管理、技术升级改造及设备设施维护，开展新技术应用。向移动互联网跨越发展，打造智能生活服务类客户端，</w:t>
            </w:r>
            <w:r>
              <w:rPr>
                <w:rFonts w:ascii="方正书宋_GBK" w:eastAsia="方正书宋_GBK" w:hint="eastAsia"/>
              </w:rPr>
              <w:lastRenderedPageBreak/>
              <w:t>促进媒体融合。</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lastRenderedPageBreak/>
              <w:t>通过技术升级，实现县级台内容资源互通互享，提高节目制力和传播能力；拓展新媒体传播途径，开拓新型业务。</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新媒体的融合度</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&lt;80%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新媒体设备利用率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&lt;80%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数字化设备更新率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&lt;80%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3</w:t>
            </w:r>
            <w:r>
              <w:rPr>
                <w:rFonts w:ascii="方正书宋_GBK" w:eastAsia="方正书宋_GBK" w:hint="eastAsia"/>
                <w:b/>
              </w:rPr>
              <w:t>、安全播出管理</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对广播电视节目传输、覆盖及网络和新媒体内容等的安全播出情况进行监管；对发射台的运行维护管理。</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建立起完备的广播电视安全播出保障体系，私开、私设频率（频道）违法行为和非法音视频内容查处有力。</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违规违法查处案件完成率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&lt;80%</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、公共服务工程推广</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根据省市下达的任务目标，完成全县广播电视直播卫星户户通工程、县城数字影院升级改造、农家书屋建设、全民阅读活动、老放映员生活补助。</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重大公益工程和公益活动推进扎实，新闻出版广播影视惠民政策成效显著。</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农家书屋出版物补充、更新及配送量</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&lt;90%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全年公益电影放映场次完成率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&lt;90%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rPr>
              <w:t>“</w:t>
            </w:r>
            <w:r>
              <w:rPr>
                <w:rFonts w:ascii="方正书宋_GBK" w:eastAsia="方正书宋_GBK" w:hint="eastAsia"/>
              </w:rPr>
              <w:t>户户通</w:t>
            </w:r>
            <w:r>
              <w:rPr>
                <w:rFonts w:ascii="方正书宋_GBK" w:eastAsia="方正书宋_GBK"/>
              </w:rPr>
              <w:t>”</w:t>
            </w:r>
            <w:r>
              <w:rPr>
                <w:rFonts w:ascii="方正书宋_GBK" w:eastAsia="方正书宋_GBK" w:hint="eastAsia"/>
              </w:rPr>
              <w:t>入户数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全民阅读活动覆盖率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&lt;20%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二、新闻出版广播影视产业建设</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统筹规划并组织实施新闻出版广播影视产业发展</w:t>
            </w:r>
            <w:r>
              <w:rPr>
                <w:rFonts w:ascii="方正书宋_GBK" w:eastAsia="方正书宋_GBK"/>
              </w:rPr>
              <w:t>,</w:t>
            </w:r>
            <w:r>
              <w:rPr>
                <w:rFonts w:ascii="方正书宋_GBK" w:eastAsia="方正书宋_GBK" w:hint="eastAsia"/>
              </w:rPr>
              <w:t>推进广电网与电信网、互联网三网融合</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统筹规划并组织实施新闻出版广播影视产业发展</w:t>
            </w:r>
            <w:r>
              <w:rPr>
                <w:rFonts w:ascii="方正书宋_GBK" w:eastAsia="方正书宋_GBK"/>
              </w:rPr>
              <w:t>,</w:t>
            </w:r>
            <w:r>
              <w:rPr>
                <w:rFonts w:ascii="方正书宋_GBK" w:eastAsia="方正书宋_GBK" w:hint="eastAsia"/>
              </w:rPr>
              <w:t>推进广电网与电信网、互联网三网融合</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、新闻出版广播影视产业发展</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指导、协调产业项目开展，推动</w:t>
            </w:r>
            <w:r>
              <w:rPr>
                <w:rFonts w:ascii="方正书宋_GBK" w:eastAsia="方正书宋_GBK"/>
              </w:rPr>
              <w:t>IPTV</w:t>
            </w:r>
            <w:r>
              <w:rPr>
                <w:rFonts w:ascii="方正书宋_GBK" w:eastAsia="方正书宋_GBK" w:hint="eastAsia"/>
              </w:rPr>
              <w:t>播控平台功能完善工作，监督、指导相关单位在全县全面推开</w:t>
            </w:r>
            <w:r>
              <w:rPr>
                <w:rFonts w:ascii="方正书宋_GBK" w:eastAsia="方正书宋_GBK"/>
              </w:rPr>
              <w:t>IPTV</w:t>
            </w:r>
            <w:r>
              <w:rPr>
                <w:rFonts w:ascii="方正书宋_GBK" w:eastAsia="方正书宋_GBK" w:hint="eastAsia"/>
              </w:rPr>
              <w:t>业务。</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新闻出版广播影视产业不断发展壮大。</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县城数字影院票房总额年度增长率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&lt;10%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三、政务管理</w:t>
            </w:r>
          </w:p>
        </w:tc>
        <w:tc>
          <w:tcPr>
            <w:tcW w:w="1276" w:type="dxa"/>
            <w:vAlign w:val="center"/>
          </w:tcPr>
          <w:p w:rsidR="009C34BD" w:rsidRDefault="00E60D81">
            <w:pPr>
              <w:spacing w:line="300" w:lineRule="exact"/>
              <w:jc w:val="left"/>
              <w:rPr>
                <w:rFonts w:ascii="方正书宋_GBK" w:eastAsia="方正书宋_GBK"/>
              </w:rPr>
            </w:pPr>
            <w:r>
              <w:rPr>
                <w:rFonts w:ascii="方正书宋_GBK" w:eastAsia="方正书宋_GBK"/>
              </w:rPr>
              <w:t>90.30</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负责系统综合业务管理和机关</w:t>
            </w:r>
            <w:r>
              <w:rPr>
                <w:rFonts w:ascii="方正书宋_GBK" w:eastAsia="方正书宋_GBK" w:hint="eastAsia"/>
              </w:rPr>
              <w:lastRenderedPageBreak/>
              <w:t>综合事务管理。</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lastRenderedPageBreak/>
              <w:t>拟定新闻出版广播影视产业发</w:t>
            </w:r>
            <w:r>
              <w:rPr>
                <w:rFonts w:ascii="方正书宋_GBK" w:eastAsia="方正书宋_GBK" w:hint="eastAsia"/>
              </w:rPr>
              <w:lastRenderedPageBreak/>
              <w:t>展规划；新闻出版物、广播影视节目内容和质量监督管理；负责市场经营活动的监督管理工作</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1</w:t>
            </w:r>
            <w:r>
              <w:rPr>
                <w:rFonts w:ascii="方正书宋_GBK" w:eastAsia="方正书宋_GBK" w:hint="eastAsia"/>
                <w:b/>
              </w:rPr>
              <w:t>、综合业务管理</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拟定新闻出版广播影视产业发展规划；开展新闻出版影视行业监督管理；监督管理市场经营活动。</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确保各项业务工作谋划到位、顺利开展。</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发展</w:t>
            </w:r>
            <w:r>
              <w:rPr>
                <w:rFonts w:ascii="方正书宋_GBK" w:eastAsia="方正书宋_GBK"/>
              </w:rPr>
              <w:t>IPTV</w:t>
            </w:r>
            <w:r>
              <w:rPr>
                <w:rFonts w:ascii="方正书宋_GBK" w:eastAsia="方正书宋_GBK" w:hint="eastAsia"/>
              </w:rPr>
              <w:t>任务目标完成率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&lt;90%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、综合事务管理</w:t>
            </w:r>
          </w:p>
        </w:tc>
        <w:tc>
          <w:tcPr>
            <w:tcW w:w="1276" w:type="dxa"/>
            <w:vAlign w:val="center"/>
          </w:tcPr>
          <w:p w:rsidR="009C34BD" w:rsidRDefault="00E60D81">
            <w:pPr>
              <w:spacing w:line="300" w:lineRule="exact"/>
              <w:jc w:val="left"/>
              <w:rPr>
                <w:rFonts w:ascii="方正书宋_GBK" w:eastAsia="方正书宋_GBK"/>
              </w:rPr>
            </w:pPr>
            <w:r>
              <w:rPr>
                <w:rFonts w:ascii="方正书宋_GBK" w:eastAsia="方正书宋_GBK"/>
              </w:rPr>
              <w:t>90.30</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开展的新闻出版广播电视研究、培训、后勤保障以及其他各项基础性保障工作。</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保障机关工作正常高效运转。</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&lt;90%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四、新闻出版、版权事业发展</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负责我县新闻出版机构、印刷发行的行业管理，负责我县版权服务和版权保护管理</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做好行业监管，指导新闻出版、版权事业有序发展</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、负责印刷发行行业监督管理</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负责印刷发行行业监督管理，组织行业培训，对印刷企业、出版物发行单位进行年度核验工作</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进一步做好印刷发行行业监管工作，组织好行业培训</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业务培训行业覆盖率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&lt;90%</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、版权工作管理</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负责著作权创造、利用、保护和管理工作</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做好版权宣传、版权登记以及版权保护工作，推进软件正版化工作全面落实。</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版权示范单位建设</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&lt;30%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版权宣传社会覆盖率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&lt;20%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软件正版化工作业务培</w:t>
            </w:r>
            <w:r>
              <w:rPr>
                <w:rFonts w:ascii="方正书宋_GBK" w:eastAsia="方正书宋_GBK" w:hint="eastAsia"/>
              </w:rPr>
              <w:lastRenderedPageBreak/>
              <w:t>训行业覆盖率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&lt;30%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五、市场监管、办案，扫黄打非</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负责我县文化、新闻出版市场监管和法制宣传，打击违法活动，查处违法案件；负责全县扫黄打非工作；案件举报奖励。</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严厉打击违法活动，维护我县文化市场、出版物市场的良好有序健康发展。</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、文化市场执法</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指导文化市场行政执法工作。负责对文化经营场所日常监管、文化艺术经营活动行业监管，对从事演艺活动的民办机构进行监管。</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做好文化市场检查、案件查处，保证文化市场洁净有序。</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上级布置工作落实率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举报案件受理率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市场巡查常态化，巡查率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、出版市场执法</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组织查处违法、违规出版物和出版活动；监督管理书报刊、电子出版物市场。</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做好出版物市场检查、案件查处，保证出版物市场洁净有序。</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举报案件受理率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市场巡查常态化，巡查率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、版权案件查处</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组织查处著作侵权案件和涉外侵权案件。</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做好版权案件受理和查处，保证所有权人利益。</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举报案件受理率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、扫黄打非</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组织查处著作侵权案件和涉外侵权案件。</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做好出版物市场检查、案件查处，保证出版物市场洁净有序。</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举报案件受理率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工作落实率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六、体育发展</w:t>
            </w:r>
          </w:p>
        </w:tc>
        <w:tc>
          <w:tcPr>
            <w:tcW w:w="1276" w:type="dxa"/>
            <w:vAlign w:val="center"/>
          </w:tcPr>
          <w:p w:rsidR="009C34BD" w:rsidRDefault="00E60D81">
            <w:pPr>
              <w:spacing w:line="300" w:lineRule="exact"/>
              <w:jc w:val="left"/>
              <w:rPr>
                <w:rFonts w:ascii="方正书宋_GBK" w:eastAsia="方正书宋_GBK"/>
              </w:rPr>
            </w:pPr>
            <w:r>
              <w:rPr>
                <w:rFonts w:ascii="方正书宋_GBK" w:eastAsia="方正书宋_GBK"/>
              </w:rPr>
              <w:t>160.00</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推动多元化体育服务体系建</w:t>
            </w:r>
            <w:r>
              <w:rPr>
                <w:rFonts w:ascii="方正书宋_GBK" w:eastAsia="方正书宋_GBK" w:hint="eastAsia"/>
              </w:rPr>
              <w:lastRenderedPageBreak/>
              <w:t>设，推动体育公共服务；规范体育服务管理工作。</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lastRenderedPageBreak/>
              <w:t>加强体育公共服务体系建设，</w:t>
            </w:r>
            <w:r>
              <w:rPr>
                <w:rFonts w:ascii="方正书宋_GBK" w:eastAsia="方正书宋_GBK" w:hint="eastAsia"/>
              </w:rPr>
              <w:lastRenderedPageBreak/>
              <w:t>促进全县体育事业全面协调可持续发展。引导全县体育产业繁荣、健康、良性发展。</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1</w:t>
            </w:r>
            <w:r>
              <w:rPr>
                <w:rFonts w:ascii="方正书宋_GBK" w:eastAsia="方正书宋_GBK" w:hint="eastAsia"/>
                <w:b/>
              </w:rPr>
              <w:t>、体育发展</w:t>
            </w:r>
          </w:p>
        </w:tc>
        <w:tc>
          <w:tcPr>
            <w:tcW w:w="12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rPr>
              <w:t>160.00</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贯彻落实《全民健身条例》，推行全民健身计划，组织开展群众体育活动，加强群众体育设施建设，指导群众科学健身，指导开展群众性体育活动，会同有关部门举办全县残疾人、农民、少数民族、职工综合性运动会，培训社会体育指导员。</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贯彻落实《全民健身条例》，推行全民健身计划，发展全民健身事业，完善全民健身公共服务体系；促进全县群众体育活动开展，加强群众体育设施建设，满足群众健身需求，提高群众身体素质和健康水平；指导群众科学健身，会同有关部门举办全县残疾人、农民、少数民族、职工综合性运动会，培训社会体育指导员，开展国民体质监测。</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大型全民健身活动参与人数增长率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&lt;4%</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举办综合性运动比赛次数</w:t>
            </w: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大型比赛群众参与度（人次）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250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&lt;200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场馆设施运行状况</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运行良好</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正常运行</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部分不能正常运行</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不能使用</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组织开展大型全民健身活动次数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3</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&lt;2</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做好社会体育指导员的管理、指导和培训</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&lt;20</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、体育设施建设</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加强体育场馆、体育设施建设，</w:t>
            </w:r>
            <w:r>
              <w:rPr>
                <w:rFonts w:ascii="方正书宋_GBK" w:eastAsia="方正书宋_GBK" w:hint="eastAsia"/>
              </w:rPr>
              <w:lastRenderedPageBreak/>
              <w:t>加强公共体育设施监督管理。</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lastRenderedPageBreak/>
              <w:t>建设功能明确、特色鲜明、设</w:t>
            </w:r>
            <w:r>
              <w:rPr>
                <w:rFonts w:ascii="方正书宋_GBK" w:eastAsia="方正书宋_GBK" w:hint="eastAsia"/>
              </w:rPr>
              <w:lastRenderedPageBreak/>
              <w:t>备先进、管理科学的体育训练场地、场馆和设施，使之成为群众健身、体育训练和服务的基础保障。</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lastRenderedPageBreak/>
              <w:t>场地建设达</w:t>
            </w:r>
            <w:r>
              <w:rPr>
                <w:rFonts w:ascii="方正书宋_GBK" w:eastAsia="方正书宋_GBK" w:hint="eastAsia"/>
              </w:rPr>
              <w:lastRenderedPageBreak/>
              <w:t>标率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lastRenderedPageBreak/>
              <w:t>&lt;80%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年度基本建设和维修改造计划完成率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&lt;90%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七、文化艺术管理</w:t>
            </w:r>
          </w:p>
        </w:tc>
        <w:tc>
          <w:tcPr>
            <w:tcW w:w="1276" w:type="dxa"/>
            <w:vAlign w:val="center"/>
          </w:tcPr>
          <w:p w:rsidR="009C34BD" w:rsidRDefault="00E60D81">
            <w:pPr>
              <w:spacing w:line="300" w:lineRule="exact"/>
              <w:jc w:val="left"/>
              <w:rPr>
                <w:rFonts w:ascii="方正书宋_GBK" w:eastAsia="方正书宋_GBK"/>
              </w:rPr>
            </w:pPr>
            <w:r>
              <w:rPr>
                <w:rFonts w:ascii="方正书宋_GBK" w:eastAsia="方正书宋_GBK"/>
              </w:rPr>
              <w:t>296.59</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管理和指导全县文化建设，推进文化发展环境能力建设，提供公共文化服务、文化艺术资源建设和文化艺术生产。</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文化发展环境健康向上，文化发展能力不断增强，文化艺术资源丰富，公共文化服务和文化艺术生产水平不断提高。</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、公共文化服务</w:t>
            </w:r>
          </w:p>
        </w:tc>
        <w:tc>
          <w:tcPr>
            <w:tcW w:w="12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rPr>
              <w:t>296.59</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规划、推动全县各级文化服务机构、设施和队伍建设，创新公共文化服务模式，建立公共文化资源共享机制，健全公共文化服务网络。组织指导公共文化产品生产，提供文化服务</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公共文化设施达标，机构和队伍健全，实现公共文化资源共享，形成城乡一体公共文化服务网络；公共文化产品生产和服务能力提高，基本公共文化服务标准化、均等化水平不断提高。</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送公益流动文化服务进基层完成率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全年完成率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80%</w:t>
            </w:r>
            <w:r>
              <w:rPr>
                <w:rFonts w:ascii="方正书宋_GBK" w:eastAsia="方正书宋_GBK" w:hint="eastAsia"/>
              </w:rPr>
              <w:t>≤</w:t>
            </w:r>
            <w:r>
              <w:rPr>
                <w:rFonts w:ascii="方正书宋_GBK" w:eastAsia="方正书宋_GBK"/>
              </w:rPr>
              <w:t>x</w:t>
            </w: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70%</w:t>
            </w:r>
            <w:r>
              <w:rPr>
                <w:rFonts w:ascii="方正书宋_GBK" w:eastAsia="方正书宋_GBK" w:hint="eastAsia"/>
              </w:rPr>
              <w:t>≤</w:t>
            </w:r>
            <w:r>
              <w:rPr>
                <w:rFonts w:ascii="方正书宋_GBK" w:eastAsia="方正书宋_GBK"/>
              </w:rPr>
              <w:t>x</w:t>
            </w:r>
            <w:r>
              <w:rPr>
                <w:rFonts w:ascii="方正书宋_GBK" w:eastAsia="方正书宋_GBK" w:hint="eastAsia"/>
              </w:rPr>
              <w:t>≤</w:t>
            </w:r>
            <w:r>
              <w:rPr>
                <w:rFonts w:ascii="方正书宋_GBK" w:eastAsia="方正书宋_GBK"/>
              </w:rPr>
              <w:t>80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70%</w:t>
            </w:r>
            <w:r>
              <w:rPr>
                <w:rFonts w:ascii="方正书宋_GBK" w:eastAsia="方正书宋_GBK" w:hint="eastAsia"/>
              </w:rPr>
              <w:t>以下</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公共文化设施、文化艺术服务群众人次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w:t>
            </w:r>
            <w:r>
              <w:rPr>
                <w:rFonts w:ascii="方正书宋_GBK" w:eastAsia="方正书宋_GBK" w:hint="eastAsia"/>
              </w:rPr>
              <w:t>万人次以上</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8</w:t>
            </w:r>
            <w:r>
              <w:rPr>
                <w:rFonts w:ascii="方正书宋_GBK" w:eastAsia="方正书宋_GBK" w:hint="eastAsia"/>
              </w:rPr>
              <w:t>万人次</w:t>
            </w:r>
            <w:r>
              <w:rPr>
                <w:rFonts w:ascii="方正书宋_GBK" w:eastAsia="方正书宋_GBK"/>
              </w:rPr>
              <w:t>-10</w:t>
            </w:r>
            <w:r>
              <w:rPr>
                <w:rFonts w:ascii="方正书宋_GBK" w:eastAsia="方正书宋_GBK" w:hint="eastAsia"/>
              </w:rPr>
              <w:t>万人次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5-8</w:t>
            </w:r>
            <w:r>
              <w:rPr>
                <w:rFonts w:ascii="方正书宋_GBK" w:eastAsia="方正书宋_GBK" w:hint="eastAsia"/>
              </w:rPr>
              <w:t>万人次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5</w:t>
            </w:r>
            <w:r>
              <w:rPr>
                <w:rFonts w:ascii="方正书宋_GBK" w:eastAsia="方正书宋_GBK" w:hint="eastAsia"/>
              </w:rPr>
              <w:t>万人次以下</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公共文化场馆免费率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不断增加文</w:t>
            </w:r>
            <w:r>
              <w:rPr>
                <w:rFonts w:ascii="方正书宋_GBK" w:eastAsia="方正书宋_GBK" w:hint="eastAsia"/>
              </w:rPr>
              <w:lastRenderedPageBreak/>
              <w:t>献信息资源收集、整理、保存的数量，不断提高为公众提供政府公开信息及其他公共信息服务的质量，开展各类阅读活动条件不断提高，为全民终身教育提供条件和支持、图书馆延伸服务。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lastRenderedPageBreak/>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lastRenderedPageBreak/>
              <w:t>80%</w:t>
            </w:r>
            <w:r>
              <w:rPr>
                <w:rFonts w:ascii="方正书宋_GBK" w:eastAsia="方正书宋_GBK" w:hint="eastAsia"/>
              </w:rPr>
              <w:lastRenderedPageBreak/>
              <w:t>≤</w:t>
            </w:r>
            <w:r>
              <w:rPr>
                <w:rFonts w:ascii="方正书宋_GBK" w:eastAsia="方正书宋_GBK"/>
              </w:rPr>
              <w:t>x</w:t>
            </w: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lastRenderedPageBreak/>
              <w:t>70%</w:t>
            </w:r>
            <w:r>
              <w:rPr>
                <w:rFonts w:ascii="方正书宋_GBK" w:eastAsia="方正书宋_GBK" w:hint="eastAsia"/>
              </w:rPr>
              <w:lastRenderedPageBreak/>
              <w:t>≤</w:t>
            </w:r>
            <w:r>
              <w:rPr>
                <w:rFonts w:ascii="方正书宋_GBK" w:eastAsia="方正书宋_GBK"/>
              </w:rPr>
              <w:t>x</w:t>
            </w:r>
            <w:r>
              <w:rPr>
                <w:rFonts w:ascii="方正书宋_GBK" w:eastAsia="方正书宋_GBK" w:hint="eastAsia"/>
              </w:rPr>
              <w:t>≤</w:t>
            </w:r>
            <w:r>
              <w:rPr>
                <w:rFonts w:ascii="方正书宋_GBK" w:eastAsia="方正书宋_GBK"/>
              </w:rPr>
              <w:t>80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lastRenderedPageBreak/>
              <w:t>70%</w:t>
            </w:r>
            <w:r>
              <w:rPr>
                <w:rFonts w:ascii="方正书宋_GBK" w:eastAsia="方正书宋_GBK" w:hint="eastAsia"/>
              </w:rPr>
              <w:lastRenderedPageBreak/>
              <w:t>以下</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公共文化服务设施建设、更新维护、队伍健全覆盖率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80%</w:t>
            </w:r>
            <w:r>
              <w:rPr>
                <w:rFonts w:ascii="方正书宋_GBK" w:eastAsia="方正书宋_GBK" w:hint="eastAsia"/>
              </w:rPr>
              <w:t>≤</w:t>
            </w:r>
            <w:r>
              <w:rPr>
                <w:rFonts w:ascii="方正书宋_GBK" w:eastAsia="方正书宋_GBK"/>
              </w:rPr>
              <w:t>x</w:t>
            </w: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70%</w:t>
            </w:r>
            <w:r>
              <w:rPr>
                <w:rFonts w:ascii="方正书宋_GBK" w:eastAsia="方正书宋_GBK" w:hint="eastAsia"/>
              </w:rPr>
              <w:t>≤</w:t>
            </w:r>
            <w:r>
              <w:rPr>
                <w:rFonts w:ascii="方正书宋_GBK" w:eastAsia="方正书宋_GBK"/>
              </w:rPr>
              <w:t>x</w:t>
            </w:r>
            <w:r>
              <w:rPr>
                <w:rFonts w:ascii="方正书宋_GBK" w:eastAsia="方正书宋_GBK" w:hint="eastAsia"/>
              </w:rPr>
              <w:t>≤</w:t>
            </w:r>
            <w:r>
              <w:rPr>
                <w:rFonts w:ascii="方正书宋_GBK" w:eastAsia="方正书宋_GBK"/>
              </w:rPr>
              <w:t>80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70%</w:t>
            </w:r>
            <w:r>
              <w:rPr>
                <w:rFonts w:ascii="方正书宋_GBK" w:eastAsia="方正书宋_GBK" w:hint="eastAsia"/>
              </w:rPr>
              <w:t>以下</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竣工验收情况</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按时完工</w:t>
            </w: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未完工</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lastRenderedPageBreak/>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lastRenderedPageBreak/>
              <w:t>80%</w:t>
            </w:r>
            <w:r>
              <w:rPr>
                <w:rFonts w:ascii="方正书宋_GBK" w:eastAsia="方正书宋_GBK" w:hint="eastAsia"/>
              </w:rPr>
              <w:lastRenderedPageBreak/>
              <w:t>≤</w:t>
            </w:r>
            <w:r>
              <w:rPr>
                <w:rFonts w:ascii="方正书宋_GBK" w:eastAsia="方正书宋_GBK"/>
              </w:rPr>
              <w:t>x</w:t>
            </w: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lastRenderedPageBreak/>
              <w:t>70%</w:t>
            </w:r>
            <w:r>
              <w:rPr>
                <w:rFonts w:ascii="方正书宋_GBK" w:eastAsia="方正书宋_GBK" w:hint="eastAsia"/>
              </w:rPr>
              <w:lastRenderedPageBreak/>
              <w:t>≤</w:t>
            </w:r>
            <w:r>
              <w:rPr>
                <w:rFonts w:ascii="方正书宋_GBK" w:eastAsia="方正书宋_GBK"/>
              </w:rPr>
              <w:t>x</w:t>
            </w:r>
            <w:r>
              <w:rPr>
                <w:rFonts w:ascii="方正书宋_GBK" w:eastAsia="方正书宋_GBK" w:hint="eastAsia"/>
              </w:rPr>
              <w:t>≤</w:t>
            </w:r>
            <w:r>
              <w:rPr>
                <w:rFonts w:ascii="方正书宋_GBK" w:eastAsia="方正书宋_GBK"/>
              </w:rPr>
              <w:t>80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lastRenderedPageBreak/>
              <w:t>70%</w:t>
            </w:r>
            <w:r>
              <w:rPr>
                <w:rFonts w:ascii="方正书宋_GBK" w:eastAsia="方正书宋_GBK" w:hint="eastAsia"/>
              </w:rPr>
              <w:lastRenderedPageBreak/>
              <w:t>以下</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春节文化系列活动完成情况</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80%</w:t>
            </w:r>
            <w:r>
              <w:rPr>
                <w:rFonts w:ascii="方正书宋_GBK" w:eastAsia="方正书宋_GBK" w:hint="eastAsia"/>
              </w:rPr>
              <w:t>≤</w:t>
            </w:r>
            <w:r>
              <w:rPr>
                <w:rFonts w:ascii="方正书宋_GBK" w:eastAsia="方正书宋_GBK"/>
              </w:rPr>
              <w:t>x</w:t>
            </w: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70%</w:t>
            </w:r>
            <w:r>
              <w:rPr>
                <w:rFonts w:ascii="方正书宋_GBK" w:eastAsia="方正书宋_GBK" w:hint="eastAsia"/>
              </w:rPr>
              <w:t>≤</w:t>
            </w:r>
            <w:r>
              <w:rPr>
                <w:rFonts w:ascii="方正书宋_GBK" w:eastAsia="方正书宋_GBK"/>
              </w:rPr>
              <w:t>x</w:t>
            </w:r>
            <w:r>
              <w:rPr>
                <w:rFonts w:ascii="方正书宋_GBK" w:eastAsia="方正书宋_GBK" w:hint="eastAsia"/>
              </w:rPr>
              <w:t>≤</w:t>
            </w:r>
            <w:r>
              <w:rPr>
                <w:rFonts w:ascii="方正书宋_GBK" w:eastAsia="方正书宋_GBK"/>
              </w:rPr>
              <w:t>80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70%</w:t>
            </w:r>
            <w:r>
              <w:rPr>
                <w:rFonts w:ascii="方正书宋_GBK" w:eastAsia="方正书宋_GBK" w:hint="eastAsia"/>
              </w:rPr>
              <w:t>以下</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文化队伍设施建设、更新维护率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80%</w:t>
            </w:r>
            <w:r>
              <w:rPr>
                <w:rFonts w:ascii="方正书宋_GBK" w:eastAsia="方正书宋_GBK" w:hint="eastAsia"/>
              </w:rPr>
              <w:t>≤</w:t>
            </w:r>
            <w:r>
              <w:rPr>
                <w:rFonts w:ascii="方正书宋_GBK" w:eastAsia="方正书宋_GBK"/>
              </w:rPr>
              <w:t>x</w:t>
            </w:r>
            <w:r>
              <w:rPr>
                <w:rFonts w:ascii="方正书宋_GBK" w:eastAsia="方正书宋_GBK" w:hint="eastAsia"/>
              </w:rPr>
              <w:t>≤</w:t>
            </w:r>
            <w:r>
              <w:rPr>
                <w:rFonts w:ascii="方正书宋_GBK" w:eastAsia="方正书宋_GBK"/>
              </w:rPr>
              <w:t>90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70%</w:t>
            </w:r>
            <w:r>
              <w:rPr>
                <w:rFonts w:ascii="方正书宋_GBK" w:eastAsia="方正书宋_GBK" w:hint="eastAsia"/>
              </w:rPr>
              <w:t>≤</w:t>
            </w:r>
            <w:r>
              <w:rPr>
                <w:rFonts w:ascii="方正书宋_GBK" w:eastAsia="方正书宋_GBK"/>
              </w:rPr>
              <w:t>x</w:t>
            </w:r>
            <w:r>
              <w:rPr>
                <w:rFonts w:ascii="方正书宋_GBK" w:eastAsia="方正书宋_GBK" w:hint="eastAsia"/>
              </w:rPr>
              <w:t>≤</w:t>
            </w:r>
            <w:r>
              <w:rPr>
                <w:rFonts w:ascii="方正书宋_GBK" w:eastAsia="方正书宋_GBK"/>
              </w:rPr>
              <w:t>80</w:t>
            </w:r>
            <w:r>
              <w:rPr>
                <w:rFonts w:ascii="方正书宋_GBK" w:eastAsia="方正书宋_GBK" w:hint="eastAsia"/>
              </w:rPr>
              <w:t>％</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70%</w:t>
            </w:r>
            <w:r>
              <w:rPr>
                <w:rFonts w:ascii="方正书宋_GBK" w:eastAsia="方正书宋_GBK" w:hint="eastAsia"/>
              </w:rPr>
              <w:t>以下</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、文化艺术资源建设</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管理、指导公共图书馆、美术馆等文化机构开展收藏、收集和保存工作；收藏、整理保管各类型资源文献、文化艺术作品和档案资料等；推广数字化建设和资源共享。</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收藏工作有序开展，收藏设施设备和物品等国有资产安全完整、高效利用。</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仓储设施设备及环境完好率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收藏及保管物品完好率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&lt;85%</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收集品入藏情况</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、文化艺术生产</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加强艺术教育和文化科研建设，指导、推动文化艺术创作生产和展览展示，组织举办各类文化艺术活动。</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文化艺术作品进一步丰富，专业艺术创作生产能力和地位不断提高，文化科研能力进一步提升。</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创作美术作品并展示数量（件）</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&lt;5</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县城年演出场次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&lt;10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八、文化宣传交流</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指导、组织全县优秀文化产品、</w:t>
            </w:r>
            <w:r>
              <w:rPr>
                <w:rFonts w:ascii="方正书宋_GBK" w:eastAsia="方正书宋_GBK" w:hint="eastAsia"/>
              </w:rPr>
              <w:lastRenderedPageBreak/>
              <w:t>服务和品牌活动宣传推介；组织全县文化交流活动。</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lastRenderedPageBreak/>
              <w:t>提升文化交流档次和水平，不</w:t>
            </w:r>
            <w:r>
              <w:rPr>
                <w:rFonts w:ascii="方正书宋_GBK" w:eastAsia="方正书宋_GBK" w:hint="eastAsia"/>
              </w:rPr>
              <w:lastRenderedPageBreak/>
              <w:t>断增大我县文化产业产值，扩大我县文化影响力。</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1</w:t>
            </w:r>
            <w:r>
              <w:rPr>
                <w:rFonts w:ascii="方正书宋_GBK" w:eastAsia="方正书宋_GBK" w:hint="eastAsia"/>
                <w:b/>
              </w:rPr>
              <w:t>、文化交流合作</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利用各类文化交流平台开展合作，宣传推介我县文化艺术资源，提升文化交流水平。</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全方位宣传推介我县文化艺术资源，提升交流水平和档次。</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文化交流次数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4</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3</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&lt;3</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、文化宣传推介</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组织优秀文化产品和活动等参加比赛活动，入选项目中后期监督、管理；对我县文化进行综合宣传推介。</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推动更多文化项目入选上级扶持项目；推动更多文化项目取得大赛名次和被认知；提高我县文化的影响力。</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推介和获奖项目媒体宣传率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推介成功率和获奖率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组织推介申报项目情况</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九、文化保护</w:t>
            </w:r>
          </w:p>
        </w:tc>
        <w:tc>
          <w:tcPr>
            <w:tcW w:w="1276" w:type="dxa"/>
            <w:vAlign w:val="center"/>
          </w:tcPr>
          <w:p w:rsidR="009C34BD" w:rsidRDefault="00E60D81">
            <w:pPr>
              <w:spacing w:line="300" w:lineRule="exact"/>
              <w:jc w:val="left"/>
              <w:rPr>
                <w:rFonts w:ascii="方正书宋_GBK" w:eastAsia="方正书宋_GBK"/>
              </w:rPr>
            </w:pPr>
            <w:r>
              <w:rPr>
                <w:rFonts w:ascii="方正书宋_GBK" w:eastAsia="方正书宋_GBK"/>
              </w:rPr>
              <w:t>44.20</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指导、组织开展文化保护工作</w:t>
            </w:r>
            <w:r>
              <w:rPr>
                <w:rFonts w:ascii="方正书宋_GBK" w:eastAsia="方正书宋_GBK"/>
              </w:rPr>
              <w:t>;</w:t>
            </w:r>
            <w:r>
              <w:rPr>
                <w:rFonts w:ascii="方正书宋_GBK" w:eastAsia="方正书宋_GBK" w:hint="eastAsia"/>
              </w:rPr>
              <w:t>组织实施优秀民族文化的传承普及工作；维护国家文化安全。</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构建健全的文化保护体系，文化保护工作得到全面加强，优秀文化得到传承和发扬。</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、文化保护</w:t>
            </w:r>
          </w:p>
        </w:tc>
        <w:tc>
          <w:tcPr>
            <w:tcW w:w="12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rPr>
              <w:t>44.20</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组织开展非物质文化保护工作；组织实施优秀民族文化的传承普及工作。</w:t>
            </w:r>
            <w:r>
              <w:rPr>
                <w:rFonts w:ascii="方正书宋_GBK" w:eastAsia="方正书宋_GBK"/>
              </w:rPr>
              <w:t xml:space="preserve"> </w:t>
            </w:r>
            <w:r>
              <w:rPr>
                <w:rFonts w:ascii="方正书宋_GBK" w:eastAsia="方正书宋_GBK" w:hint="eastAsia"/>
              </w:rPr>
              <w:t>对城乡特色鲜明的艺术形式和文化活动进行扶持和保护，推动特色文化传承发扬。</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珍贵、濒危的非物质文化遗产得到有效抢救和保护，优秀特色文化得到传承和发扬。</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展示和传承优秀项目占比数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濒危和重点项目有效保护覆盖率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十、文化政务管理</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负责系统综合业务管理和机关综合事务管理。</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确保各项业务工作谋划到位、顺利开展。保障机关工作正常高效运转。</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1</w:t>
            </w:r>
            <w:r>
              <w:rPr>
                <w:rFonts w:ascii="方正书宋_GBK" w:eastAsia="方正书宋_GBK" w:hint="eastAsia"/>
                <w:b/>
              </w:rPr>
              <w:t>、综合业务管理</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拟订并组织实施全县文化艺术事业发展规划</w:t>
            </w:r>
            <w:r>
              <w:rPr>
                <w:rFonts w:ascii="方正书宋_GBK" w:eastAsia="方正书宋_GBK"/>
              </w:rPr>
              <w:t>,</w:t>
            </w:r>
            <w:r>
              <w:rPr>
                <w:rFonts w:ascii="方正书宋_GBK" w:eastAsia="方正书宋_GBK" w:hint="eastAsia"/>
              </w:rPr>
              <w:t>开展全县文化事业调查研究，履行文化市场监管职责，加快文化产业发展，加强非物质文化遗产保护和优秀民族文化的传承普及，开展文化宣传、交流、合作、保护等业务管理工作。</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确保各项业务工作谋划到位、顺利开展。</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综合业务管理工作完成率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&lt;90%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、综合事务管理</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改善文化管理和发展硬件、软件水平；加强人才引进、培养和文化队伍建设，加强艺术教育建设；加快文化科研和信息化建设；筹备召开全县文化工作会议和一般性专项会议；不断提升工作的规范化水平；保障机关运转，努力改善机关形象。</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保障机关工作正常高效运转。</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综合事务管理工作完成率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&lt;90%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十一、美术展览</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组织、引进优秀美术作品展览</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发扬优秀文化，提高我县大众的审美水平，陶冶情操</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、组织县域美术展览</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组织本县优秀美术作者作品的展出推广活动</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促进本县美术书法作者创作和交流</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人数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1500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6~7</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4~5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、引进外地及上级优秀展览</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直接引进外地及上级的优质展览来我县展出</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提高本县美术书法作者的审美和技能</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人数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800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600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、组织外出参观展览</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组织县域优秀美术作者参观外地及上级优秀展览</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提高本县美术书法作者的审美和技能</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4</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十二、艺术收藏</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收藏优秀美术作品</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提高我县文化实力，增加我县文化积累，奖励优秀作者</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、收藏县域优秀美术作品</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收藏本县籍艺术家优秀美术作品</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提升我县文化艺术资源</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件数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、收藏域外实力艺术家作品</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收藏非本县籍艺术家优秀美术作品</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提升交流水平和档次</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件数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6</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4</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、收藏大师复制品</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收藏大师名作高仿复制品</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储备我县文化艺术资源</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件数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十三、美术培训</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组织优秀美术作者学习、培训、写生</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提高美术作者文化水平与业务水平</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、专家讲座</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聘请省市级专家讲座</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为县域美术书法创作指导方向</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、县域优秀美术作者交流学习</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组织县域优秀美术作者学习、培训</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促进自我学习相互交流</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4</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、县域优秀美术作者外出采风</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组织县域优秀美术作者外出写生</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为美术创作注入活力</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、参加上级培训学习</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派我局美术工作者参加上级部门组织的培训学习</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培养美术书法人才</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场次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十四、举办各类文化艺术活动</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举办高水平的大型文化演出，不断丰富满足群众文化生活。</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文化发展环境健康向上，文化发展能力不断增强，文化艺术资源丰富，公共文化服务和文化艺术生产水平不断提高。</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1</w:t>
            </w:r>
            <w:r>
              <w:rPr>
                <w:rFonts w:ascii="方正书宋_GBK" w:eastAsia="方正书宋_GBK" w:hint="eastAsia"/>
                <w:b/>
              </w:rPr>
              <w:t>、举办高水平大型文艺演出</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组织举办各类文化艺术活动。</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文化艺术作品进一步丰富，专业艺术创作生产能力和地位不断提高。</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组织大型文艺演出及各类赛事不低于</w:t>
            </w:r>
            <w:r>
              <w:rPr>
                <w:rFonts w:ascii="方正书宋_GBK" w:eastAsia="方正书宋_GBK"/>
              </w:rPr>
              <w:t>6</w:t>
            </w:r>
            <w:r>
              <w:rPr>
                <w:rFonts w:ascii="方正书宋_GBK" w:eastAsia="方正书宋_GBK" w:hint="eastAsia"/>
              </w:rPr>
              <w:t>场</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、举办春节文化系列活动</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组织举办春节文化艺术活动</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文化艺术作品进一步丰富，专业艺术创作生产能力和地位不断提高。</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春节文化系列活动完成情况</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&lt;70%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3</w:t>
            </w:r>
            <w:r>
              <w:rPr>
                <w:rFonts w:ascii="方正书宋_GBK" w:eastAsia="方正书宋_GBK" w:hint="eastAsia"/>
                <w:b/>
              </w:rPr>
              <w:t>、举办彩色周末文化活动</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组织举办彩色周末文化艺术活动</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群众夏季周末文化活动进一步丰富，不断满足群众文化生活。</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在</w:t>
            </w:r>
            <w:r>
              <w:rPr>
                <w:rFonts w:ascii="方正书宋_GBK" w:eastAsia="方正书宋_GBK"/>
              </w:rPr>
              <w:t>2017</w:t>
            </w:r>
            <w:r>
              <w:rPr>
                <w:rFonts w:ascii="方正书宋_GBK" w:eastAsia="方正书宋_GBK" w:hint="eastAsia"/>
              </w:rPr>
              <w:t>年</w:t>
            </w:r>
            <w:r>
              <w:rPr>
                <w:rFonts w:ascii="方正书宋_GBK" w:eastAsia="方正书宋_GBK"/>
              </w:rPr>
              <w:t>6</w:t>
            </w:r>
            <w:r>
              <w:rPr>
                <w:rFonts w:ascii="方正书宋_GBK" w:eastAsia="方正书宋_GBK" w:hint="eastAsia"/>
              </w:rPr>
              <w:t>月至</w:t>
            </w:r>
            <w:r>
              <w:rPr>
                <w:rFonts w:ascii="方正书宋_GBK" w:eastAsia="方正书宋_GBK"/>
              </w:rPr>
              <w:t>9</w:t>
            </w:r>
            <w:r>
              <w:rPr>
                <w:rFonts w:ascii="方正书宋_GBK" w:eastAsia="方正书宋_GBK" w:hint="eastAsia"/>
              </w:rPr>
              <w:t>月周末晚上举办</w:t>
            </w:r>
            <w:r>
              <w:rPr>
                <w:rFonts w:ascii="方正书宋_GBK" w:eastAsia="方正书宋_GBK"/>
              </w:rPr>
              <w:t>15</w:t>
            </w:r>
            <w:r>
              <w:rPr>
                <w:rFonts w:ascii="方正书宋_GBK" w:eastAsia="方正书宋_GBK" w:hint="eastAsia"/>
              </w:rPr>
              <w:t>场精彩的文艺演出。</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4</w:t>
            </w:r>
            <w:r>
              <w:rPr>
                <w:rFonts w:ascii="方正书宋_GBK" w:eastAsia="方正书宋_GBK" w:hint="eastAsia"/>
                <w:b/>
              </w:rPr>
              <w:t>、组织文化下乡活动</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组织赞皇文化骨干下乡演出，把精彩的文艺节目送到群众家门口。</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不断丰富农村群众文化生活</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组织文化下乡活动不低于</w:t>
            </w:r>
            <w:r>
              <w:rPr>
                <w:rFonts w:ascii="方正书宋_GBK" w:eastAsia="方正书宋_GBK"/>
              </w:rPr>
              <w:t>20</w:t>
            </w:r>
            <w:r>
              <w:rPr>
                <w:rFonts w:ascii="方正书宋_GBK" w:eastAsia="方正书宋_GBK" w:hint="eastAsia"/>
              </w:rPr>
              <w:t>次</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5</w:t>
            </w:r>
            <w:r>
              <w:rPr>
                <w:rFonts w:ascii="方正书宋_GBK" w:eastAsia="方正书宋_GBK" w:hint="eastAsia"/>
                <w:b/>
              </w:rPr>
              <w:t>、举办各类艺术培训</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举办舞蹈、声乐等艺术培训</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培养业余文艺骨干</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举办各类艺术培训不低于</w:t>
            </w:r>
            <w:r>
              <w:rPr>
                <w:rFonts w:ascii="方正书宋_GBK" w:eastAsia="方正书宋_GBK"/>
              </w:rPr>
              <w:t>12</w:t>
            </w:r>
            <w:r>
              <w:rPr>
                <w:rFonts w:ascii="方正书宋_GBK" w:eastAsia="方正书宋_GBK" w:hint="eastAsia"/>
              </w:rPr>
              <w:t>期</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&lt;60%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十五、文物保护、文物征集</w:t>
            </w:r>
          </w:p>
        </w:tc>
        <w:tc>
          <w:tcPr>
            <w:tcW w:w="1276" w:type="dxa"/>
            <w:vAlign w:val="center"/>
          </w:tcPr>
          <w:p w:rsidR="009C34BD" w:rsidRDefault="00E60D81">
            <w:pPr>
              <w:spacing w:line="300" w:lineRule="exact"/>
              <w:jc w:val="left"/>
              <w:rPr>
                <w:rFonts w:ascii="方正书宋_GBK" w:eastAsia="方正书宋_GBK"/>
              </w:rPr>
            </w:pPr>
            <w:r>
              <w:rPr>
                <w:rFonts w:ascii="方正书宋_GBK" w:eastAsia="方正书宋_GBK"/>
              </w:rPr>
              <w:t>10.00</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对全县的文物进行保护、对文物进行征集。</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使全县的文物得到保护，免于被破坏，使更多的文物得到保护</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、文物保护</w:t>
            </w:r>
          </w:p>
        </w:tc>
        <w:tc>
          <w:tcPr>
            <w:tcW w:w="1276" w:type="dxa"/>
            <w:vAlign w:val="center"/>
          </w:tcPr>
          <w:p w:rsidR="009C34BD" w:rsidRDefault="00E60D81">
            <w:pPr>
              <w:spacing w:line="300" w:lineRule="exact"/>
              <w:jc w:val="left"/>
              <w:rPr>
                <w:rFonts w:ascii="方正书宋_GBK" w:eastAsia="方正书宋_GBK"/>
              </w:rPr>
            </w:pPr>
            <w:r>
              <w:rPr>
                <w:rFonts w:ascii="方正书宋_GBK" w:eastAsia="方正书宋_GBK"/>
              </w:rPr>
              <w:t>10.00</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对全县文物保护点进行保护、修缮，积极做好文物普查工作。</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保护中国传统文化</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文物保护率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&lt;80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2</w:t>
            </w:r>
            <w:r>
              <w:rPr>
                <w:rFonts w:ascii="方正书宋_GBK" w:eastAsia="方正书宋_GBK" w:hint="eastAsia"/>
                <w:b/>
              </w:rPr>
              <w:t>、文物征集</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对全县文物保护点进行保护、</w:t>
            </w:r>
            <w:r>
              <w:rPr>
                <w:rFonts w:ascii="方正书宋_GBK" w:eastAsia="方正书宋_GBK" w:hint="eastAsia"/>
              </w:rPr>
              <w:lastRenderedPageBreak/>
              <w:t>修缮，积极做好文物普查工作。</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lastRenderedPageBreak/>
              <w:t>把散落在民间的文物收归国有</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件数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20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&lt;5</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十六、旅游市场开发推广及交流合作</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制定全县域内旅游、入境旅游和出境旅游的市场开发战略并组织实施；策划、推广全县旅游产品及旅游线路，开展旅游市场促销工作，指导支持县内各景区的旅游市场开发工作。</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通过旅游市场开发推广及交流合作，有效提高本县旅游的知名度、美誉度和影响力，吸引更多游客来我县旅游，从而促进我县旅游经济又好又快发展。</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、旅游市场开发推广及交流合作</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制定全县域内旅游、入境旅游和出境旅游的市场开发战略并组织实施；策划、推广全县旅游产品及旅游线路，开展旅游市场促销工作，指导支持县内各景区的旅游市场开发工作</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通过旅游市场开发推广及交流合作，有效提高本县旅游的知名度、美誉度和影响力，吸引更多游客来我县旅游，从而促进我县旅游经济又好又快发展。</w:t>
            </w:r>
            <w:r>
              <w:rPr>
                <w:rFonts w:ascii="方正书宋_GBK" w:eastAsia="方正书宋_GBK"/>
              </w:rPr>
              <w:t xml:space="preserve"> </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游客增长率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旅游收入增长率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13%</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11%</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11%</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十七、旅游宣传及信息化建设</w:t>
            </w:r>
          </w:p>
        </w:tc>
        <w:tc>
          <w:tcPr>
            <w:tcW w:w="1276" w:type="dxa"/>
            <w:vAlign w:val="center"/>
          </w:tcPr>
          <w:p w:rsidR="009C34BD" w:rsidRDefault="009C34BD">
            <w:pPr>
              <w:spacing w:line="300" w:lineRule="exact"/>
              <w:jc w:val="left"/>
              <w:rPr>
                <w:rFonts w:ascii="方正书宋_GBK" w:eastAsia="方正书宋_GBK"/>
              </w:rPr>
            </w:pP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开展旅游政务宣传、形象宣传、网络宣传，投放旅游广告、组织重点旅游线路和旅游目的地的宣传推广；旅游宣传品的设计、制作；开展新闻媒体记者采访考察工作；开展信息化建设工作</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提升旅游的知名度、吸引力，扩大旅游品牌形象的影响力，吸引更多游客来旅游观光。推动全行业信息化建设，提高政府服务意识、旅游企业网络营销理念和公众办事便利化水平。</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 xml:space="preserve">　　</w:t>
            </w:r>
            <w:r>
              <w:rPr>
                <w:rFonts w:ascii="方正书宋_GBK" w:eastAsia="方正书宋_GBK"/>
                <w:b/>
              </w:rPr>
              <w:t>1</w:t>
            </w:r>
            <w:r>
              <w:rPr>
                <w:rFonts w:ascii="方正书宋_GBK" w:eastAsia="方正书宋_GBK" w:hint="eastAsia"/>
                <w:b/>
              </w:rPr>
              <w:t>、旅游政务及形象宣传</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开展旅游政务宣传、形象宣传、网络宣传，投放旅游广告、组织重点旅游线路和旅游目的地的宣传推广，旅游宣传品的设</w:t>
            </w:r>
            <w:r>
              <w:rPr>
                <w:rFonts w:ascii="方正书宋_GBK" w:eastAsia="方正书宋_GBK" w:hint="eastAsia"/>
              </w:rPr>
              <w:lastRenderedPageBreak/>
              <w:t>计、制作；开展新闻媒体记者采访考察工作。</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lastRenderedPageBreak/>
              <w:t>项目实施有效提升旅游的知名度、吸引力，扩大旅游品牌形象的影响力，吸引更多游客来旅游观光。</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广播媒体投放广告时长</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项目实施有效提升旅游</w:t>
            </w:r>
            <w:r>
              <w:rPr>
                <w:rFonts w:ascii="方正书宋_GBK" w:eastAsia="方正书宋_GBK" w:hint="eastAsia"/>
              </w:rPr>
              <w:lastRenderedPageBreak/>
              <w:t>的知名度、吸引力，扩大旅游品牌形象的影响力，吸引更多游客来旅游观光。</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lastRenderedPageBreak/>
              <w:t>≥</w:t>
            </w:r>
            <w:r>
              <w:rPr>
                <w:rFonts w:ascii="方正书宋_GBK" w:eastAsia="方正书宋_GBK"/>
              </w:rPr>
              <w:t>6</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项目实施有效提升旅游的知名度、吸引力，扩大旅游品牌形象的影响力，吸引更多游客来旅游观光。</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12</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项目实施有效提升旅游的知名度、吸引力，扩大旅游品牌形象的影响力，吸引更多游客来旅游观光。</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设立户外广告牌数量</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2</w:t>
            </w:r>
            <w:r>
              <w:rPr>
                <w:rFonts w:ascii="方正书宋_GBK" w:eastAsia="方正书宋_GBK" w:hint="eastAsia"/>
                <w:b/>
              </w:rPr>
              <w:t>、旅游信息化建设</w:t>
            </w:r>
          </w:p>
        </w:tc>
        <w:tc>
          <w:tcPr>
            <w:tcW w:w="1276" w:type="dxa"/>
            <w:vMerge w:val="restart"/>
            <w:vAlign w:val="center"/>
          </w:tcPr>
          <w:p w:rsidR="009C34BD" w:rsidRDefault="009C34BD">
            <w:pPr>
              <w:spacing w:line="300" w:lineRule="exact"/>
              <w:jc w:val="left"/>
              <w:rPr>
                <w:rFonts w:ascii="方正书宋_GBK" w:eastAsia="方正书宋_GBK"/>
              </w:rPr>
            </w:pP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通过对旅游门户网站、电子政务系统、旅游平台等信息化内容的建设和维护，为从业人员及游客提供更加便捷的体验和服务。</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通过对旅游网站及电子政务系统的完善和管理，推动全行业信息化建设，提高政府服务意识和公众办事便利化程度，推进智慧旅游建设。</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rPr>
              <w:t>A</w:t>
            </w:r>
            <w:r>
              <w:rPr>
                <w:rFonts w:ascii="方正书宋_GBK" w:eastAsia="方正书宋_GBK" w:hint="eastAsia"/>
              </w:rPr>
              <w:t>级景区监测数量</w:t>
            </w: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网站公开信息数量</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200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150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邀请信息化专业人士参与信息化建设的次数</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4</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rPr>
              <w:t>3</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30</w:t>
            </w:r>
          </w:p>
        </w:tc>
      </w:tr>
      <w:tr w:rsidR="009C34BD">
        <w:trPr>
          <w:trHeight w:val="227"/>
          <w:jc w:val="center"/>
        </w:trPr>
        <w:tc>
          <w:tcPr>
            <w:tcW w:w="2341" w:type="dxa"/>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t>十八、旅游规划及重点项目建设</w:t>
            </w:r>
          </w:p>
        </w:tc>
        <w:tc>
          <w:tcPr>
            <w:tcW w:w="1276" w:type="dxa"/>
            <w:vAlign w:val="center"/>
          </w:tcPr>
          <w:p w:rsidR="009C34BD" w:rsidRDefault="00E60D81">
            <w:pPr>
              <w:spacing w:line="300" w:lineRule="exact"/>
              <w:jc w:val="left"/>
              <w:rPr>
                <w:rFonts w:ascii="方正书宋_GBK" w:eastAsia="方正书宋_GBK"/>
              </w:rPr>
            </w:pPr>
            <w:r>
              <w:rPr>
                <w:rFonts w:ascii="方正书宋_GBK" w:eastAsia="方正书宋_GBK"/>
              </w:rPr>
              <w:t>191.00</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全县旅游资源普查、规划、开发和相关保护工作；指导全县重点旅游区域、旅游目的地和旅游线路的规划开发，引导社会资本投资旅游业，推动旅游产业引导股权投资基金筛选优质项目，开展项目投资；加大全县旅游重点项目建设统筹力度，会同有关部门开展旅游产业投资和重大旅游项目建设的协调、服务工作；促进旅游新业态发展和旅游带动就业及扶贫工作，大力发展乡村旅游；开展旅游厕所革命，提高旅游厕所建设管理水平；协调和指导全县假日旅游和红色旅游工</w:t>
            </w:r>
            <w:r>
              <w:rPr>
                <w:rFonts w:ascii="方正书宋_GBK" w:eastAsia="方正书宋_GBK" w:hint="eastAsia"/>
              </w:rPr>
              <w:lastRenderedPageBreak/>
              <w:t>作。</w:t>
            </w:r>
          </w:p>
        </w:tc>
        <w:tc>
          <w:tcPr>
            <w:tcW w:w="2976"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lastRenderedPageBreak/>
              <w:t>引导撬动更多社会资金投资旅游产业，推动旅游与</w:t>
            </w:r>
            <w:r>
              <w:rPr>
                <w:rFonts w:ascii="方正书宋_GBK" w:eastAsia="方正书宋_GBK"/>
              </w:rPr>
              <w:t xml:space="preserve"> </w:t>
            </w:r>
            <w:r>
              <w:rPr>
                <w:rFonts w:ascii="方正书宋_GBK" w:eastAsia="方正书宋_GBK" w:hint="eastAsia"/>
              </w:rPr>
              <w:t>产业融合发展，为打造旅游升级版提供项目支撑，创建具有较强知名度、美誉度和影响力的旅游目的地体系。</w:t>
            </w:r>
          </w:p>
        </w:tc>
        <w:tc>
          <w:tcPr>
            <w:tcW w:w="1417" w:type="dxa"/>
            <w:vAlign w:val="center"/>
          </w:tcPr>
          <w:p w:rsidR="009C34BD" w:rsidRDefault="009C34BD">
            <w:pPr>
              <w:spacing w:line="300" w:lineRule="exact"/>
              <w:jc w:val="left"/>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c>
          <w:tcPr>
            <w:tcW w:w="737" w:type="dxa"/>
            <w:vAlign w:val="center"/>
          </w:tcPr>
          <w:p w:rsidR="009C34BD" w:rsidRDefault="009C34BD">
            <w:pPr>
              <w:spacing w:line="300" w:lineRule="exact"/>
              <w:jc w:val="center"/>
              <w:rPr>
                <w:rFonts w:ascii="方正书宋_GBK" w:eastAsia="方正书宋_GBK"/>
              </w:rPr>
            </w:pPr>
          </w:p>
        </w:tc>
      </w:tr>
      <w:tr w:rsidR="009C34BD">
        <w:trPr>
          <w:trHeight w:val="227"/>
          <w:jc w:val="center"/>
        </w:trPr>
        <w:tc>
          <w:tcPr>
            <w:tcW w:w="2341" w:type="dxa"/>
            <w:vMerge w:val="restart"/>
            <w:vAlign w:val="center"/>
          </w:tcPr>
          <w:p w:rsidR="009C34BD" w:rsidRDefault="00E60D81">
            <w:pPr>
              <w:spacing w:line="300" w:lineRule="exact"/>
              <w:jc w:val="left"/>
              <w:rPr>
                <w:rFonts w:ascii="方正书宋_GBK" w:eastAsia="方正书宋_GBK"/>
                <w:b/>
              </w:rPr>
            </w:pPr>
            <w:r>
              <w:rPr>
                <w:rFonts w:ascii="方正书宋_GBK" w:eastAsia="方正书宋_GBK" w:hint="eastAsia"/>
                <w:b/>
              </w:rPr>
              <w:lastRenderedPageBreak/>
              <w:t xml:space="preserve">　　</w:t>
            </w:r>
            <w:r>
              <w:rPr>
                <w:rFonts w:ascii="方正书宋_GBK" w:eastAsia="方正书宋_GBK"/>
                <w:b/>
              </w:rPr>
              <w:t>1</w:t>
            </w:r>
            <w:r>
              <w:rPr>
                <w:rFonts w:ascii="方正书宋_GBK" w:eastAsia="方正书宋_GBK" w:hint="eastAsia"/>
                <w:b/>
              </w:rPr>
              <w:t>、旅游规划及重点项目建设</w:t>
            </w:r>
          </w:p>
        </w:tc>
        <w:tc>
          <w:tcPr>
            <w:tcW w:w="12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rPr>
              <w:t>191.00</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组织全县旅游资源普查、规划、开发和相关保护工作；指导全县重点旅游区域、旅游目的地和旅游线路的规划开发，引导社会资本投资旅游业，推动本县旅游产业引导股权投资基金筛选优质项目，开展项目投资；加大全县旅游重点项目建设统筹力度，会同有关部门开展旅游产业投资和重大旅游项目建设的协调、服务工作；促进旅游新业态发展和旅游带动就业及扶贫工作，大力发展乡村旅游；开展旅游厕所革命，提高旅游厕所建设管理水平；协调和指导全县假日旅游和红色旅游工作。</w:t>
            </w:r>
          </w:p>
        </w:tc>
        <w:tc>
          <w:tcPr>
            <w:tcW w:w="2976" w:type="dxa"/>
            <w:vMerge w:val="restart"/>
            <w:vAlign w:val="center"/>
          </w:tcPr>
          <w:p w:rsidR="009C34BD" w:rsidRDefault="00E60D81">
            <w:pPr>
              <w:spacing w:line="300" w:lineRule="exact"/>
              <w:jc w:val="left"/>
              <w:rPr>
                <w:rFonts w:ascii="方正书宋_GBK" w:eastAsia="方正书宋_GBK"/>
              </w:rPr>
            </w:pPr>
            <w:r>
              <w:rPr>
                <w:rFonts w:ascii="方正书宋_GBK" w:eastAsia="方正书宋_GBK" w:hint="eastAsia"/>
              </w:rPr>
              <w:t>引导撬动更多社会资金投资旅游产业，推动旅游与</w:t>
            </w:r>
            <w:r>
              <w:rPr>
                <w:rFonts w:ascii="方正书宋_GBK" w:eastAsia="方正书宋_GBK"/>
              </w:rPr>
              <w:t xml:space="preserve"> </w:t>
            </w:r>
            <w:r>
              <w:rPr>
                <w:rFonts w:ascii="方正书宋_GBK" w:eastAsia="方正书宋_GBK" w:hint="eastAsia"/>
              </w:rPr>
              <w:t>产业融合发展，为打造本县旅游升级版提供项目支撑，创建具有较强知名度、美誉度和影响力的本市旅游目的地体系。</w:t>
            </w: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引导撬动资金数额</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90%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rPr>
              <w:t>A</w:t>
            </w:r>
            <w:r>
              <w:rPr>
                <w:rFonts w:ascii="方正书宋_GBK" w:eastAsia="方正书宋_GBK" w:hint="eastAsia"/>
              </w:rPr>
              <w:t>级景区、红色旅游景点游客增长率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6%</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4%</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乡村旅游接待游客同比增长率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5%</w:t>
            </w:r>
          </w:p>
        </w:tc>
      </w:tr>
      <w:tr w:rsidR="009C34BD">
        <w:trPr>
          <w:trHeight w:val="227"/>
          <w:jc w:val="center"/>
        </w:trPr>
        <w:tc>
          <w:tcPr>
            <w:tcW w:w="2341" w:type="dxa"/>
            <w:vMerge/>
            <w:vAlign w:val="center"/>
          </w:tcPr>
          <w:p w:rsidR="009C34BD" w:rsidRDefault="009C34BD">
            <w:pPr>
              <w:spacing w:line="300" w:lineRule="exact"/>
              <w:jc w:val="left"/>
              <w:rPr>
                <w:rFonts w:ascii="方正书宋_GBK" w:eastAsia="方正书宋_GBK"/>
                <w:b/>
              </w:rPr>
            </w:pPr>
          </w:p>
        </w:tc>
        <w:tc>
          <w:tcPr>
            <w:tcW w:w="12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2976" w:type="dxa"/>
            <w:vMerge/>
            <w:vAlign w:val="center"/>
          </w:tcPr>
          <w:p w:rsidR="009C34BD" w:rsidRDefault="009C34BD">
            <w:pPr>
              <w:spacing w:line="300" w:lineRule="exact"/>
              <w:jc w:val="left"/>
              <w:rPr>
                <w:rFonts w:ascii="方正书宋_GBK" w:eastAsia="方正书宋_GBK"/>
              </w:rPr>
            </w:pPr>
          </w:p>
        </w:tc>
        <w:tc>
          <w:tcPr>
            <w:tcW w:w="1417" w:type="dxa"/>
            <w:vAlign w:val="center"/>
          </w:tcPr>
          <w:p w:rsidR="009C34BD" w:rsidRDefault="00E60D81">
            <w:pPr>
              <w:spacing w:line="300" w:lineRule="exact"/>
              <w:jc w:val="left"/>
              <w:rPr>
                <w:rFonts w:ascii="方正书宋_GBK" w:eastAsia="方正书宋_GBK"/>
              </w:rPr>
            </w:pPr>
            <w:r>
              <w:rPr>
                <w:rFonts w:ascii="方正书宋_GBK" w:eastAsia="方正书宋_GBK" w:hint="eastAsia"/>
              </w:rPr>
              <w:t>旅游厕所建设改造完成率</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100%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80%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c>
          <w:tcPr>
            <w:tcW w:w="737"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w:t>
            </w:r>
            <w:r>
              <w:rPr>
                <w:rFonts w:ascii="方正书宋_GBK" w:eastAsia="方正书宋_GBK"/>
              </w:rPr>
              <w:t>70%</w:t>
            </w:r>
          </w:p>
        </w:tc>
      </w:tr>
    </w:tbl>
    <w:p w:rsidR="009C34BD" w:rsidRDefault="00E60D81">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六、政府采购预算情况</w:t>
      </w:r>
    </w:p>
    <w:p w:rsidR="009C34BD" w:rsidRDefault="00E60D81">
      <w:pPr>
        <w:outlineLvl w:val="0"/>
        <w:rPr>
          <w:rFonts w:ascii="仿宋" w:eastAsia="Times New Roman" w:hAnsi="仿宋" w:cs="仿宋"/>
          <w:sz w:val="30"/>
          <w:szCs w:val="30"/>
        </w:rPr>
      </w:pPr>
      <w:r>
        <w:rPr>
          <w:rFonts w:ascii="Times New Roman" w:eastAsia="Times New Roman" w:hAnsi="Times New Roman"/>
          <w:sz w:val="32"/>
          <w:szCs w:val="24"/>
        </w:rPr>
        <w:t xml:space="preserve">    </w:t>
      </w:r>
      <w:r>
        <w:rPr>
          <w:rFonts w:ascii="Times New Roman" w:eastAsia="Times New Roman" w:hAnsi="Times New Roman"/>
          <w:sz w:val="30"/>
          <w:szCs w:val="30"/>
        </w:rPr>
        <w:t>2019</w:t>
      </w:r>
      <w:r>
        <w:rPr>
          <w:rFonts w:ascii="Times New Roman" w:hAnsi="Times New Roman" w:hint="eastAsia"/>
          <w:sz w:val="30"/>
          <w:szCs w:val="30"/>
        </w:rPr>
        <w:t>年我单位没有安排政府采购预算，政府采购预算金额为</w:t>
      </w:r>
      <w:r>
        <w:rPr>
          <w:rFonts w:ascii="Times New Roman" w:eastAsia="Times New Roman" w:hAnsi="Times New Roman"/>
          <w:sz w:val="30"/>
          <w:szCs w:val="30"/>
        </w:rPr>
        <w:t>0</w:t>
      </w:r>
      <w:r>
        <w:rPr>
          <w:rFonts w:ascii="Times New Roman" w:hAnsi="Times New Roman" w:hint="eastAsia"/>
          <w:sz w:val="30"/>
          <w:szCs w:val="30"/>
        </w:rPr>
        <w:t>万元。</w:t>
      </w:r>
    </w:p>
    <w:p w:rsidR="009C34BD" w:rsidRDefault="00E60D81">
      <w:pPr>
        <w:spacing w:line="540" w:lineRule="exact"/>
        <w:jc w:val="center"/>
        <w:outlineLvl w:val="0"/>
        <w:rPr>
          <w:rFonts w:ascii="方正小标宋_GBK" w:eastAsia="方正小标宋_GBK" w:hAnsi="Times New Roman"/>
          <w:sz w:val="32"/>
          <w:szCs w:val="24"/>
        </w:rPr>
      </w:pPr>
      <w:r>
        <w:rPr>
          <w:rFonts w:ascii="方正小标宋_GBK" w:eastAsia="方正小标宋_GBK" w:hAnsi="Times New Roman" w:hint="eastAsia"/>
          <w:sz w:val="32"/>
          <w:szCs w:val="24"/>
        </w:rPr>
        <w:t>部门政府采购预算</w:t>
      </w:r>
    </w:p>
    <w:tbl>
      <w:tblPr>
        <w:tblW w:w="14568"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2448"/>
        <w:gridCol w:w="1099"/>
        <w:gridCol w:w="974"/>
        <w:gridCol w:w="986"/>
        <w:gridCol w:w="760"/>
        <w:gridCol w:w="760"/>
        <w:gridCol w:w="848"/>
        <w:gridCol w:w="961"/>
        <w:gridCol w:w="961"/>
        <w:gridCol w:w="961"/>
        <w:gridCol w:w="961"/>
        <w:gridCol w:w="964"/>
        <w:gridCol w:w="964"/>
        <w:gridCol w:w="921"/>
      </w:tblGrid>
      <w:tr w:rsidR="009C34BD">
        <w:trPr>
          <w:tblHeader/>
          <w:jc w:val="center"/>
        </w:trPr>
        <w:tc>
          <w:tcPr>
            <w:tcW w:w="7875" w:type="dxa"/>
            <w:gridSpan w:val="7"/>
            <w:tcBorders>
              <w:top w:val="single" w:sz="6" w:space="0" w:color="FFFFFF"/>
              <w:left w:val="single" w:sz="6" w:space="0" w:color="FFFFFF"/>
              <w:right w:val="single" w:sz="6" w:space="0" w:color="FFFFFF"/>
            </w:tcBorders>
            <w:vAlign w:val="center"/>
          </w:tcPr>
          <w:p w:rsidR="009C34BD" w:rsidRDefault="00E60D81">
            <w:pPr>
              <w:spacing w:line="300" w:lineRule="exact"/>
              <w:jc w:val="left"/>
              <w:rPr>
                <w:rFonts w:ascii="方正小标宋_GBK" w:eastAsia="方正小标宋_GBK"/>
                <w:sz w:val="24"/>
              </w:rPr>
            </w:pPr>
            <w:r>
              <w:rPr>
                <w:rFonts w:ascii="方正小标宋_GBK" w:eastAsia="方正小标宋_GBK"/>
                <w:sz w:val="24"/>
              </w:rPr>
              <w:lastRenderedPageBreak/>
              <w:t>357</w:t>
            </w:r>
            <w:r>
              <w:rPr>
                <w:rFonts w:ascii="宋体" w:hAnsi="宋体" w:cs="宋体" w:hint="eastAsia"/>
                <w:kern w:val="0"/>
                <w:sz w:val="22"/>
              </w:rPr>
              <w:t>赞皇县文化广电体育和旅游局</w:t>
            </w:r>
          </w:p>
        </w:tc>
        <w:tc>
          <w:tcPr>
            <w:tcW w:w="6693" w:type="dxa"/>
            <w:gridSpan w:val="7"/>
            <w:tcBorders>
              <w:top w:val="single" w:sz="6" w:space="0" w:color="FFFFFF"/>
              <w:left w:val="single" w:sz="6" w:space="0" w:color="FFFFFF"/>
              <w:right w:val="single" w:sz="6" w:space="0" w:color="FFFFFF"/>
            </w:tcBorders>
            <w:vAlign w:val="center"/>
          </w:tcPr>
          <w:p w:rsidR="009C34BD" w:rsidRDefault="00E60D81">
            <w:pPr>
              <w:spacing w:line="300" w:lineRule="exact"/>
              <w:jc w:val="right"/>
              <w:rPr>
                <w:rFonts w:ascii="方正书宋_GBK" w:eastAsia="方正书宋_GBK"/>
                <w:sz w:val="24"/>
              </w:rPr>
            </w:pPr>
            <w:r>
              <w:rPr>
                <w:rFonts w:ascii="方正书宋_GBK" w:eastAsia="方正书宋_GBK" w:hint="eastAsia"/>
                <w:sz w:val="24"/>
              </w:rPr>
              <w:t>单位：万元</w:t>
            </w:r>
          </w:p>
        </w:tc>
      </w:tr>
      <w:tr w:rsidR="009C34BD">
        <w:trPr>
          <w:tblHeader/>
          <w:jc w:val="center"/>
        </w:trPr>
        <w:tc>
          <w:tcPr>
            <w:tcW w:w="3547" w:type="dxa"/>
            <w:gridSpan w:val="2"/>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政府采购项目来源</w:t>
            </w:r>
          </w:p>
        </w:tc>
        <w:tc>
          <w:tcPr>
            <w:tcW w:w="974"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采购物品名称</w:t>
            </w:r>
          </w:p>
        </w:tc>
        <w:tc>
          <w:tcPr>
            <w:tcW w:w="986"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政府采购目录序号</w:t>
            </w:r>
          </w:p>
        </w:tc>
        <w:tc>
          <w:tcPr>
            <w:tcW w:w="760"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数量</w:t>
            </w:r>
            <w:r>
              <w:rPr>
                <w:rFonts w:ascii="方正书宋_GBK" w:eastAsia="方正书宋_GBK"/>
                <w:b/>
              </w:rPr>
              <w:t xml:space="preserve">  </w:t>
            </w:r>
            <w:r>
              <w:rPr>
                <w:rFonts w:ascii="方正书宋_GBK" w:eastAsia="方正书宋_GBK" w:hint="eastAsia"/>
                <w:b/>
              </w:rPr>
              <w:t>单位</w:t>
            </w:r>
          </w:p>
        </w:tc>
        <w:tc>
          <w:tcPr>
            <w:tcW w:w="760"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数量</w:t>
            </w:r>
          </w:p>
        </w:tc>
        <w:tc>
          <w:tcPr>
            <w:tcW w:w="848"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单价</w:t>
            </w:r>
          </w:p>
        </w:tc>
        <w:tc>
          <w:tcPr>
            <w:tcW w:w="6693" w:type="dxa"/>
            <w:gridSpan w:val="7"/>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政府采购金额</w:t>
            </w:r>
          </w:p>
        </w:tc>
      </w:tr>
      <w:tr w:rsidR="009C34BD">
        <w:trPr>
          <w:tblHeader/>
          <w:jc w:val="center"/>
        </w:trPr>
        <w:tc>
          <w:tcPr>
            <w:tcW w:w="2448"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项目名称</w:t>
            </w:r>
          </w:p>
        </w:tc>
        <w:tc>
          <w:tcPr>
            <w:tcW w:w="1099"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预算资金</w:t>
            </w:r>
          </w:p>
        </w:tc>
        <w:tc>
          <w:tcPr>
            <w:tcW w:w="974" w:type="dxa"/>
            <w:vMerge/>
            <w:vAlign w:val="center"/>
          </w:tcPr>
          <w:p w:rsidR="009C34BD" w:rsidRDefault="009C34BD">
            <w:pPr>
              <w:widowControl/>
              <w:jc w:val="left"/>
              <w:rPr>
                <w:rFonts w:ascii="方正书宋_GBK" w:eastAsia="方正书宋_GBK"/>
                <w:b/>
              </w:rPr>
            </w:pPr>
          </w:p>
        </w:tc>
        <w:tc>
          <w:tcPr>
            <w:tcW w:w="986" w:type="dxa"/>
            <w:vMerge/>
            <w:vAlign w:val="center"/>
          </w:tcPr>
          <w:p w:rsidR="009C34BD" w:rsidRDefault="009C34BD">
            <w:pPr>
              <w:widowControl/>
              <w:jc w:val="left"/>
              <w:rPr>
                <w:rFonts w:ascii="方正书宋_GBK" w:eastAsia="方正书宋_GBK"/>
                <w:b/>
              </w:rPr>
            </w:pPr>
          </w:p>
        </w:tc>
        <w:tc>
          <w:tcPr>
            <w:tcW w:w="760" w:type="dxa"/>
            <w:vMerge/>
            <w:vAlign w:val="center"/>
          </w:tcPr>
          <w:p w:rsidR="009C34BD" w:rsidRDefault="009C34BD">
            <w:pPr>
              <w:widowControl/>
              <w:jc w:val="left"/>
              <w:rPr>
                <w:rFonts w:ascii="方正书宋_GBK" w:eastAsia="方正书宋_GBK"/>
                <w:b/>
              </w:rPr>
            </w:pPr>
          </w:p>
        </w:tc>
        <w:tc>
          <w:tcPr>
            <w:tcW w:w="760" w:type="dxa"/>
            <w:vMerge/>
            <w:vAlign w:val="center"/>
          </w:tcPr>
          <w:p w:rsidR="009C34BD" w:rsidRDefault="009C34BD">
            <w:pPr>
              <w:widowControl/>
              <w:jc w:val="left"/>
              <w:rPr>
                <w:rFonts w:ascii="方正书宋_GBK" w:eastAsia="方正书宋_GBK"/>
                <w:b/>
              </w:rPr>
            </w:pPr>
          </w:p>
        </w:tc>
        <w:tc>
          <w:tcPr>
            <w:tcW w:w="848" w:type="dxa"/>
            <w:vMerge/>
            <w:vAlign w:val="center"/>
          </w:tcPr>
          <w:p w:rsidR="009C34BD" w:rsidRDefault="009C34BD">
            <w:pPr>
              <w:widowControl/>
              <w:jc w:val="left"/>
              <w:rPr>
                <w:rFonts w:ascii="方正书宋_GBK" w:eastAsia="方正书宋_GBK"/>
                <w:b/>
              </w:rPr>
            </w:pPr>
          </w:p>
        </w:tc>
        <w:tc>
          <w:tcPr>
            <w:tcW w:w="961"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总计</w:t>
            </w:r>
          </w:p>
        </w:tc>
        <w:tc>
          <w:tcPr>
            <w:tcW w:w="4811" w:type="dxa"/>
            <w:gridSpan w:val="5"/>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当年部门预算安排资金</w:t>
            </w:r>
          </w:p>
        </w:tc>
        <w:tc>
          <w:tcPr>
            <w:tcW w:w="921" w:type="dxa"/>
            <w:vMerge w:val="restart"/>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其他渠道资金</w:t>
            </w:r>
          </w:p>
        </w:tc>
      </w:tr>
      <w:tr w:rsidR="009C34BD">
        <w:trPr>
          <w:tblHeader/>
          <w:jc w:val="center"/>
        </w:trPr>
        <w:tc>
          <w:tcPr>
            <w:tcW w:w="7875" w:type="dxa"/>
            <w:vMerge/>
            <w:vAlign w:val="center"/>
          </w:tcPr>
          <w:p w:rsidR="009C34BD" w:rsidRDefault="009C34BD">
            <w:pPr>
              <w:widowControl/>
              <w:jc w:val="left"/>
              <w:rPr>
                <w:rFonts w:ascii="方正书宋_GBK" w:eastAsia="方正书宋_GBK"/>
                <w:b/>
              </w:rPr>
            </w:pPr>
          </w:p>
        </w:tc>
        <w:tc>
          <w:tcPr>
            <w:tcW w:w="1099" w:type="dxa"/>
            <w:vMerge/>
            <w:vAlign w:val="center"/>
          </w:tcPr>
          <w:p w:rsidR="009C34BD" w:rsidRDefault="009C34BD">
            <w:pPr>
              <w:widowControl/>
              <w:jc w:val="left"/>
              <w:rPr>
                <w:rFonts w:ascii="方正书宋_GBK" w:eastAsia="方正书宋_GBK"/>
                <w:b/>
              </w:rPr>
            </w:pPr>
          </w:p>
        </w:tc>
        <w:tc>
          <w:tcPr>
            <w:tcW w:w="974" w:type="dxa"/>
            <w:vMerge/>
            <w:vAlign w:val="center"/>
          </w:tcPr>
          <w:p w:rsidR="009C34BD" w:rsidRDefault="009C34BD">
            <w:pPr>
              <w:widowControl/>
              <w:jc w:val="left"/>
              <w:rPr>
                <w:rFonts w:ascii="方正书宋_GBK" w:eastAsia="方正书宋_GBK"/>
                <w:b/>
              </w:rPr>
            </w:pPr>
          </w:p>
        </w:tc>
        <w:tc>
          <w:tcPr>
            <w:tcW w:w="986" w:type="dxa"/>
            <w:vMerge/>
            <w:vAlign w:val="center"/>
          </w:tcPr>
          <w:p w:rsidR="009C34BD" w:rsidRDefault="009C34BD">
            <w:pPr>
              <w:widowControl/>
              <w:jc w:val="left"/>
              <w:rPr>
                <w:rFonts w:ascii="方正书宋_GBK" w:eastAsia="方正书宋_GBK"/>
                <w:b/>
              </w:rPr>
            </w:pPr>
          </w:p>
        </w:tc>
        <w:tc>
          <w:tcPr>
            <w:tcW w:w="760" w:type="dxa"/>
            <w:vMerge/>
            <w:vAlign w:val="center"/>
          </w:tcPr>
          <w:p w:rsidR="009C34BD" w:rsidRDefault="009C34BD">
            <w:pPr>
              <w:widowControl/>
              <w:jc w:val="left"/>
              <w:rPr>
                <w:rFonts w:ascii="方正书宋_GBK" w:eastAsia="方正书宋_GBK"/>
                <w:b/>
              </w:rPr>
            </w:pPr>
          </w:p>
        </w:tc>
        <w:tc>
          <w:tcPr>
            <w:tcW w:w="760" w:type="dxa"/>
            <w:vMerge/>
            <w:vAlign w:val="center"/>
          </w:tcPr>
          <w:p w:rsidR="009C34BD" w:rsidRDefault="009C34BD">
            <w:pPr>
              <w:widowControl/>
              <w:jc w:val="left"/>
              <w:rPr>
                <w:rFonts w:ascii="方正书宋_GBK" w:eastAsia="方正书宋_GBK"/>
                <w:b/>
              </w:rPr>
            </w:pPr>
          </w:p>
        </w:tc>
        <w:tc>
          <w:tcPr>
            <w:tcW w:w="848" w:type="dxa"/>
            <w:vMerge/>
            <w:vAlign w:val="center"/>
          </w:tcPr>
          <w:p w:rsidR="009C34BD" w:rsidRDefault="009C34BD">
            <w:pPr>
              <w:widowControl/>
              <w:jc w:val="left"/>
              <w:rPr>
                <w:rFonts w:ascii="方正书宋_GBK" w:eastAsia="方正书宋_GBK"/>
                <w:b/>
              </w:rPr>
            </w:pPr>
          </w:p>
        </w:tc>
        <w:tc>
          <w:tcPr>
            <w:tcW w:w="6693" w:type="dxa"/>
            <w:vMerge/>
            <w:vAlign w:val="center"/>
          </w:tcPr>
          <w:p w:rsidR="009C34BD" w:rsidRDefault="009C34BD">
            <w:pPr>
              <w:widowControl/>
              <w:jc w:val="left"/>
              <w:rPr>
                <w:rFonts w:ascii="方正书宋_GBK" w:eastAsia="方正书宋_GBK"/>
                <w:b/>
              </w:rPr>
            </w:pPr>
          </w:p>
        </w:tc>
        <w:tc>
          <w:tcPr>
            <w:tcW w:w="961"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合计</w:t>
            </w:r>
          </w:p>
        </w:tc>
        <w:tc>
          <w:tcPr>
            <w:tcW w:w="961"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一般公共预算拨款</w:t>
            </w:r>
          </w:p>
        </w:tc>
        <w:tc>
          <w:tcPr>
            <w:tcW w:w="961"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基金预算拨款</w:t>
            </w:r>
          </w:p>
        </w:tc>
        <w:tc>
          <w:tcPr>
            <w:tcW w:w="964"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财政专户核拨</w:t>
            </w:r>
          </w:p>
        </w:tc>
        <w:tc>
          <w:tcPr>
            <w:tcW w:w="964"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其他来源收入</w:t>
            </w:r>
          </w:p>
        </w:tc>
        <w:tc>
          <w:tcPr>
            <w:tcW w:w="921" w:type="dxa"/>
            <w:vMerge/>
            <w:vAlign w:val="center"/>
          </w:tcPr>
          <w:p w:rsidR="009C34BD" w:rsidRDefault="009C34BD">
            <w:pPr>
              <w:widowControl/>
              <w:jc w:val="left"/>
              <w:rPr>
                <w:rFonts w:ascii="方正书宋_GBK" w:eastAsia="方正书宋_GBK"/>
                <w:b/>
              </w:rPr>
            </w:pPr>
          </w:p>
        </w:tc>
      </w:tr>
      <w:tr w:rsidR="009C34BD">
        <w:trPr>
          <w:jc w:val="center"/>
        </w:trPr>
        <w:tc>
          <w:tcPr>
            <w:tcW w:w="2448" w:type="dxa"/>
            <w:vAlign w:val="center"/>
          </w:tcPr>
          <w:p w:rsidR="009C34BD" w:rsidRDefault="00E60D81">
            <w:pPr>
              <w:spacing w:line="300" w:lineRule="exact"/>
              <w:jc w:val="center"/>
              <w:rPr>
                <w:rFonts w:ascii="方正书宋_GBK" w:eastAsia="方正书宋_GBK"/>
                <w:b/>
              </w:rPr>
            </w:pPr>
            <w:r>
              <w:rPr>
                <w:rFonts w:ascii="方正书宋_GBK" w:eastAsia="方正书宋_GBK" w:hint="eastAsia"/>
                <w:b/>
              </w:rPr>
              <w:t>合　计</w:t>
            </w:r>
          </w:p>
        </w:tc>
        <w:tc>
          <w:tcPr>
            <w:tcW w:w="1099" w:type="dxa"/>
            <w:vAlign w:val="center"/>
          </w:tcPr>
          <w:p w:rsidR="009C34BD" w:rsidRDefault="009C34BD">
            <w:pPr>
              <w:spacing w:line="300" w:lineRule="exact"/>
              <w:jc w:val="right"/>
              <w:rPr>
                <w:rFonts w:ascii="方正书宋_GBK" w:eastAsia="方正书宋_GBK"/>
                <w:b/>
              </w:rPr>
            </w:pPr>
          </w:p>
        </w:tc>
        <w:tc>
          <w:tcPr>
            <w:tcW w:w="974" w:type="dxa"/>
            <w:vAlign w:val="center"/>
          </w:tcPr>
          <w:p w:rsidR="009C34BD" w:rsidRDefault="009C34BD">
            <w:pPr>
              <w:spacing w:line="300" w:lineRule="exact"/>
              <w:jc w:val="left"/>
              <w:rPr>
                <w:rFonts w:ascii="方正书宋_GBK" w:eastAsia="方正书宋_GBK"/>
                <w:b/>
              </w:rPr>
            </w:pPr>
          </w:p>
        </w:tc>
        <w:tc>
          <w:tcPr>
            <w:tcW w:w="986" w:type="dxa"/>
            <w:vAlign w:val="center"/>
          </w:tcPr>
          <w:p w:rsidR="009C34BD" w:rsidRDefault="009C34BD">
            <w:pPr>
              <w:spacing w:line="300" w:lineRule="exact"/>
              <w:jc w:val="left"/>
              <w:rPr>
                <w:rFonts w:ascii="方正书宋_GBK" w:eastAsia="方正书宋_GBK"/>
                <w:b/>
              </w:rPr>
            </w:pPr>
          </w:p>
        </w:tc>
        <w:tc>
          <w:tcPr>
            <w:tcW w:w="760" w:type="dxa"/>
            <w:vAlign w:val="center"/>
          </w:tcPr>
          <w:p w:rsidR="009C34BD" w:rsidRDefault="009C34BD">
            <w:pPr>
              <w:spacing w:line="300" w:lineRule="exact"/>
              <w:jc w:val="left"/>
              <w:rPr>
                <w:rFonts w:ascii="方正书宋_GBK" w:eastAsia="方正书宋_GBK"/>
                <w:b/>
              </w:rPr>
            </w:pPr>
          </w:p>
        </w:tc>
        <w:tc>
          <w:tcPr>
            <w:tcW w:w="760" w:type="dxa"/>
            <w:vAlign w:val="center"/>
          </w:tcPr>
          <w:p w:rsidR="009C34BD" w:rsidRDefault="009C34BD">
            <w:pPr>
              <w:spacing w:line="300" w:lineRule="exact"/>
              <w:jc w:val="right"/>
              <w:rPr>
                <w:rFonts w:ascii="方正书宋_GBK" w:eastAsia="方正书宋_GBK"/>
                <w:b/>
              </w:rPr>
            </w:pPr>
          </w:p>
        </w:tc>
        <w:tc>
          <w:tcPr>
            <w:tcW w:w="848" w:type="dxa"/>
            <w:vAlign w:val="center"/>
          </w:tcPr>
          <w:p w:rsidR="009C34BD" w:rsidRDefault="009C34BD">
            <w:pPr>
              <w:spacing w:line="300" w:lineRule="exact"/>
              <w:jc w:val="right"/>
              <w:rPr>
                <w:rFonts w:ascii="方正书宋_GBK" w:eastAsia="方正书宋_GBK"/>
                <w:b/>
              </w:rPr>
            </w:pPr>
          </w:p>
        </w:tc>
        <w:tc>
          <w:tcPr>
            <w:tcW w:w="961" w:type="dxa"/>
            <w:vAlign w:val="center"/>
          </w:tcPr>
          <w:p w:rsidR="009C34BD" w:rsidRDefault="009C34BD">
            <w:pPr>
              <w:spacing w:line="300" w:lineRule="exact"/>
              <w:jc w:val="right"/>
              <w:rPr>
                <w:rFonts w:ascii="方正书宋_GBK" w:eastAsia="方正书宋_GBK"/>
                <w:b/>
              </w:rPr>
            </w:pPr>
          </w:p>
        </w:tc>
        <w:tc>
          <w:tcPr>
            <w:tcW w:w="961" w:type="dxa"/>
            <w:vAlign w:val="center"/>
          </w:tcPr>
          <w:p w:rsidR="009C34BD" w:rsidRDefault="009C34BD">
            <w:pPr>
              <w:spacing w:line="300" w:lineRule="exact"/>
              <w:jc w:val="right"/>
              <w:rPr>
                <w:rFonts w:ascii="方正书宋_GBK" w:eastAsia="方正书宋_GBK"/>
                <w:b/>
              </w:rPr>
            </w:pPr>
          </w:p>
        </w:tc>
        <w:tc>
          <w:tcPr>
            <w:tcW w:w="961" w:type="dxa"/>
            <w:vAlign w:val="center"/>
          </w:tcPr>
          <w:p w:rsidR="009C34BD" w:rsidRDefault="009C34BD">
            <w:pPr>
              <w:spacing w:line="300" w:lineRule="exact"/>
              <w:jc w:val="right"/>
              <w:rPr>
                <w:rFonts w:ascii="方正书宋_GBK" w:eastAsia="方正书宋_GBK"/>
                <w:b/>
              </w:rPr>
            </w:pPr>
          </w:p>
        </w:tc>
        <w:tc>
          <w:tcPr>
            <w:tcW w:w="961" w:type="dxa"/>
            <w:vAlign w:val="center"/>
          </w:tcPr>
          <w:p w:rsidR="009C34BD" w:rsidRDefault="009C34BD">
            <w:pPr>
              <w:spacing w:line="300" w:lineRule="exact"/>
              <w:jc w:val="right"/>
              <w:rPr>
                <w:rFonts w:ascii="方正书宋_GBK" w:eastAsia="方正书宋_GBK"/>
                <w:b/>
              </w:rPr>
            </w:pPr>
          </w:p>
        </w:tc>
        <w:tc>
          <w:tcPr>
            <w:tcW w:w="964" w:type="dxa"/>
            <w:vAlign w:val="center"/>
          </w:tcPr>
          <w:p w:rsidR="009C34BD" w:rsidRDefault="009C34BD">
            <w:pPr>
              <w:spacing w:line="300" w:lineRule="exact"/>
              <w:jc w:val="right"/>
              <w:rPr>
                <w:rFonts w:ascii="方正书宋_GBK" w:eastAsia="方正书宋_GBK"/>
                <w:b/>
              </w:rPr>
            </w:pPr>
          </w:p>
        </w:tc>
        <w:tc>
          <w:tcPr>
            <w:tcW w:w="964" w:type="dxa"/>
            <w:vAlign w:val="center"/>
          </w:tcPr>
          <w:p w:rsidR="009C34BD" w:rsidRDefault="009C34BD">
            <w:pPr>
              <w:spacing w:line="300" w:lineRule="exact"/>
              <w:jc w:val="right"/>
              <w:rPr>
                <w:rFonts w:ascii="方正书宋_GBK" w:eastAsia="方正书宋_GBK"/>
                <w:b/>
              </w:rPr>
            </w:pPr>
          </w:p>
        </w:tc>
        <w:tc>
          <w:tcPr>
            <w:tcW w:w="921" w:type="dxa"/>
            <w:vAlign w:val="center"/>
          </w:tcPr>
          <w:p w:rsidR="009C34BD" w:rsidRDefault="009C34BD">
            <w:pPr>
              <w:spacing w:line="300" w:lineRule="exact"/>
              <w:jc w:val="right"/>
              <w:rPr>
                <w:rFonts w:ascii="方正书宋_GBK" w:eastAsia="方正书宋_GBK"/>
                <w:b/>
              </w:rPr>
            </w:pPr>
          </w:p>
        </w:tc>
      </w:tr>
      <w:tr w:rsidR="009C34BD">
        <w:trPr>
          <w:jc w:val="center"/>
        </w:trPr>
        <w:tc>
          <w:tcPr>
            <w:tcW w:w="2448" w:type="dxa"/>
            <w:vAlign w:val="center"/>
          </w:tcPr>
          <w:p w:rsidR="009C34BD" w:rsidRDefault="00E60D81">
            <w:pPr>
              <w:spacing w:line="300" w:lineRule="exact"/>
              <w:jc w:val="center"/>
              <w:rPr>
                <w:rFonts w:ascii="方正书宋_GBK" w:eastAsia="方正书宋_GBK"/>
              </w:rPr>
            </w:pPr>
            <w:r>
              <w:rPr>
                <w:rFonts w:ascii="方正书宋_GBK" w:eastAsia="方正书宋_GBK" w:hint="eastAsia"/>
              </w:rPr>
              <w:t>无</w:t>
            </w:r>
          </w:p>
        </w:tc>
        <w:tc>
          <w:tcPr>
            <w:tcW w:w="1099" w:type="dxa"/>
            <w:vAlign w:val="center"/>
          </w:tcPr>
          <w:p w:rsidR="009C34BD" w:rsidRDefault="009C34BD">
            <w:pPr>
              <w:spacing w:line="300" w:lineRule="exact"/>
              <w:jc w:val="right"/>
              <w:rPr>
                <w:rFonts w:ascii="方正书宋_GBK" w:eastAsia="方正书宋_GBK"/>
              </w:rPr>
            </w:pPr>
          </w:p>
        </w:tc>
        <w:tc>
          <w:tcPr>
            <w:tcW w:w="974" w:type="dxa"/>
            <w:vAlign w:val="center"/>
          </w:tcPr>
          <w:p w:rsidR="009C34BD" w:rsidRDefault="009C34BD">
            <w:pPr>
              <w:spacing w:line="300" w:lineRule="exact"/>
              <w:jc w:val="left"/>
              <w:rPr>
                <w:rFonts w:ascii="方正书宋_GBK" w:eastAsia="方正书宋_GBK"/>
              </w:rPr>
            </w:pPr>
          </w:p>
        </w:tc>
        <w:tc>
          <w:tcPr>
            <w:tcW w:w="986" w:type="dxa"/>
            <w:vAlign w:val="center"/>
          </w:tcPr>
          <w:p w:rsidR="009C34BD" w:rsidRDefault="009C34BD">
            <w:pPr>
              <w:spacing w:line="300" w:lineRule="exact"/>
              <w:jc w:val="left"/>
              <w:rPr>
                <w:rFonts w:ascii="方正书宋_GBK" w:eastAsia="方正书宋_GBK"/>
              </w:rPr>
            </w:pPr>
          </w:p>
        </w:tc>
        <w:tc>
          <w:tcPr>
            <w:tcW w:w="760" w:type="dxa"/>
            <w:vAlign w:val="center"/>
          </w:tcPr>
          <w:p w:rsidR="009C34BD" w:rsidRDefault="009C34BD">
            <w:pPr>
              <w:spacing w:line="300" w:lineRule="exact"/>
              <w:jc w:val="left"/>
              <w:rPr>
                <w:rFonts w:ascii="方正书宋_GBK" w:eastAsia="方正书宋_GBK"/>
              </w:rPr>
            </w:pPr>
          </w:p>
        </w:tc>
        <w:tc>
          <w:tcPr>
            <w:tcW w:w="760" w:type="dxa"/>
            <w:vAlign w:val="center"/>
          </w:tcPr>
          <w:p w:rsidR="009C34BD" w:rsidRDefault="009C34BD">
            <w:pPr>
              <w:spacing w:line="300" w:lineRule="exact"/>
              <w:jc w:val="right"/>
              <w:rPr>
                <w:rFonts w:ascii="方正书宋_GBK" w:eastAsia="方正书宋_GBK"/>
              </w:rPr>
            </w:pPr>
          </w:p>
        </w:tc>
        <w:tc>
          <w:tcPr>
            <w:tcW w:w="848" w:type="dxa"/>
            <w:vAlign w:val="center"/>
          </w:tcPr>
          <w:p w:rsidR="009C34BD" w:rsidRDefault="009C34BD">
            <w:pPr>
              <w:spacing w:line="300" w:lineRule="exact"/>
              <w:jc w:val="right"/>
              <w:rPr>
                <w:rFonts w:ascii="方正书宋_GBK" w:eastAsia="方正书宋_GBK"/>
              </w:rPr>
            </w:pPr>
          </w:p>
        </w:tc>
        <w:tc>
          <w:tcPr>
            <w:tcW w:w="961" w:type="dxa"/>
            <w:vAlign w:val="center"/>
          </w:tcPr>
          <w:p w:rsidR="009C34BD" w:rsidRDefault="009C34BD">
            <w:pPr>
              <w:spacing w:line="300" w:lineRule="exact"/>
              <w:jc w:val="right"/>
              <w:rPr>
                <w:rFonts w:ascii="方正书宋_GBK" w:eastAsia="方正书宋_GBK"/>
              </w:rPr>
            </w:pPr>
          </w:p>
        </w:tc>
        <w:tc>
          <w:tcPr>
            <w:tcW w:w="961" w:type="dxa"/>
            <w:vAlign w:val="center"/>
          </w:tcPr>
          <w:p w:rsidR="009C34BD" w:rsidRDefault="009C34BD">
            <w:pPr>
              <w:spacing w:line="300" w:lineRule="exact"/>
              <w:jc w:val="right"/>
              <w:rPr>
                <w:rFonts w:ascii="方正书宋_GBK" w:eastAsia="方正书宋_GBK"/>
              </w:rPr>
            </w:pPr>
          </w:p>
        </w:tc>
        <w:tc>
          <w:tcPr>
            <w:tcW w:w="961" w:type="dxa"/>
            <w:vAlign w:val="center"/>
          </w:tcPr>
          <w:p w:rsidR="009C34BD" w:rsidRDefault="009C34BD">
            <w:pPr>
              <w:spacing w:line="300" w:lineRule="exact"/>
              <w:jc w:val="right"/>
              <w:rPr>
                <w:rFonts w:ascii="方正书宋_GBK" w:eastAsia="方正书宋_GBK"/>
              </w:rPr>
            </w:pPr>
          </w:p>
        </w:tc>
        <w:tc>
          <w:tcPr>
            <w:tcW w:w="961" w:type="dxa"/>
            <w:vAlign w:val="center"/>
          </w:tcPr>
          <w:p w:rsidR="009C34BD" w:rsidRDefault="009C34BD">
            <w:pPr>
              <w:spacing w:line="300" w:lineRule="exact"/>
              <w:jc w:val="right"/>
              <w:rPr>
                <w:rFonts w:ascii="方正书宋_GBK" w:eastAsia="方正书宋_GBK"/>
              </w:rPr>
            </w:pPr>
          </w:p>
        </w:tc>
        <w:tc>
          <w:tcPr>
            <w:tcW w:w="964" w:type="dxa"/>
            <w:vAlign w:val="center"/>
          </w:tcPr>
          <w:p w:rsidR="009C34BD" w:rsidRDefault="009C34BD">
            <w:pPr>
              <w:spacing w:line="300" w:lineRule="exact"/>
              <w:jc w:val="right"/>
              <w:rPr>
                <w:rFonts w:ascii="方正书宋_GBK" w:eastAsia="方正书宋_GBK"/>
              </w:rPr>
            </w:pPr>
          </w:p>
        </w:tc>
        <w:tc>
          <w:tcPr>
            <w:tcW w:w="964" w:type="dxa"/>
            <w:vAlign w:val="center"/>
          </w:tcPr>
          <w:p w:rsidR="009C34BD" w:rsidRDefault="009C34BD">
            <w:pPr>
              <w:spacing w:line="300" w:lineRule="exact"/>
              <w:jc w:val="right"/>
              <w:rPr>
                <w:rFonts w:ascii="方正书宋_GBK" w:eastAsia="方正书宋_GBK"/>
              </w:rPr>
            </w:pPr>
          </w:p>
        </w:tc>
        <w:tc>
          <w:tcPr>
            <w:tcW w:w="921" w:type="dxa"/>
            <w:vAlign w:val="center"/>
          </w:tcPr>
          <w:p w:rsidR="009C34BD" w:rsidRDefault="009C34BD">
            <w:pPr>
              <w:spacing w:line="300" w:lineRule="exact"/>
              <w:jc w:val="right"/>
              <w:rPr>
                <w:rFonts w:ascii="方正书宋_GBK" w:eastAsia="方正书宋_GBK"/>
              </w:rPr>
            </w:pPr>
          </w:p>
        </w:tc>
      </w:tr>
    </w:tbl>
    <w:bookmarkEnd w:id="0"/>
    <w:p w:rsidR="009C34BD" w:rsidRDefault="00E60D81">
      <w:pPr>
        <w:autoSpaceDE w:val="0"/>
        <w:autoSpaceDN w:val="0"/>
        <w:adjustRightInd w:val="0"/>
        <w:ind w:firstLineChars="200" w:firstLine="640"/>
        <w:jc w:val="left"/>
        <w:rPr>
          <w:rFonts w:ascii="黑体" w:eastAsia="黑体" w:hAnsi="黑体"/>
          <w:sz w:val="32"/>
          <w:szCs w:val="32"/>
        </w:rPr>
      </w:pPr>
      <w:r>
        <w:rPr>
          <w:rFonts w:ascii="黑体" w:eastAsia="黑体" w:hAnsi="黑体" w:hint="eastAsia"/>
          <w:sz w:val="32"/>
          <w:szCs w:val="32"/>
        </w:rPr>
        <w:t>七、国有资产信息</w:t>
      </w:r>
    </w:p>
    <w:p w:rsidR="009C34BD" w:rsidRDefault="00E60D81">
      <w:pPr>
        <w:ind w:firstLine="640"/>
        <w:rPr>
          <w:rFonts w:ascii="仿宋_GB2312" w:eastAsia="仿宋_GB2312" w:hAnsi="黑体"/>
          <w:sz w:val="32"/>
          <w:szCs w:val="32"/>
        </w:rPr>
      </w:pPr>
      <w:r>
        <w:rPr>
          <w:rFonts w:ascii="仿宋_GB2312" w:eastAsia="仿宋_GB2312" w:hAnsi="黑体" w:hint="eastAsia"/>
          <w:sz w:val="32"/>
          <w:szCs w:val="32"/>
        </w:rPr>
        <w:t>上年末固定资产金额为38.3</w:t>
      </w:r>
      <w:bookmarkStart w:id="2" w:name="_GoBack"/>
      <w:bookmarkEnd w:id="2"/>
      <w:r>
        <w:rPr>
          <w:rFonts w:ascii="仿宋_GB2312" w:eastAsia="仿宋_GB2312" w:hAnsi="黑体" w:hint="eastAsia"/>
          <w:sz w:val="32"/>
          <w:szCs w:val="32"/>
        </w:rPr>
        <w:t>万元</w:t>
      </w:r>
      <w:r>
        <w:rPr>
          <w:rFonts w:ascii="仿宋_GB2312" w:eastAsia="仿宋_GB2312" w:hAnsi="黑体"/>
          <w:sz w:val="32"/>
          <w:szCs w:val="32"/>
        </w:rPr>
        <w:t>(</w:t>
      </w:r>
      <w:r>
        <w:rPr>
          <w:rFonts w:ascii="仿宋_GB2312" w:eastAsia="仿宋_GB2312" w:hAnsi="黑体" w:hint="eastAsia"/>
          <w:sz w:val="32"/>
          <w:szCs w:val="32"/>
        </w:rPr>
        <w:t>详见下表</w:t>
      </w:r>
      <w:r>
        <w:rPr>
          <w:rFonts w:ascii="仿宋_GB2312" w:eastAsia="仿宋_GB2312" w:hAnsi="黑体"/>
          <w:sz w:val="32"/>
          <w:szCs w:val="32"/>
        </w:rPr>
        <w:t>)</w:t>
      </w:r>
      <w:r>
        <w:rPr>
          <w:rFonts w:ascii="仿宋_GB2312" w:eastAsia="仿宋_GB2312" w:hAnsi="黑体" w:hint="eastAsia"/>
          <w:sz w:val="32"/>
          <w:szCs w:val="32"/>
        </w:rPr>
        <w:t>。本年度拟购置的固定资产为</w:t>
      </w:r>
      <w:r>
        <w:rPr>
          <w:rFonts w:ascii="仿宋_GB2312" w:eastAsia="仿宋_GB2312" w:hAnsi="黑体"/>
          <w:sz w:val="32"/>
          <w:szCs w:val="32"/>
        </w:rPr>
        <w:t>0</w:t>
      </w:r>
      <w:r>
        <w:rPr>
          <w:rFonts w:ascii="仿宋_GB2312" w:eastAsia="仿宋_GB2312" w:hAnsi="黑体" w:hint="eastAsia"/>
          <w:sz w:val="32"/>
          <w:szCs w:val="32"/>
        </w:rPr>
        <w:t>万元。</w:t>
      </w:r>
    </w:p>
    <w:tbl>
      <w:tblPr>
        <w:tblW w:w="13482" w:type="dxa"/>
        <w:tblInd w:w="93" w:type="dxa"/>
        <w:tblLayout w:type="fixed"/>
        <w:tblLook w:val="04A0"/>
      </w:tblPr>
      <w:tblGrid>
        <w:gridCol w:w="5224"/>
        <w:gridCol w:w="3155"/>
        <w:gridCol w:w="5103"/>
      </w:tblGrid>
      <w:tr w:rsidR="009C34BD">
        <w:trPr>
          <w:trHeight w:val="705"/>
        </w:trPr>
        <w:tc>
          <w:tcPr>
            <w:tcW w:w="13482" w:type="dxa"/>
            <w:gridSpan w:val="3"/>
            <w:tcBorders>
              <w:top w:val="nil"/>
              <w:left w:val="nil"/>
              <w:bottom w:val="nil"/>
              <w:right w:val="nil"/>
            </w:tcBorders>
            <w:vAlign w:val="center"/>
          </w:tcPr>
          <w:p w:rsidR="009C34BD" w:rsidRDefault="00E60D81">
            <w:pPr>
              <w:widowControl/>
              <w:jc w:val="center"/>
              <w:rPr>
                <w:rFonts w:ascii="宋体" w:cs="宋体"/>
                <w:b/>
                <w:bCs/>
                <w:kern w:val="0"/>
                <w:sz w:val="32"/>
                <w:szCs w:val="32"/>
              </w:rPr>
            </w:pPr>
            <w:r>
              <w:rPr>
                <w:rFonts w:ascii="宋体" w:hAnsi="宋体" w:cs="宋体" w:hint="eastAsia"/>
                <w:b/>
                <w:bCs/>
                <w:kern w:val="0"/>
                <w:sz w:val="32"/>
                <w:szCs w:val="32"/>
              </w:rPr>
              <w:t>赞皇县县直部门固定资产占用情况表</w:t>
            </w:r>
          </w:p>
        </w:tc>
      </w:tr>
      <w:tr w:rsidR="009C34BD">
        <w:trPr>
          <w:trHeight w:val="510"/>
        </w:trPr>
        <w:tc>
          <w:tcPr>
            <w:tcW w:w="8379" w:type="dxa"/>
            <w:gridSpan w:val="2"/>
            <w:tcBorders>
              <w:top w:val="nil"/>
              <w:left w:val="nil"/>
              <w:bottom w:val="nil"/>
              <w:right w:val="nil"/>
            </w:tcBorders>
            <w:vAlign w:val="center"/>
          </w:tcPr>
          <w:p w:rsidR="009C34BD" w:rsidRDefault="00E60D81">
            <w:pPr>
              <w:widowControl/>
              <w:jc w:val="left"/>
              <w:rPr>
                <w:rFonts w:ascii="宋体" w:cs="宋体"/>
                <w:kern w:val="0"/>
                <w:sz w:val="22"/>
              </w:rPr>
            </w:pPr>
            <w:r>
              <w:rPr>
                <w:rFonts w:ascii="宋体" w:hAnsi="宋体" w:cs="宋体" w:hint="eastAsia"/>
                <w:kern w:val="0"/>
                <w:sz w:val="22"/>
              </w:rPr>
              <w:t>编制部门：赞皇县文化广电体育和旅游局</w:t>
            </w:r>
          </w:p>
        </w:tc>
        <w:tc>
          <w:tcPr>
            <w:tcW w:w="5103" w:type="dxa"/>
            <w:tcBorders>
              <w:top w:val="nil"/>
              <w:left w:val="nil"/>
              <w:bottom w:val="nil"/>
              <w:right w:val="nil"/>
            </w:tcBorders>
            <w:vAlign w:val="center"/>
          </w:tcPr>
          <w:p w:rsidR="009C34BD" w:rsidRDefault="00E60D81">
            <w:pPr>
              <w:widowControl/>
              <w:jc w:val="left"/>
              <w:rPr>
                <w:rFonts w:ascii="宋体" w:cs="宋体"/>
                <w:kern w:val="0"/>
                <w:sz w:val="22"/>
              </w:rPr>
            </w:pPr>
            <w:r>
              <w:rPr>
                <w:rFonts w:ascii="宋体" w:hAnsi="宋体" w:cs="宋体" w:hint="eastAsia"/>
                <w:kern w:val="0"/>
                <w:sz w:val="22"/>
              </w:rPr>
              <w:t>截止时间：</w:t>
            </w:r>
            <w:r>
              <w:rPr>
                <w:rFonts w:ascii="宋体" w:hAnsi="宋体" w:cs="宋体"/>
                <w:kern w:val="0"/>
                <w:sz w:val="22"/>
              </w:rPr>
              <w:t>2018</w:t>
            </w:r>
            <w:r>
              <w:rPr>
                <w:rFonts w:ascii="宋体" w:hAnsi="宋体" w:cs="宋体" w:hint="eastAsia"/>
                <w:kern w:val="0"/>
                <w:sz w:val="22"/>
              </w:rPr>
              <w:t>年</w:t>
            </w:r>
            <w:r>
              <w:rPr>
                <w:rFonts w:ascii="宋体" w:hAnsi="宋体" w:cs="宋体"/>
                <w:kern w:val="0"/>
                <w:sz w:val="22"/>
              </w:rPr>
              <w:t>12</w:t>
            </w:r>
            <w:r>
              <w:rPr>
                <w:rFonts w:ascii="宋体" w:hAnsi="宋体" w:cs="宋体" w:hint="eastAsia"/>
                <w:kern w:val="0"/>
                <w:sz w:val="22"/>
              </w:rPr>
              <w:t>月</w:t>
            </w:r>
            <w:r>
              <w:rPr>
                <w:rFonts w:ascii="宋体" w:hAnsi="宋体" w:cs="宋体"/>
                <w:kern w:val="0"/>
                <w:sz w:val="22"/>
              </w:rPr>
              <w:t>31</w:t>
            </w:r>
            <w:r>
              <w:rPr>
                <w:rFonts w:ascii="宋体" w:hAnsi="宋体" w:cs="宋体" w:hint="eastAsia"/>
                <w:kern w:val="0"/>
                <w:sz w:val="22"/>
              </w:rPr>
              <w:t>日</w:t>
            </w:r>
            <w:r>
              <w:rPr>
                <w:rFonts w:ascii="宋体" w:hAnsi="宋体" w:cs="宋体"/>
                <w:kern w:val="0"/>
                <w:sz w:val="22"/>
              </w:rPr>
              <w:t xml:space="preserve">  </w:t>
            </w:r>
          </w:p>
        </w:tc>
      </w:tr>
      <w:tr w:rsidR="009C34BD">
        <w:trPr>
          <w:trHeight w:val="645"/>
        </w:trPr>
        <w:tc>
          <w:tcPr>
            <w:tcW w:w="5224" w:type="dxa"/>
            <w:tcBorders>
              <w:top w:val="single" w:sz="4" w:space="0" w:color="auto"/>
              <w:left w:val="single" w:sz="4" w:space="0" w:color="auto"/>
              <w:bottom w:val="single" w:sz="4" w:space="0" w:color="auto"/>
              <w:right w:val="single" w:sz="4" w:space="0" w:color="auto"/>
            </w:tcBorders>
            <w:vAlign w:val="center"/>
          </w:tcPr>
          <w:p w:rsidR="009C34BD" w:rsidRDefault="00E60D81">
            <w:pPr>
              <w:widowControl/>
              <w:jc w:val="center"/>
              <w:rPr>
                <w:rFonts w:ascii="宋体" w:cs="宋体"/>
                <w:b/>
                <w:bCs/>
                <w:kern w:val="0"/>
                <w:sz w:val="22"/>
              </w:rPr>
            </w:pPr>
            <w:r>
              <w:rPr>
                <w:rFonts w:ascii="宋体" w:hAnsi="宋体" w:cs="宋体" w:hint="eastAsia"/>
                <w:b/>
                <w:bCs/>
                <w:kern w:val="0"/>
                <w:sz w:val="22"/>
              </w:rPr>
              <w:t>项</w:t>
            </w:r>
            <w:r>
              <w:rPr>
                <w:rFonts w:ascii="宋体" w:hAnsi="宋体" w:cs="宋体"/>
                <w:b/>
                <w:bCs/>
                <w:kern w:val="0"/>
                <w:sz w:val="22"/>
              </w:rPr>
              <w:t xml:space="preserve">   </w:t>
            </w:r>
            <w:r>
              <w:rPr>
                <w:rFonts w:ascii="宋体" w:hAnsi="宋体" w:cs="宋体" w:hint="eastAsia"/>
                <w:b/>
                <w:bCs/>
                <w:kern w:val="0"/>
                <w:sz w:val="22"/>
              </w:rPr>
              <w:t>目</w:t>
            </w:r>
          </w:p>
        </w:tc>
        <w:tc>
          <w:tcPr>
            <w:tcW w:w="3155" w:type="dxa"/>
            <w:tcBorders>
              <w:top w:val="single" w:sz="4" w:space="0" w:color="auto"/>
              <w:left w:val="nil"/>
              <w:bottom w:val="single" w:sz="4" w:space="0" w:color="auto"/>
              <w:right w:val="single" w:sz="4" w:space="0" w:color="auto"/>
            </w:tcBorders>
            <w:vAlign w:val="center"/>
          </w:tcPr>
          <w:p w:rsidR="009C34BD" w:rsidRDefault="00E60D81">
            <w:pPr>
              <w:widowControl/>
              <w:jc w:val="center"/>
              <w:rPr>
                <w:rFonts w:ascii="宋体" w:cs="宋体"/>
                <w:b/>
                <w:bCs/>
                <w:kern w:val="0"/>
                <w:sz w:val="22"/>
              </w:rPr>
            </w:pPr>
            <w:r>
              <w:rPr>
                <w:rFonts w:ascii="宋体" w:hAnsi="宋体" w:cs="宋体" w:hint="eastAsia"/>
                <w:b/>
                <w:bCs/>
                <w:kern w:val="0"/>
                <w:sz w:val="22"/>
              </w:rPr>
              <w:t>数量</w:t>
            </w:r>
          </w:p>
        </w:tc>
        <w:tc>
          <w:tcPr>
            <w:tcW w:w="5103" w:type="dxa"/>
            <w:tcBorders>
              <w:top w:val="single" w:sz="4" w:space="0" w:color="auto"/>
              <w:left w:val="nil"/>
              <w:bottom w:val="single" w:sz="4" w:space="0" w:color="auto"/>
              <w:right w:val="single" w:sz="4" w:space="0" w:color="auto"/>
            </w:tcBorders>
            <w:vAlign w:val="center"/>
          </w:tcPr>
          <w:p w:rsidR="009C34BD" w:rsidRDefault="00E60D81">
            <w:pPr>
              <w:widowControl/>
              <w:jc w:val="center"/>
              <w:rPr>
                <w:rFonts w:ascii="宋体" w:cs="宋体"/>
                <w:b/>
                <w:bCs/>
                <w:kern w:val="0"/>
                <w:sz w:val="22"/>
              </w:rPr>
            </w:pPr>
            <w:r>
              <w:rPr>
                <w:rFonts w:ascii="宋体" w:hAnsi="宋体" w:cs="宋体" w:hint="eastAsia"/>
                <w:b/>
                <w:bCs/>
                <w:kern w:val="0"/>
                <w:sz w:val="22"/>
              </w:rPr>
              <w:t>价值（金额单位：万元）</w:t>
            </w:r>
          </w:p>
        </w:tc>
      </w:tr>
      <w:tr w:rsidR="009C34BD">
        <w:trPr>
          <w:trHeight w:val="645"/>
        </w:trPr>
        <w:tc>
          <w:tcPr>
            <w:tcW w:w="5224" w:type="dxa"/>
            <w:tcBorders>
              <w:top w:val="nil"/>
              <w:left w:val="single" w:sz="4" w:space="0" w:color="auto"/>
              <w:bottom w:val="single" w:sz="4" w:space="0" w:color="auto"/>
              <w:right w:val="single" w:sz="4" w:space="0" w:color="auto"/>
            </w:tcBorders>
            <w:vAlign w:val="center"/>
          </w:tcPr>
          <w:p w:rsidR="009C34BD" w:rsidRDefault="00E60D81">
            <w:pPr>
              <w:widowControl/>
              <w:jc w:val="center"/>
              <w:rPr>
                <w:rFonts w:ascii="宋体" w:cs="宋体"/>
                <w:kern w:val="0"/>
                <w:sz w:val="22"/>
              </w:rPr>
            </w:pPr>
            <w:r>
              <w:rPr>
                <w:rFonts w:ascii="宋体" w:hAnsi="宋体" w:cs="宋体" w:hint="eastAsia"/>
                <w:kern w:val="0"/>
                <w:sz w:val="22"/>
              </w:rPr>
              <w:t>资产总额</w:t>
            </w:r>
          </w:p>
        </w:tc>
        <w:tc>
          <w:tcPr>
            <w:tcW w:w="3155" w:type="dxa"/>
            <w:tcBorders>
              <w:top w:val="nil"/>
              <w:left w:val="nil"/>
              <w:bottom w:val="single" w:sz="4" w:space="0" w:color="auto"/>
              <w:right w:val="single" w:sz="4" w:space="0" w:color="auto"/>
            </w:tcBorders>
            <w:vAlign w:val="center"/>
          </w:tcPr>
          <w:p w:rsidR="009C34BD" w:rsidRDefault="00E60D81">
            <w:pPr>
              <w:widowControl/>
              <w:jc w:val="center"/>
              <w:rPr>
                <w:rFonts w:ascii="Times New Roman" w:hAnsi="Times New Roman"/>
                <w:kern w:val="0"/>
                <w:sz w:val="22"/>
              </w:rPr>
            </w:pPr>
            <w:r>
              <w:rPr>
                <w:rFonts w:ascii="Times New Roman" w:hAnsi="Times New Roman"/>
                <w:kern w:val="0"/>
                <w:sz w:val="22"/>
              </w:rPr>
              <w:t>——</w:t>
            </w:r>
          </w:p>
        </w:tc>
        <w:tc>
          <w:tcPr>
            <w:tcW w:w="5103" w:type="dxa"/>
            <w:tcBorders>
              <w:top w:val="nil"/>
              <w:left w:val="nil"/>
              <w:bottom w:val="single" w:sz="4" w:space="0" w:color="auto"/>
              <w:right w:val="single" w:sz="4" w:space="0" w:color="auto"/>
            </w:tcBorders>
            <w:vAlign w:val="center"/>
          </w:tcPr>
          <w:p w:rsidR="009C34BD" w:rsidRDefault="00E60D81">
            <w:pPr>
              <w:widowControl/>
              <w:jc w:val="center"/>
              <w:rPr>
                <w:rFonts w:ascii="Times New Roman" w:hAnsi="Times New Roman"/>
                <w:kern w:val="0"/>
                <w:sz w:val="22"/>
              </w:rPr>
            </w:pPr>
            <w:r>
              <w:rPr>
                <w:rFonts w:ascii="Times New Roman" w:hAnsi="Times New Roman"/>
                <w:kern w:val="0"/>
                <w:sz w:val="22"/>
              </w:rPr>
              <w:t>——</w:t>
            </w:r>
          </w:p>
        </w:tc>
      </w:tr>
      <w:tr w:rsidR="009C34BD">
        <w:trPr>
          <w:trHeight w:val="645"/>
        </w:trPr>
        <w:tc>
          <w:tcPr>
            <w:tcW w:w="5224" w:type="dxa"/>
            <w:tcBorders>
              <w:top w:val="nil"/>
              <w:left w:val="single" w:sz="4" w:space="0" w:color="auto"/>
              <w:bottom w:val="single" w:sz="4" w:space="0" w:color="auto"/>
              <w:right w:val="single" w:sz="4" w:space="0" w:color="auto"/>
            </w:tcBorders>
            <w:vAlign w:val="center"/>
          </w:tcPr>
          <w:p w:rsidR="009C34BD" w:rsidRDefault="00E60D81">
            <w:pPr>
              <w:widowControl/>
              <w:jc w:val="left"/>
              <w:rPr>
                <w:rFonts w:ascii="宋体" w:cs="宋体"/>
                <w:kern w:val="0"/>
                <w:sz w:val="22"/>
              </w:rPr>
            </w:pPr>
            <w:r>
              <w:rPr>
                <w:rFonts w:ascii="宋体" w:hAnsi="宋体" w:cs="宋体"/>
                <w:kern w:val="0"/>
                <w:sz w:val="22"/>
              </w:rPr>
              <w:t>1</w:t>
            </w:r>
            <w:r>
              <w:rPr>
                <w:rFonts w:ascii="宋体" w:hAnsi="宋体" w:cs="宋体" w:hint="eastAsia"/>
                <w:kern w:val="0"/>
                <w:sz w:val="22"/>
              </w:rPr>
              <w:t>、房屋（平方米）</w:t>
            </w:r>
          </w:p>
        </w:tc>
        <w:tc>
          <w:tcPr>
            <w:tcW w:w="3155"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sz w:val="22"/>
              </w:rPr>
              <w:t>——</w:t>
            </w:r>
          </w:p>
        </w:tc>
        <w:tc>
          <w:tcPr>
            <w:tcW w:w="5103"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sz w:val="22"/>
              </w:rPr>
              <w:t>——</w:t>
            </w:r>
          </w:p>
        </w:tc>
      </w:tr>
      <w:tr w:rsidR="009C34BD">
        <w:trPr>
          <w:trHeight w:val="645"/>
        </w:trPr>
        <w:tc>
          <w:tcPr>
            <w:tcW w:w="5224" w:type="dxa"/>
            <w:tcBorders>
              <w:top w:val="nil"/>
              <w:left w:val="single" w:sz="4" w:space="0" w:color="auto"/>
              <w:bottom w:val="single" w:sz="4" w:space="0" w:color="auto"/>
              <w:right w:val="single" w:sz="4" w:space="0" w:color="auto"/>
            </w:tcBorders>
            <w:vAlign w:val="center"/>
          </w:tcPr>
          <w:p w:rsidR="009C34BD" w:rsidRDefault="00E60D81">
            <w:pPr>
              <w:widowControl/>
              <w:jc w:val="left"/>
              <w:rPr>
                <w:rFonts w:ascii="宋体" w:cs="宋体"/>
                <w:kern w:val="0"/>
                <w:sz w:val="22"/>
              </w:rPr>
            </w:pPr>
            <w:r>
              <w:rPr>
                <w:rFonts w:ascii="宋体" w:hAnsi="宋体" w:cs="宋体"/>
                <w:kern w:val="0"/>
                <w:sz w:val="22"/>
              </w:rPr>
              <w:t xml:space="preserve">   </w:t>
            </w:r>
            <w:r>
              <w:rPr>
                <w:rFonts w:ascii="宋体" w:hAnsi="宋体" w:cs="宋体" w:hint="eastAsia"/>
                <w:kern w:val="0"/>
                <w:sz w:val="22"/>
              </w:rPr>
              <w:t>其中：办公用房（平方米）</w:t>
            </w:r>
          </w:p>
        </w:tc>
        <w:tc>
          <w:tcPr>
            <w:tcW w:w="3155"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sz w:val="22"/>
              </w:rPr>
              <w:t>——</w:t>
            </w:r>
          </w:p>
        </w:tc>
        <w:tc>
          <w:tcPr>
            <w:tcW w:w="5103"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sz w:val="22"/>
              </w:rPr>
              <w:t>——</w:t>
            </w:r>
          </w:p>
        </w:tc>
      </w:tr>
      <w:tr w:rsidR="009C34BD">
        <w:trPr>
          <w:trHeight w:val="645"/>
        </w:trPr>
        <w:tc>
          <w:tcPr>
            <w:tcW w:w="5224" w:type="dxa"/>
            <w:tcBorders>
              <w:top w:val="nil"/>
              <w:left w:val="single" w:sz="4" w:space="0" w:color="auto"/>
              <w:bottom w:val="single" w:sz="4" w:space="0" w:color="auto"/>
              <w:right w:val="single" w:sz="4" w:space="0" w:color="auto"/>
            </w:tcBorders>
            <w:vAlign w:val="center"/>
          </w:tcPr>
          <w:p w:rsidR="009C34BD" w:rsidRDefault="00E60D81">
            <w:pPr>
              <w:widowControl/>
              <w:jc w:val="left"/>
              <w:rPr>
                <w:rFonts w:ascii="宋体" w:cs="宋体"/>
                <w:kern w:val="0"/>
                <w:sz w:val="22"/>
              </w:rPr>
            </w:pPr>
            <w:r>
              <w:rPr>
                <w:rFonts w:ascii="宋体" w:hAnsi="宋体" w:cs="宋体"/>
                <w:kern w:val="0"/>
                <w:sz w:val="22"/>
              </w:rPr>
              <w:t>2</w:t>
            </w:r>
            <w:r>
              <w:rPr>
                <w:rFonts w:ascii="宋体" w:hAnsi="宋体" w:cs="宋体" w:hint="eastAsia"/>
                <w:kern w:val="0"/>
                <w:sz w:val="22"/>
              </w:rPr>
              <w:t>、车辆（台、辆）</w:t>
            </w:r>
          </w:p>
        </w:tc>
        <w:tc>
          <w:tcPr>
            <w:tcW w:w="3155"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hint="eastAsia"/>
                <w:sz w:val="22"/>
              </w:rPr>
              <w:t>2</w:t>
            </w:r>
          </w:p>
        </w:tc>
        <w:tc>
          <w:tcPr>
            <w:tcW w:w="5103"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hint="eastAsia"/>
                <w:sz w:val="22"/>
              </w:rPr>
              <w:t>38.3</w:t>
            </w:r>
          </w:p>
        </w:tc>
      </w:tr>
      <w:tr w:rsidR="009C34BD">
        <w:trPr>
          <w:trHeight w:val="645"/>
        </w:trPr>
        <w:tc>
          <w:tcPr>
            <w:tcW w:w="5224" w:type="dxa"/>
            <w:tcBorders>
              <w:top w:val="nil"/>
              <w:left w:val="single" w:sz="4" w:space="0" w:color="auto"/>
              <w:bottom w:val="single" w:sz="4" w:space="0" w:color="auto"/>
              <w:right w:val="single" w:sz="4" w:space="0" w:color="auto"/>
            </w:tcBorders>
            <w:vAlign w:val="center"/>
          </w:tcPr>
          <w:p w:rsidR="009C34BD" w:rsidRDefault="00E60D81">
            <w:pPr>
              <w:widowControl/>
              <w:jc w:val="left"/>
              <w:rPr>
                <w:rFonts w:ascii="宋体" w:cs="宋体"/>
                <w:kern w:val="0"/>
                <w:sz w:val="22"/>
              </w:rPr>
            </w:pPr>
            <w:r>
              <w:rPr>
                <w:rFonts w:ascii="宋体" w:hAnsi="宋体" w:cs="宋体"/>
                <w:kern w:val="0"/>
                <w:sz w:val="22"/>
              </w:rPr>
              <w:lastRenderedPageBreak/>
              <w:t>3</w:t>
            </w:r>
            <w:r>
              <w:rPr>
                <w:rFonts w:ascii="宋体" w:hAnsi="宋体" w:cs="宋体" w:hint="eastAsia"/>
                <w:kern w:val="0"/>
                <w:sz w:val="22"/>
              </w:rPr>
              <w:t>、单价在</w:t>
            </w:r>
            <w:r>
              <w:rPr>
                <w:rFonts w:ascii="宋体" w:hAnsi="宋体" w:cs="宋体"/>
                <w:kern w:val="0"/>
                <w:sz w:val="22"/>
              </w:rPr>
              <w:t>20</w:t>
            </w:r>
            <w:r>
              <w:rPr>
                <w:rFonts w:ascii="宋体" w:hAnsi="宋体" w:cs="宋体" w:hint="eastAsia"/>
                <w:kern w:val="0"/>
                <w:sz w:val="22"/>
              </w:rPr>
              <w:t>万元以上的设备</w:t>
            </w:r>
          </w:p>
        </w:tc>
        <w:tc>
          <w:tcPr>
            <w:tcW w:w="3155"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sz w:val="22"/>
              </w:rPr>
              <w:t>——</w:t>
            </w:r>
          </w:p>
        </w:tc>
        <w:tc>
          <w:tcPr>
            <w:tcW w:w="5103"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sz w:val="22"/>
              </w:rPr>
              <w:t>——</w:t>
            </w:r>
          </w:p>
        </w:tc>
      </w:tr>
      <w:tr w:rsidR="009C34BD">
        <w:trPr>
          <w:trHeight w:val="645"/>
        </w:trPr>
        <w:tc>
          <w:tcPr>
            <w:tcW w:w="5224" w:type="dxa"/>
            <w:tcBorders>
              <w:top w:val="nil"/>
              <w:left w:val="single" w:sz="4" w:space="0" w:color="auto"/>
              <w:bottom w:val="single" w:sz="4" w:space="0" w:color="auto"/>
              <w:right w:val="single" w:sz="4" w:space="0" w:color="auto"/>
            </w:tcBorders>
            <w:vAlign w:val="center"/>
          </w:tcPr>
          <w:p w:rsidR="009C34BD" w:rsidRDefault="00E60D81">
            <w:pPr>
              <w:widowControl/>
              <w:jc w:val="left"/>
              <w:rPr>
                <w:rFonts w:ascii="宋体" w:cs="宋体"/>
                <w:kern w:val="0"/>
                <w:sz w:val="22"/>
              </w:rPr>
            </w:pPr>
            <w:r>
              <w:rPr>
                <w:rFonts w:ascii="宋体" w:hAnsi="宋体" w:cs="宋体"/>
                <w:kern w:val="0"/>
                <w:sz w:val="22"/>
              </w:rPr>
              <w:t>4</w:t>
            </w:r>
            <w:r>
              <w:rPr>
                <w:rFonts w:ascii="宋体" w:hAnsi="宋体" w:cs="宋体" w:hint="eastAsia"/>
                <w:kern w:val="0"/>
                <w:sz w:val="22"/>
              </w:rPr>
              <w:t>、其他固定资产</w:t>
            </w:r>
          </w:p>
        </w:tc>
        <w:tc>
          <w:tcPr>
            <w:tcW w:w="3155"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sz w:val="22"/>
              </w:rPr>
              <w:t>——</w:t>
            </w:r>
          </w:p>
        </w:tc>
        <w:tc>
          <w:tcPr>
            <w:tcW w:w="5103" w:type="dxa"/>
            <w:tcBorders>
              <w:top w:val="nil"/>
              <w:left w:val="nil"/>
              <w:bottom w:val="single" w:sz="4" w:space="0" w:color="auto"/>
              <w:right w:val="single" w:sz="4" w:space="0" w:color="auto"/>
            </w:tcBorders>
            <w:vAlign w:val="center"/>
          </w:tcPr>
          <w:p w:rsidR="009C34BD" w:rsidRDefault="00E60D81">
            <w:pPr>
              <w:jc w:val="center"/>
              <w:rPr>
                <w:rFonts w:ascii="Times New Roman" w:hAnsi="Times New Roman"/>
                <w:sz w:val="22"/>
              </w:rPr>
            </w:pPr>
            <w:r>
              <w:rPr>
                <w:rFonts w:ascii="Times New Roman" w:hAnsi="Times New Roman"/>
                <w:sz w:val="22"/>
              </w:rPr>
              <w:t>——</w:t>
            </w:r>
          </w:p>
        </w:tc>
      </w:tr>
    </w:tbl>
    <w:p w:rsidR="009C34BD" w:rsidRDefault="009C34BD">
      <w:pPr>
        <w:autoSpaceDE w:val="0"/>
        <w:autoSpaceDN w:val="0"/>
        <w:adjustRightInd w:val="0"/>
        <w:ind w:left="198" w:firstLineChars="200" w:firstLine="640"/>
        <w:jc w:val="left"/>
        <w:rPr>
          <w:rFonts w:ascii="黑体" w:eastAsia="黑体" w:hAnsi="黑体"/>
          <w:sz w:val="32"/>
          <w:szCs w:val="32"/>
        </w:rPr>
        <w:sectPr w:rsidR="009C34BD">
          <w:pgSz w:w="16838" w:h="11906" w:orient="landscape"/>
          <w:pgMar w:top="1797" w:right="1440" w:bottom="1797" w:left="1440" w:header="851" w:footer="992" w:gutter="0"/>
          <w:cols w:space="425"/>
          <w:docGrid w:type="linesAndChars" w:linePitch="312"/>
        </w:sectPr>
      </w:pPr>
    </w:p>
    <w:p w:rsidR="009C34BD" w:rsidRDefault="00E60D81">
      <w:pPr>
        <w:autoSpaceDE w:val="0"/>
        <w:autoSpaceDN w:val="0"/>
        <w:adjustRightInd w:val="0"/>
        <w:ind w:left="198" w:firstLineChars="200" w:firstLine="640"/>
        <w:jc w:val="left"/>
        <w:rPr>
          <w:rFonts w:ascii="黑体" w:eastAsia="黑体" w:hAnsi="黑体"/>
          <w:sz w:val="32"/>
          <w:szCs w:val="32"/>
        </w:rPr>
      </w:pPr>
      <w:r>
        <w:rPr>
          <w:rFonts w:ascii="黑体" w:eastAsia="黑体" w:hAnsi="黑体" w:hint="eastAsia"/>
          <w:sz w:val="32"/>
          <w:szCs w:val="32"/>
        </w:rPr>
        <w:lastRenderedPageBreak/>
        <w:t>八、名词解释</w:t>
      </w:r>
    </w:p>
    <w:p w:rsidR="009C34BD" w:rsidRDefault="00E60D81">
      <w:pPr>
        <w:ind w:firstLineChars="200" w:firstLine="640"/>
        <w:rPr>
          <w:rFonts w:ascii="仿宋" w:eastAsia="仿宋" w:hAnsi="仿宋" w:cs="仿宋"/>
          <w:sz w:val="32"/>
          <w:szCs w:val="32"/>
        </w:rPr>
      </w:pPr>
      <w:r>
        <w:rPr>
          <w:rFonts w:ascii="仿宋" w:eastAsia="仿宋" w:hAnsi="仿宋" w:cs="仿宋"/>
          <w:sz w:val="32"/>
          <w:szCs w:val="32"/>
        </w:rPr>
        <w:t>1</w:t>
      </w:r>
      <w:r>
        <w:rPr>
          <w:rFonts w:ascii="仿宋" w:eastAsia="仿宋" w:hAnsi="仿宋" w:cs="仿宋" w:hint="eastAsia"/>
          <w:sz w:val="32"/>
          <w:szCs w:val="32"/>
        </w:rPr>
        <w:t>、一般公共预算拨款收入：指县级财政当年拨付的资金。</w:t>
      </w:r>
    </w:p>
    <w:p w:rsidR="009C34BD" w:rsidRDefault="00E60D81">
      <w:pPr>
        <w:ind w:firstLineChars="200" w:firstLine="640"/>
        <w:rPr>
          <w:rFonts w:ascii="仿宋" w:eastAsia="仿宋" w:hAnsi="仿宋" w:cs="仿宋"/>
          <w:sz w:val="32"/>
          <w:szCs w:val="32"/>
        </w:rPr>
      </w:pPr>
      <w:r>
        <w:rPr>
          <w:rFonts w:ascii="仿宋" w:eastAsia="仿宋" w:hAnsi="仿宋" w:cs="仿宋"/>
          <w:sz w:val="32"/>
          <w:szCs w:val="32"/>
        </w:rPr>
        <w:t>2</w:t>
      </w:r>
      <w:r>
        <w:rPr>
          <w:rFonts w:ascii="仿宋" w:eastAsia="仿宋" w:hAnsi="仿宋" w:cs="仿宋" w:hint="eastAsia"/>
          <w:sz w:val="32"/>
          <w:szCs w:val="32"/>
        </w:rPr>
        <w:t>、基本支出：指为保障机构正常运转、完成日常工作任务而发生的人员支出和公用支出。</w:t>
      </w:r>
    </w:p>
    <w:p w:rsidR="009C34BD" w:rsidRDefault="00E60D81">
      <w:pPr>
        <w:ind w:firstLineChars="200" w:firstLine="640"/>
        <w:rPr>
          <w:rFonts w:ascii="仿宋" w:eastAsia="仿宋" w:hAnsi="仿宋" w:cs="仿宋"/>
          <w:sz w:val="32"/>
          <w:szCs w:val="32"/>
        </w:rPr>
      </w:pPr>
      <w:r>
        <w:rPr>
          <w:rFonts w:ascii="仿宋" w:eastAsia="仿宋" w:hAnsi="仿宋" w:cs="仿宋"/>
          <w:sz w:val="32"/>
          <w:szCs w:val="32"/>
        </w:rPr>
        <w:t>3</w:t>
      </w:r>
      <w:r>
        <w:rPr>
          <w:rFonts w:ascii="仿宋" w:eastAsia="仿宋" w:hAnsi="仿宋" w:cs="仿宋" w:hint="eastAsia"/>
          <w:sz w:val="32"/>
          <w:szCs w:val="32"/>
        </w:rPr>
        <w:t>、项目支出：指在基本支出之外为完成特定行政任务和事业发展目标所发生的支出。</w:t>
      </w:r>
    </w:p>
    <w:p w:rsidR="009C34BD" w:rsidRDefault="00E60D81">
      <w:pPr>
        <w:ind w:firstLineChars="200" w:firstLine="640"/>
        <w:rPr>
          <w:rFonts w:ascii="仿宋" w:eastAsia="仿宋" w:hAnsi="仿宋" w:cs="仿宋"/>
          <w:sz w:val="32"/>
          <w:szCs w:val="32"/>
        </w:rPr>
      </w:pPr>
      <w:r>
        <w:rPr>
          <w:rFonts w:ascii="仿宋" w:eastAsia="仿宋" w:hAnsi="仿宋" w:cs="仿宋"/>
          <w:sz w:val="32"/>
          <w:szCs w:val="32"/>
        </w:rPr>
        <w:t>4</w:t>
      </w:r>
      <w:r>
        <w:rPr>
          <w:rFonts w:ascii="仿宋" w:eastAsia="仿宋" w:hAnsi="仿宋" w:cs="仿宋" w:hint="eastAsia"/>
          <w:sz w:val="32"/>
          <w:szCs w:val="32"/>
        </w:rPr>
        <w:t>、“三公”经费：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rsidR="009C34BD" w:rsidRDefault="00E60D81">
      <w:pPr>
        <w:ind w:firstLineChars="200" w:firstLine="640"/>
        <w:rPr>
          <w:rFonts w:ascii="仿宋" w:eastAsia="仿宋" w:hAnsi="仿宋" w:cs="仿宋"/>
          <w:sz w:val="32"/>
          <w:szCs w:val="32"/>
        </w:rPr>
      </w:pPr>
      <w:r>
        <w:rPr>
          <w:rFonts w:ascii="仿宋" w:eastAsia="仿宋" w:hAnsi="仿宋" w:cs="仿宋"/>
          <w:sz w:val="32"/>
          <w:szCs w:val="32"/>
        </w:rPr>
        <w:t>5</w:t>
      </w:r>
      <w:r>
        <w:rPr>
          <w:rFonts w:ascii="仿宋" w:eastAsia="仿宋" w:hAnsi="仿宋" w:cs="仿宋" w:hint="eastAsia"/>
          <w:sz w:val="32"/>
          <w:szCs w:val="32"/>
        </w:rPr>
        <w:t>、机关运行费：是指各部门的公用经费，包括办公及印刷费、邮电费、差旅费、福利费、日常维修费、专用材料及一般设备购置费、办公用房水电费、办公用房取暖费、办公用房物业管理费、公务用车运行维护费以及其他费用。</w:t>
      </w:r>
    </w:p>
    <w:p w:rsidR="009C34BD" w:rsidRDefault="00E60D81">
      <w:pPr>
        <w:ind w:leftChars="76" w:left="160" w:firstLineChars="205" w:firstLine="656"/>
        <w:jc w:val="left"/>
        <w:rPr>
          <w:rFonts w:ascii="仿宋" w:eastAsia="仿宋" w:hAnsi="仿宋" w:cs="Arial"/>
          <w:color w:val="333333"/>
          <w:sz w:val="32"/>
          <w:szCs w:val="32"/>
          <w:shd w:val="clear" w:color="auto" w:fill="FFFFFF"/>
        </w:rPr>
      </w:pPr>
      <w:r>
        <w:rPr>
          <w:rFonts w:ascii="仿宋" w:eastAsia="仿宋" w:hAnsi="仿宋"/>
          <w:sz w:val="32"/>
          <w:szCs w:val="32"/>
        </w:rPr>
        <w:t>6</w:t>
      </w:r>
      <w:r>
        <w:rPr>
          <w:rFonts w:ascii="仿宋" w:eastAsia="仿宋" w:hAnsi="仿宋" w:hint="eastAsia"/>
          <w:sz w:val="32"/>
          <w:szCs w:val="32"/>
        </w:rPr>
        <w:t>、文化发展环境健康向上是指：文化发展能力不断增强，文化艺术文化资源丰富，公共文化服务和文化艺术生产水平不断提高。</w:t>
      </w:r>
    </w:p>
    <w:p w:rsidR="009C34BD" w:rsidRDefault="00E60D81">
      <w:pPr>
        <w:ind w:left="160" w:hangingChars="50" w:hanging="160"/>
        <w:jc w:val="left"/>
        <w:outlineLvl w:val="0"/>
        <w:rPr>
          <w:rFonts w:ascii="仿宋" w:eastAsia="仿宋" w:hAnsi="仿宋" w:cs="Arial"/>
          <w:color w:val="333333"/>
          <w:sz w:val="32"/>
          <w:szCs w:val="32"/>
          <w:shd w:val="clear" w:color="auto" w:fill="FFFFFF"/>
        </w:rPr>
      </w:pPr>
      <w:r>
        <w:rPr>
          <w:rFonts w:ascii="仿宋" w:eastAsia="仿宋" w:hAnsi="仿宋"/>
          <w:sz w:val="32"/>
          <w:szCs w:val="32"/>
        </w:rPr>
        <w:lastRenderedPageBreak/>
        <w:t xml:space="preserve">     7</w:t>
      </w:r>
      <w:r>
        <w:rPr>
          <w:rFonts w:ascii="仿宋" w:eastAsia="仿宋" w:hAnsi="仿宋" w:hint="eastAsia"/>
          <w:sz w:val="32"/>
          <w:szCs w:val="32"/>
        </w:rPr>
        <w:t>、公共文化资源共享是指：形成城乡一体公共文化服务网络，以公共文化产品生产和服务能力提高，基本公共文化服务标准化、均等化水平不断提高</w:t>
      </w:r>
      <w:r>
        <w:rPr>
          <w:rFonts w:ascii="仿宋" w:eastAsia="仿宋" w:hAnsi="仿宋" w:cs="Arial" w:hint="eastAsia"/>
          <w:color w:val="333333"/>
          <w:sz w:val="32"/>
          <w:szCs w:val="32"/>
          <w:shd w:val="clear" w:color="auto" w:fill="FFFFFF"/>
        </w:rPr>
        <w:t>。</w:t>
      </w:r>
    </w:p>
    <w:p w:rsidR="009C34BD" w:rsidRDefault="00E60D81">
      <w:pPr>
        <w:autoSpaceDE w:val="0"/>
        <w:autoSpaceDN w:val="0"/>
        <w:adjustRightInd w:val="0"/>
        <w:ind w:left="198" w:firstLineChars="200" w:firstLine="640"/>
        <w:jc w:val="left"/>
        <w:rPr>
          <w:rFonts w:ascii="黑体" w:eastAsia="黑体" w:hAnsi="黑体"/>
          <w:sz w:val="32"/>
          <w:szCs w:val="32"/>
        </w:rPr>
      </w:pPr>
      <w:r>
        <w:rPr>
          <w:rFonts w:ascii="黑体" w:eastAsia="黑体" w:hAnsi="黑体" w:hint="eastAsia"/>
          <w:sz w:val="32"/>
          <w:szCs w:val="32"/>
        </w:rPr>
        <w:t>九、其他需要说明的事项</w:t>
      </w:r>
    </w:p>
    <w:p w:rsidR="009C34BD" w:rsidRDefault="00E60D81">
      <w:pPr>
        <w:ind w:leftChars="152" w:left="319" w:firstLineChars="150" w:firstLine="480"/>
        <w:jc w:val="left"/>
        <w:outlineLvl w:val="0"/>
        <w:rPr>
          <w:rFonts w:ascii="仿宋" w:eastAsia="仿宋" w:hAnsi="仿宋"/>
          <w:sz w:val="32"/>
          <w:szCs w:val="32"/>
        </w:rPr>
      </w:pPr>
      <w:r>
        <w:rPr>
          <w:rFonts w:ascii="仿宋" w:eastAsia="仿宋" w:hAnsi="仿宋" w:hint="eastAsia"/>
          <w:sz w:val="32"/>
          <w:szCs w:val="32"/>
        </w:rPr>
        <w:t>我单位无其他需要说明的事项。</w:t>
      </w:r>
    </w:p>
    <w:sectPr w:rsidR="009C34BD" w:rsidSect="009C34BD">
      <w:pgSz w:w="11906" w:h="16838"/>
      <w:pgMar w:top="1440" w:right="1797" w:bottom="1440" w:left="1797"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02122" w:rsidRDefault="00402122" w:rsidP="009C34BD">
      <w:r>
        <w:separator/>
      </w:r>
    </w:p>
  </w:endnote>
  <w:endnote w:type="continuationSeparator" w:id="0">
    <w:p w:rsidR="00402122" w:rsidRDefault="00402122" w:rsidP="009C34BD">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仿宋">
    <w:altName w:val="宋体"/>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_GBK">
    <w:altName w:val="Times New Roman"/>
    <w:charset w:val="00"/>
    <w:family w:val="auto"/>
    <w:pitch w:val="default"/>
    <w:sig w:usb0="00000000" w:usb1="00000000" w:usb2="00000000" w:usb3="00000000" w:csb0="00000001" w:csb1="00000000"/>
  </w:font>
  <w:font w:name="方正书宋_GBK">
    <w:altName w:val="宋体"/>
    <w:charset w:val="86"/>
    <w:family w:val="roman"/>
    <w:pitch w:val="default"/>
    <w:sig w:usb0="00000000" w:usb1="00000000" w:usb2="00000010" w:usb3="00000000" w:csb0="00040000" w:csb1="00000000"/>
  </w:font>
  <w:font w:name="?????_GBK">
    <w:altName w:val="Times New Roman"/>
    <w:charset w:val="00"/>
    <w:family w:val="auto"/>
    <w:pitch w:val="default"/>
    <w:sig w:usb0="00000000" w:usb1="00000000" w:usb2="00000000" w:usb3="00000000" w:csb0="00000001" w:csb1="00000000"/>
  </w:font>
  <w:font w:name="Symbol">
    <w:panose1 w:val="05050102010706020507"/>
    <w:charset w:val="02"/>
    <w:family w:val="roman"/>
    <w:pitch w:val="variable"/>
    <w:sig w:usb0="00000000" w:usb1="10000000" w:usb2="00000000" w:usb3="00000000" w:csb0="80000000" w:csb1="00000000"/>
  </w:font>
  <w:font w:name="方正楷体_GBK">
    <w:altName w:val="宋体"/>
    <w:charset w:val="86"/>
    <w:family w:val="roman"/>
    <w:pitch w:val="default"/>
    <w:sig w:usb0="00000000" w:usb1="00000000" w:usb2="00000010" w:usb3="00000000" w:csb0="00040000" w:csb1="00000000"/>
  </w:font>
  <w:font w:name="方正小标宋_GBK">
    <w:altName w:val="宋体"/>
    <w:charset w:val="86"/>
    <w:family w:val="roman"/>
    <w:pitch w:val="default"/>
    <w:sig w:usb0="00000000" w:usb1="00000000" w:usb2="00000010" w:usb3="00000000" w:csb0="00040000"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02122" w:rsidRDefault="00402122" w:rsidP="009C34BD">
      <w:r>
        <w:separator/>
      </w:r>
    </w:p>
  </w:footnote>
  <w:footnote w:type="continuationSeparator" w:id="0">
    <w:p w:rsidR="00402122" w:rsidRDefault="00402122" w:rsidP="009C34BD">
      <w:r>
        <w:continuationSeparator/>
      </w:r>
    </w:p>
  </w:footnote>
  <w:footnote w:id="1">
    <w:p w:rsidR="009C34BD" w:rsidRDefault="00E60D81">
      <w:pPr>
        <w:pStyle w:val="a7"/>
      </w:pPr>
      <w:r>
        <w:rPr>
          <w:rStyle w:val="aa"/>
        </w:rPr>
        <w:sym w:font="Symbol" w:char="F020"/>
      </w:r>
      <w:r>
        <w:rPr>
          <w:rFonts w:ascii="方正楷体_GBK" w:eastAsia="方正楷体_GBK" w:hint="eastAsia"/>
          <w:sz w:val="24"/>
        </w:rPr>
        <w:t>备注：表中的年度预算数为项目支出，部门工作活动虽未安排项目支出，但由基本支出保障，由于基本支出无法拆分到相应的工作活动，因此部分工作活动没有列示年度预算数。</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4BD" w:rsidRDefault="009C34BD">
    <w:pPr>
      <w:pStyle w:val="a6"/>
      <w:pBdr>
        <w:bottom w:val="none" w:sz="0" w:space="0" w:color="auto"/>
      </w:pBdr>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C34BD" w:rsidRDefault="009C34BD">
    <w:pPr>
      <w:pStyle w:val="a6"/>
      <w:pBdr>
        <w:bottom w:val="none" w:sz="0" w:space="0" w:color="auto"/>
      </w:pBd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footnotePr>
    <w:footnote w:id="-1"/>
    <w:footnote w:id="0"/>
  </w:footnotePr>
  <w:endnotePr>
    <w:endnote w:id="-1"/>
    <w:endnote w:id="0"/>
  </w:endnotePr>
  <w:compat>
    <w:spaceForUL/>
    <w:balanceSingleByteDoubleByteWidth/>
    <w:doNotLeaveBackslashAlone/>
    <w:ulTrailSpace/>
    <w:doNotExpandShiftReturn/>
    <w:adjustLineHeightInTable/>
    <w:useFELayout/>
  </w:compat>
  <w:rsids>
    <w:rsidRoot w:val="00F66032"/>
    <w:rsid w:val="00024976"/>
    <w:rsid w:val="00034786"/>
    <w:rsid w:val="00037AF6"/>
    <w:rsid w:val="00042F57"/>
    <w:rsid w:val="0006483E"/>
    <w:rsid w:val="00075D5F"/>
    <w:rsid w:val="0008102F"/>
    <w:rsid w:val="000B529B"/>
    <w:rsid w:val="000C2037"/>
    <w:rsid w:val="000C3A19"/>
    <w:rsid w:val="00107971"/>
    <w:rsid w:val="001245BB"/>
    <w:rsid w:val="001251A3"/>
    <w:rsid w:val="00153A5A"/>
    <w:rsid w:val="00165294"/>
    <w:rsid w:val="001669E6"/>
    <w:rsid w:val="0017381C"/>
    <w:rsid w:val="0018023A"/>
    <w:rsid w:val="00191140"/>
    <w:rsid w:val="001B1455"/>
    <w:rsid w:val="001B4EF3"/>
    <w:rsid w:val="001D2A78"/>
    <w:rsid w:val="001F7873"/>
    <w:rsid w:val="00212B51"/>
    <w:rsid w:val="00241FD4"/>
    <w:rsid w:val="00251B12"/>
    <w:rsid w:val="00296113"/>
    <w:rsid w:val="002A673A"/>
    <w:rsid w:val="002B68B7"/>
    <w:rsid w:val="002C07BE"/>
    <w:rsid w:val="002C4E30"/>
    <w:rsid w:val="002C5E13"/>
    <w:rsid w:val="002C62BC"/>
    <w:rsid w:val="002E03A6"/>
    <w:rsid w:val="002E0EB8"/>
    <w:rsid w:val="002F04D4"/>
    <w:rsid w:val="002F3E58"/>
    <w:rsid w:val="002F7A03"/>
    <w:rsid w:val="0030542C"/>
    <w:rsid w:val="00311B7A"/>
    <w:rsid w:val="00330EDE"/>
    <w:rsid w:val="0036101A"/>
    <w:rsid w:val="00366747"/>
    <w:rsid w:val="00372FA3"/>
    <w:rsid w:val="00383D51"/>
    <w:rsid w:val="003958AD"/>
    <w:rsid w:val="003C372F"/>
    <w:rsid w:val="003D417F"/>
    <w:rsid w:val="003F60E9"/>
    <w:rsid w:val="00402122"/>
    <w:rsid w:val="004117EA"/>
    <w:rsid w:val="004147A1"/>
    <w:rsid w:val="004236DD"/>
    <w:rsid w:val="004248B8"/>
    <w:rsid w:val="00424943"/>
    <w:rsid w:val="0043175C"/>
    <w:rsid w:val="00437296"/>
    <w:rsid w:val="00451590"/>
    <w:rsid w:val="00451871"/>
    <w:rsid w:val="004631FC"/>
    <w:rsid w:val="004706DE"/>
    <w:rsid w:val="00472923"/>
    <w:rsid w:val="00496109"/>
    <w:rsid w:val="004A126C"/>
    <w:rsid w:val="004B0C3A"/>
    <w:rsid w:val="004D4620"/>
    <w:rsid w:val="004D4C06"/>
    <w:rsid w:val="004D5090"/>
    <w:rsid w:val="004D5788"/>
    <w:rsid w:val="004E3066"/>
    <w:rsid w:val="004E74CD"/>
    <w:rsid w:val="004F36DF"/>
    <w:rsid w:val="00501B8E"/>
    <w:rsid w:val="00505BA2"/>
    <w:rsid w:val="00516E04"/>
    <w:rsid w:val="00543B86"/>
    <w:rsid w:val="005454E7"/>
    <w:rsid w:val="005650E9"/>
    <w:rsid w:val="00565588"/>
    <w:rsid w:val="00565852"/>
    <w:rsid w:val="005716C4"/>
    <w:rsid w:val="00572067"/>
    <w:rsid w:val="00573562"/>
    <w:rsid w:val="005816C5"/>
    <w:rsid w:val="00590ECE"/>
    <w:rsid w:val="00592ADD"/>
    <w:rsid w:val="00594DF1"/>
    <w:rsid w:val="005961AC"/>
    <w:rsid w:val="005A2137"/>
    <w:rsid w:val="005B2798"/>
    <w:rsid w:val="005C570E"/>
    <w:rsid w:val="005C762F"/>
    <w:rsid w:val="005F0F38"/>
    <w:rsid w:val="00614A29"/>
    <w:rsid w:val="00616B58"/>
    <w:rsid w:val="006270B9"/>
    <w:rsid w:val="00643AA7"/>
    <w:rsid w:val="00673D76"/>
    <w:rsid w:val="00674CD7"/>
    <w:rsid w:val="00680632"/>
    <w:rsid w:val="006854F0"/>
    <w:rsid w:val="006A35AD"/>
    <w:rsid w:val="006B1C4A"/>
    <w:rsid w:val="006B610D"/>
    <w:rsid w:val="006E49F5"/>
    <w:rsid w:val="006E5C0F"/>
    <w:rsid w:val="006E7D2F"/>
    <w:rsid w:val="007013C8"/>
    <w:rsid w:val="00710899"/>
    <w:rsid w:val="00717B1E"/>
    <w:rsid w:val="00753836"/>
    <w:rsid w:val="0075393C"/>
    <w:rsid w:val="00754592"/>
    <w:rsid w:val="00776C08"/>
    <w:rsid w:val="00786C0C"/>
    <w:rsid w:val="007C219A"/>
    <w:rsid w:val="007E1DA8"/>
    <w:rsid w:val="007F33C6"/>
    <w:rsid w:val="007F6C26"/>
    <w:rsid w:val="00807E33"/>
    <w:rsid w:val="00813208"/>
    <w:rsid w:val="008334AE"/>
    <w:rsid w:val="00836FED"/>
    <w:rsid w:val="0083724E"/>
    <w:rsid w:val="00845CD2"/>
    <w:rsid w:val="00852B0D"/>
    <w:rsid w:val="00880216"/>
    <w:rsid w:val="00881692"/>
    <w:rsid w:val="00883D1A"/>
    <w:rsid w:val="008A25C2"/>
    <w:rsid w:val="008A6576"/>
    <w:rsid w:val="008B3CC5"/>
    <w:rsid w:val="008B52CD"/>
    <w:rsid w:val="008C0108"/>
    <w:rsid w:val="008C1142"/>
    <w:rsid w:val="008C16E2"/>
    <w:rsid w:val="008E1BB4"/>
    <w:rsid w:val="008E4261"/>
    <w:rsid w:val="008F4662"/>
    <w:rsid w:val="00905D08"/>
    <w:rsid w:val="00922AEB"/>
    <w:rsid w:val="009246CA"/>
    <w:rsid w:val="00925753"/>
    <w:rsid w:val="009425F4"/>
    <w:rsid w:val="00966C5C"/>
    <w:rsid w:val="00973104"/>
    <w:rsid w:val="00995BF0"/>
    <w:rsid w:val="009A16D5"/>
    <w:rsid w:val="009A353D"/>
    <w:rsid w:val="009B0B77"/>
    <w:rsid w:val="009B511E"/>
    <w:rsid w:val="009B69D5"/>
    <w:rsid w:val="009C34BD"/>
    <w:rsid w:val="009F232F"/>
    <w:rsid w:val="00A01F38"/>
    <w:rsid w:val="00A051F8"/>
    <w:rsid w:val="00A44E3D"/>
    <w:rsid w:val="00A61CD6"/>
    <w:rsid w:val="00A64D10"/>
    <w:rsid w:val="00A72D2E"/>
    <w:rsid w:val="00A74447"/>
    <w:rsid w:val="00A74CE5"/>
    <w:rsid w:val="00A83160"/>
    <w:rsid w:val="00A911E7"/>
    <w:rsid w:val="00A939D9"/>
    <w:rsid w:val="00A94AF1"/>
    <w:rsid w:val="00AA1B25"/>
    <w:rsid w:val="00AA6D99"/>
    <w:rsid w:val="00AA73C9"/>
    <w:rsid w:val="00AB5433"/>
    <w:rsid w:val="00B07D9E"/>
    <w:rsid w:val="00B20712"/>
    <w:rsid w:val="00B32E08"/>
    <w:rsid w:val="00B43238"/>
    <w:rsid w:val="00B45DD3"/>
    <w:rsid w:val="00B46702"/>
    <w:rsid w:val="00B52632"/>
    <w:rsid w:val="00B727A9"/>
    <w:rsid w:val="00B75216"/>
    <w:rsid w:val="00B91D52"/>
    <w:rsid w:val="00B9490F"/>
    <w:rsid w:val="00BA1ACD"/>
    <w:rsid w:val="00BA6CFB"/>
    <w:rsid w:val="00BD09F8"/>
    <w:rsid w:val="00C076E8"/>
    <w:rsid w:val="00C124FC"/>
    <w:rsid w:val="00C5034B"/>
    <w:rsid w:val="00C90B83"/>
    <w:rsid w:val="00CA7176"/>
    <w:rsid w:val="00CB3D48"/>
    <w:rsid w:val="00CB4665"/>
    <w:rsid w:val="00CC2019"/>
    <w:rsid w:val="00CC402F"/>
    <w:rsid w:val="00CC75B0"/>
    <w:rsid w:val="00CD2773"/>
    <w:rsid w:val="00CE143B"/>
    <w:rsid w:val="00CF64EE"/>
    <w:rsid w:val="00D0024A"/>
    <w:rsid w:val="00D27003"/>
    <w:rsid w:val="00D45BE4"/>
    <w:rsid w:val="00D55026"/>
    <w:rsid w:val="00D923F9"/>
    <w:rsid w:val="00DB3D64"/>
    <w:rsid w:val="00DB4A9B"/>
    <w:rsid w:val="00DB6620"/>
    <w:rsid w:val="00DC61D7"/>
    <w:rsid w:val="00E142C8"/>
    <w:rsid w:val="00E15091"/>
    <w:rsid w:val="00E167C7"/>
    <w:rsid w:val="00E2482E"/>
    <w:rsid w:val="00E470CF"/>
    <w:rsid w:val="00E574AA"/>
    <w:rsid w:val="00E60D81"/>
    <w:rsid w:val="00E73050"/>
    <w:rsid w:val="00E73D47"/>
    <w:rsid w:val="00E81036"/>
    <w:rsid w:val="00EA5971"/>
    <w:rsid w:val="00EB50F7"/>
    <w:rsid w:val="00EC47F6"/>
    <w:rsid w:val="00EE156D"/>
    <w:rsid w:val="00EE284F"/>
    <w:rsid w:val="00EE65B8"/>
    <w:rsid w:val="00EF203E"/>
    <w:rsid w:val="00EF5E86"/>
    <w:rsid w:val="00F149E2"/>
    <w:rsid w:val="00F2730D"/>
    <w:rsid w:val="00F66032"/>
    <w:rsid w:val="00F87C1E"/>
    <w:rsid w:val="00F958C2"/>
    <w:rsid w:val="00FA7A39"/>
    <w:rsid w:val="00FC174A"/>
    <w:rsid w:val="00FF3258"/>
    <w:rsid w:val="00FF3C8E"/>
    <w:rsid w:val="00FF3D62"/>
    <w:rsid w:val="012F6CE1"/>
    <w:rsid w:val="0209514B"/>
    <w:rsid w:val="11D2139B"/>
    <w:rsid w:val="12A1508B"/>
    <w:rsid w:val="15A0279A"/>
    <w:rsid w:val="1A986667"/>
    <w:rsid w:val="20600FA3"/>
    <w:rsid w:val="229F0A70"/>
    <w:rsid w:val="2690652B"/>
    <w:rsid w:val="28844754"/>
    <w:rsid w:val="295E7D2F"/>
    <w:rsid w:val="2E0B1A97"/>
    <w:rsid w:val="2F4F2189"/>
    <w:rsid w:val="30945421"/>
    <w:rsid w:val="35D23211"/>
    <w:rsid w:val="36801CC7"/>
    <w:rsid w:val="3F6F3F1F"/>
    <w:rsid w:val="4A115531"/>
    <w:rsid w:val="4CBC0C30"/>
    <w:rsid w:val="569935EA"/>
    <w:rsid w:val="59D04E08"/>
    <w:rsid w:val="5F65206A"/>
    <w:rsid w:val="74FB01C0"/>
    <w:rsid w:val="7B37202B"/>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宋体" w:hAnsi="Calibri"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semiHidden="0" w:unhideWhenUsed="0" w:qFormat="1"/>
    <w:lsdException w:name="toc 2" w:semiHidden="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footnote text" w:semiHidden="0" w:unhideWhenUsed="0"/>
    <w:lsdException w:name="header" w:semiHidden="0" w:unhideWhenUsed="0"/>
    <w:lsdException w:name="footer" w:semiHidden="0" w:unhideWhenUsed="0"/>
    <w:lsdException w:name="caption" w:locked="1" w:uiPriority="0" w:qFormat="1"/>
    <w:lsdException w:name="footnote reference" w:semiHidden="0" w:unhideWhenUsed="0"/>
    <w:lsdException w:name="page number" w:semiHidden="0" w:unhideWhenUsed="0"/>
    <w:lsdException w:name="Title" w:locked="1" w:semiHidden="0" w:uiPriority="0" w:unhideWhenUsed="0" w:qFormat="1"/>
    <w:lsdException w:name="Default Paragraph Font" w:uiPriority="1"/>
    <w:lsdException w:name="Subtitle" w:locked="1" w:semiHidden="0" w:uiPriority="0" w:unhideWhenUsed="0" w:qFormat="1"/>
    <w:lsdException w:name="Hyperlink" w:semiHidden="0" w:unhideWhenUsed="0"/>
    <w:lsdException w:name="Strong" w:locked="1" w:semiHidden="0" w:uiPriority="0" w:unhideWhenUsed="0" w:qFormat="1"/>
    <w:lsdException w:name="Emphasis" w:locked="1" w:semiHidden="0" w:uiPriority="0" w:unhideWhenUsed="0" w:qFormat="1"/>
    <w:lsdException w:name="Plain Text" w:semiHidden="0" w:unhideWhenUsed="0" w:qFormat="1"/>
    <w:lsdException w:name="Normal Table" w:qFormat="1"/>
    <w:lsdException w:name="Balloon Text" w:semiHidden="0" w:unhideWhenUsed="0" w:qFormat="1"/>
    <w:lsdException w:name="Table Grid" w:locked="1" w:semiHidden="0" w:uiPriority="0"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C34BD"/>
    <w:pPr>
      <w:widowControl w:val="0"/>
      <w:jc w:val="both"/>
    </w:pPr>
    <w:rPr>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Plain Text"/>
    <w:basedOn w:val="a"/>
    <w:link w:val="Char"/>
    <w:uiPriority w:val="99"/>
    <w:qFormat/>
    <w:rsid w:val="009C34BD"/>
    <w:rPr>
      <w:rFonts w:ascii="宋体" w:hAnsi="Courier New"/>
      <w:kern w:val="0"/>
      <w:szCs w:val="21"/>
    </w:rPr>
  </w:style>
  <w:style w:type="paragraph" w:styleId="a4">
    <w:name w:val="Balloon Text"/>
    <w:basedOn w:val="a"/>
    <w:link w:val="Char0"/>
    <w:uiPriority w:val="99"/>
    <w:qFormat/>
    <w:rsid w:val="009C34BD"/>
    <w:rPr>
      <w:kern w:val="0"/>
      <w:sz w:val="18"/>
      <w:szCs w:val="18"/>
    </w:rPr>
  </w:style>
  <w:style w:type="paragraph" w:styleId="a5">
    <w:name w:val="footer"/>
    <w:basedOn w:val="a"/>
    <w:link w:val="Char1"/>
    <w:uiPriority w:val="99"/>
    <w:rsid w:val="009C34BD"/>
    <w:pPr>
      <w:tabs>
        <w:tab w:val="center" w:pos="4153"/>
        <w:tab w:val="right" w:pos="8306"/>
      </w:tabs>
      <w:snapToGrid w:val="0"/>
      <w:jc w:val="left"/>
    </w:pPr>
    <w:rPr>
      <w:rFonts w:ascii="Times New Roman" w:hAnsi="Times New Roman"/>
      <w:kern w:val="0"/>
      <w:sz w:val="18"/>
      <w:szCs w:val="18"/>
    </w:rPr>
  </w:style>
  <w:style w:type="paragraph" w:styleId="a6">
    <w:name w:val="header"/>
    <w:basedOn w:val="a"/>
    <w:link w:val="Char2"/>
    <w:uiPriority w:val="99"/>
    <w:rsid w:val="009C34BD"/>
    <w:pPr>
      <w:pBdr>
        <w:bottom w:val="single" w:sz="6" w:space="1" w:color="auto"/>
      </w:pBdr>
      <w:tabs>
        <w:tab w:val="center" w:pos="4153"/>
        <w:tab w:val="right" w:pos="8306"/>
      </w:tabs>
      <w:snapToGrid w:val="0"/>
      <w:jc w:val="center"/>
    </w:pPr>
    <w:rPr>
      <w:rFonts w:ascii="Times New Roman" w:hAnsi="Times New Roman"/>
      <w:kern w:val="0"/>
      <w:sz w:val="18"/>
      <w:szCs w:val="18"/>
    </w:rPr>
  </w:style>
  <w:style w:type="paragraph" w:styleId="1">
    <w:name w:val="toc 1"/>
    <w:basedOn w:val="a"/>
    <w:next w:val="a"/>
    <w:uiPriority w:val="99"/>
    <w:qFormat/>
    <w:rsid w:val="009C34BD"/>
    <w:rPr>
      <w:rFonts w:ascii="Times New Roman" w:hAnsi="Times New Roman"/>
      <w:szCs w:val="24"/>
    </w:rPr>
  </w:style>
  <w:style w:type="paragraph" w:styleId="a7">
    <w:name w:val="footnote text"/>
    <w:basedOn w:val="a"/>
    <w:link w:val="Char3"/>
    <w:uiPriority w:val="99"/>
    <w:rsid w:val="009C34BD"/>
    <w:pPr>
      <w:snapToGrid w:val="0"/>
      <w:jc w:val="left"/>
    </w:pPr>
    <w:rPr>
      <w:kern w:val="0"/>
      <w:sz w:val="18"/>
      <w:szCs w:val="18"/>
    </w:rPr>
  </w:style>
  <w:style w:type="paragraph" w:styleId="2">
    <w:name w:val="toc 2"/>
    <w:basedOn w:val="a"/>
    <w:next w:val="a"/>
    <w:uiPriority w:val="99"/>
    <w:rsid w:val="009C34BD"/>
    <w:pPr>
      <w:ind w:leftChars="200" w:left="420"/>
    </w:pPr>
    <w:rPr>
      <w:rFonts w:ascii="Times New Roman" w:hAnsi="Times New Roman"/>
      <w:szCs w:val="24"/>
    </w:rPr>
  </w:style>
  <w:style w:type="character" w:styleId="a8">
    <w:name w:val="page number"/>
    <w:basedOn w:val="a0"/>
    <w:uiPriority w:val="99"/>
    <w:rsid w:val="009C34BD"/>
    <w:rPr>
      <w:rFonts w:cs="Times New Roman"/>
    </w:rPr>
  </w:style>
  <w:style w:type="character" w:styleId="a9">
    <w:name w:val="Hyperlink"/>
    <w:basedOn w:val="a0"/>
    <w:uiPriority w:val="99"/>
    <w:rsid w:val="009C34BD"/>
    <w:rPr>
      <w:rFonts w:cs="Times New Roman"/>
      <w:color w:val="0000FF"/>
      <w:u w:val="single"/>
    </w:rPr>
  </w:style>
  <w:style w:type="character" w:styleId="aa">
    <w:name w:val="footnote reference"/>
    <w:basedOn w:val="a0"/>
    <w:uiPriority w:val="99"/>
    <w:rsid w:val="009C34BD"/>
    <w:rPr>
      <w:rFonts w:cs="Times New Roman"/>
      <w:vertAlign w:val="superscript"/>
    </w:rPr>
  </w:style>
  <w:style w:type="character" w:customStyle="1" w:styleId="Char">
    <w:name w:val="纯文本 Char"/>
    <w:basedOn w:val="a0"/>
    <w:link w:val="a3"/>
    <w:uiPriority w:val="99"/>
    <w:semiHidden/>
    <w:locked/>
    <w:rsid w:val="009C34BD"/>
    <w:rPr>
      <w:rFonts w:ascii="宋体" w:hAnsi="Courier New"/>
      <w:sz w:val="21"/>
    </w:rPr>
  </w:style>
  <w:style w:type="character" w:customStyle="1" w:styleId="Char0">
    <w:name w:val="批注框文本 Char"/>
    <w:basedOn w:val="a0"/>
    <w:link w:val="a4"/>
    <w:uiPriority w:val="99"/>
    <w:semiHidden/>
    <w:locked/>
    <w:rsid w:val="009C34BD"/>
    <w:rPr>
      <w:sz w:val="18"/>
    </w:rPr>
  </w:style>
  <w:style w:type="character" w:customStyle="1" w:styleId="Char1">
    <w:name w:val="页脚 Char"/>
    <w:basedOn w:val="a0"/>
    <w:link w:val="a5"/>
    <w:uiPriority w:val="99"/>
    <w:locked/>
    <w:rsid w:val="009C34BD"/>
    <w:rPr>
      <w:rFonts w:ascii="Times New Roman" w:eastAsia="宋体" w:hAnsi="Times New Roman"/>
      <w:sz w:val="18"/>
    </w:rPr>
  </w:style>
  <w:style w:type="character" w:customStyle="1" w:styleId="Char2">
    <w:name w:val="页眉 Char"/>
    <w:basedOn w:val="a0"/>
    <w:link w:val="a6"/>
    <w:uiPriority w:val="99"/>
    <w:locked/>
    <w:rsid w:val="009C34BD"/>
    <w:rPr>
      <w:rFonts w:ascii="Times New Roman" w:eastAsia="宋体" w:hAnsi="Times New Roman"/>
      <w:sz w:val="18"/>
    </w:rPr>
  </w:style>
  <w:style w:type="character" w:customStyle="1" w:styleId="Char3">
    <w:name w:val="脚注文本 Char"/>
    <w:basedOn w:val="a0"/>
    <w:link w:val="a7"/>
    <w:uiPriority w:val="99"/>
    <w:semiHidden/>
    <w:locked/>
    <w:rsid w:val="009C34BD"/>
    <w:rPr>
      <w:rFonts w:ascii="Calibri" w:eastAsia="宋体" w:hAnsi="Calibri"/>
      <w:sz w:val="18"/>
    </w:rPr>
  </w:style>
  <w:style w:type="paragraph" w:customStyle="1" w:styleId="Default">
    <w:name w:val="Default"/>
    <w:uiPriority w:val="99"/>
    <w:rsid w:val="009C34BD"/>
    <w:pPr>
      <w:widowControl w:val="0"/>
      <w:autoSpaceDE w:val="0"/>
      <w:autoSpaceDN w:val="0"/>
      <w:adjustRightInd w:val="0"/>
    </w:pPr>
    <w:rPr>
      <w:rFonts w:ascii="Times New Roman" w:hAnsi="Times New Roman"/>
      <w:color w:val="000000"/>
      <w:sz w:val="24"/>
      <w:szCs w:val="24"/>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34</Pages>
  <Words>2510</Words>
  <Characters>14313</Characters>
  <Application>Microsoft Office Word</Application>
  <DocSecurity>0</DocSecurity>
  <Lines>119</Lines>
  <Paragraphs>33</Paragraphs>
  <ScaleCrop>false</ScaleCrop>
  <Company>Microsoft</Company>
  <LinksUpToDate>false</LinksUpToDate>
  <CharactersWithSpaces>16790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河北省财政厅2019年部门预算信息公开情况说明</dc:title>
  <dc:creator>guest</dc:creator>
  <cp:lastModifiedBy>freeuser</cp:lastModifiedBy>
  <cp:revision>3</cp:revision>
  <cp:lastPrinted>2017-11-09T01:12:00Z</cp:lastPrinted>
  <dcterms:created xsi:type="dcterms:W3CDTF">2024-01-16T06:46:00Z</dcterms:created>
  <dcterms:modified xsi:type="dcterms:W3CDTF">2024-01-16T07:37:00Z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2052-11.1.0.10314</vt:lpwstr>
  </property>
  <property fmtid="{D5CDD505-2E9C-101B-9397-08002B2CF9AE}" pid="3" name="ICV">
    <vt:lpwstr>DC796570139041B3B890DE9ABEC9E0EB</vt:lpwstr>
  </property>
</Properties>
</file>