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60" w:lineRule="exac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附件4</w:t>
      </w:r>
    </w:p>
    <w:p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>
      <w:pPr>
        <w:spacing w:line="560" w:lineRule="exact"/>
        <w:jc w:val="center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  <w:lang w:eastAsia="zh-CN"/>
        </w:rPr>
        <w:t>赞皇县机关事务管理中心</w:t>
      </w:r>
      <w:r>
        <w:rPr>
          <w:rFonts w:hint="eastAsia" w:ascii="宋体" w:hAnsi="宋体" w:cs="宋体"/>
          <w:b/>
          <w:bCs/>
          <w:sz w:val="44"/>
          <w:szCs w:val="44"/>
        </w:rPr>
        <w:t>部门</w:t>
      </w:r>
    </w:p>
    <w:p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2022年度整体支出绩效自评报告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</w:t>
      </w:r>
      <w:r>
        <w:rPr>
          <w:rFonts w:hint="eastAsia" w:ascii="仿宋" w:hAnsi="仿宋" w:eastAsia="仿宋"/>
          <w:sz w:val="32"/>
          <w:szCs w:val="32"/>
          <w:lang w:eastAsia="zh-CN"/>
        </w:rPr>
        <w:t>县</w:t>
      </w:r>
      <w:r>
        <w:rPr>
          <w:rFonts w:hint="eastAsia" w:ascii="仿宋" w:hAnsi="仿宋" w:eastAsia="仿宋"/>
          <w:sz w:val="32"/>
          <w:szCs w:val="32"/>
        </w:rPr>
        <w:t>委</w:t>
      </w:r>
      <w:r>
        <w:rPr>
          <w:rFonts w:hint="eastAsia" w:ascii="仿宋" w:hAnsi="仿宋" w:eastAsia="仿宋"/>
          <w:sz w:val="32"/>
          <w:szCs w:val="32"/>
          <w:lang w:eastAsia="zh-CN"/>
        </w:rPr>
        <w:t>县</w:t>
      </w:r>
      <w:r>
        <w:rPr>
          <w:rFonts w:hint="eastAsia" w:ascii="仿宋" w:hAnsi="仿宋" w:eastAsia="仿宋"/>
          <w:sz w:val="32"/>
          <w:szCs w:val="32"/>
        </w:rPr>
        <w:t>政府《关于全面</w:t>
      </w:r>
      <w:r>
        <w:rPr>
          <w:rFonts w:hint="eastAsia" w:ascii="仿宋" w:hAnsi="仿宋" w:eastAsia="仿宋"/>
          <w:sz w:val="32"/>
          <w:szCs w:val="32"/>
          <w:lang w:eastAsia="zh-CN"/>
        </w:rPr>
        <w:t>实施</w:t>
      </w:r>
      <w:r>
        <w:rPr>
          <w:rFonts w:hint="eastAsia" w:ascii="仿宋" w:hAnsi="仿宋" w:eastAsia="仿宋"/>
          <w:sz w:val="32"/>
          <w:szCs w:val="32"/>
        </w:rPr>
        <w:t>预算绩效管理</w:t>
      </w:r>
      <w:r>
        <w:rPr>
          <w:rFonts w:hint="eastAsia" w:ascii="仿宋" w:hAnsi="仿宋" w:eastAsia="仿宋"/>
          <w:sz w:val="32"/>
          <w:szCs w:val="32"/>
          <w:lang w:eastAsia="zh-CN"/>
        </w:rPr>
        <w:t>工作方案</w:t>
      </w:r>
      <w:r>
        <w:rPr>
          <w:rFonts w:hint="eastAsia" w:ascii="仿宋" w:hAnsi="仿宋" w:eastAsia="仿宋"/>
          <w:sz w:val="32"/>
          <w:szCs w:val="32"/>
        </w:rPr>
        <w:t>》（</w:t>
      </w:r>
      <w:r>
        <w:rPr>
          <w:rFonts w:hint="eastAsia" w:ascii="仿宋" w:hAnsi="仿宋" w:eastAsia="仿宋"/>
          <w:sz w:val="32"/>
          <w:szCs w:val="32"/>
          <w:lang w:eastAsia="zh-CN"/>
        </w:rPr>
        <w:t>赞财预</w:t>
      </w:r>
      <w:r>
        <w:rPr>
          <w:rFonts w:hint="eastAsia" w:ascii="仿宋" w:hAnsi="仿宋" w:eastAsia="仿宋"/>
          <w:sz w:val="32"/>
          <w:szCs w:val="32"/>
        </w:rPr>
        <w:t>﹝2019﹞</w:t>
      </w:r>
      <w:r>
        <w:rPr>
          <w:rFonts w:hint="eastAsia" w:ascii="仿宋" w:hAnsi="仿宋" w:eastAsia="仿宋"/>
          <w:sz w:val="32"/>
          <w:szCs w:val="32"/>
          <w:lang w:eastAsia="zh-CN"/>
        </w:rPr>
        <w:t>７</w:t>
      </w:r>
      <w:r>
        <w:rPr>
          <w:rFonts w:hint="eastAsia" w:ascii="仿宋" w:hAnsi="仿宋" w:eastAsia="仿宋"/>
          <w:sz w:val="32"/>
          <w:szCs w:val="32"/>
        </w:rPr>
        <w:t>号）文件精神，遵循“科学性、规范性、客观性和公正性”的原则，对</w:t>
      </w:r>
      <w:r>
        <w:rPr>
          <w:rFonts w:hint="eastAsia" w:ascii="仿宋" w:hAnsi="仿宋" w:eastAsia="仿宋"/>
          <w:sz w:val="32"/>
          <w:szCs w:val="32"/>
          <w:lang w:eastAsia="zh-CN"/>
        </w:rPr>
        <w:t>赞皇县机关事务管理中心</w:t>
      </w:r>
      <w:r>
        <w:rPr>
          <w:rFonts w:hint="eastAsia" w:ascii="仿宋" w:hAnsi="仿宋" w:eastAsia="仿宋"/>
          <w:sz w:val="32"/>
          <w:szCs w:val="32"/>
        </w:rPr>
        <w:t>2022年整体支出情况实施了财政支出绩效自评价，形成本评价报告。</w:t>
      </w:r>
    </w:p>
    <w:p>
      <w:pPr>
        <w:adjustRightInd w:val="0"/>
        <w:snapToGrid w:val="0"/>
        <w:spacing w:line="560" w:lineRule="exact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（一）部门概况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  <w:lang w:eastAsia="zh-CN"/>
        </w:rPr>
      </w:pPr>
      <w:r>
        <w:rPr>
          <w:rFonts w:hint="eastAsia" w:ascii="楷体" w:hAnsi="楷体" w:eastAsia="楷体" w:cs="楷体_GB2312"/>
          <w:bCs/>
          <w:sz w:val="32"/>
          <w:szCs w:val="32"/>
          <w:lang w:val="en-US" w:eastAsia="zh-CN"/>
        </w:rPr>
        <w:t>1.</w:t>
      </w:r>
      <w:r>
        <w:rPr>
          <w:rFonts w:hint="eastAsia" w:ascii="楷体" w:hAnsi="楷体" w:eastAsia="楷体" w:cs="楷体_GB2312"/>
          <w:bCs/>
          <w:sz w:val="32"/>
          <w:szCs w:val="32"/>
          <w:lang w:eastAsia="zh-CN"/>
        </w:rPr>
        <w:t>部门职能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（1）研究拟定全县党政群各系统机关事务工作的规章并组织实施，对全县机关后勤工作给予指导。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（2）</w:t>
      </w:r>
      <w:r>
        <w:rPr>
          <w:rFonts w:hint="eastAsia" w:ascii="仿宋" w:hAnsi="仿宋" w:eastAsia="仿宋"/>
          <w:sz w:val="32"/>
          <w:szCs w:val="32"/>
        </w:rPr>
        <w:t>负责大院机关的房地产权、产籍管理工作，负责机关房屋的统一修缮工作，负责四大班子的建设用房基建项目、投资计划的编制、审核报批及组织实施。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（3）</w:t>
      </w:r>
      <w:r>
        <w:rPr>
          <w:rFonts w:hint="eastAsia" w:ascii="仿宋" w:hAnsi="仿宋" w:eastAsia="仿宋"/>
          <w:sz w:val="32"/>
          <w:szCs w:val="32"/>
        </w:rPr>
        <w:t>负责大院内机关的水、电、暖设施的统一维修、维护和环境、卫生和绿化的统一管理工作。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（4）</w:t>
      </w:r>
      <w:r>
        <w:rPr>
          <w:rFonts w:hint="eastAsia" w:ascii="仿宋" w:hAnsi="仿宋" w:eastAsia="仿宋"/>
          <w:sz w:val="32"/>
          <w:szCs w:val="32"/>
        </w:rPr>
        <w:t>负责大院安全保卫工作。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（5）</w:t>
      </w:r>
      <w:r>
        <w:rPr>
          <w:rFonts w:hint="eastAsia" w:ascii="仿宋" w:hAnsi="仿宋" w:eastAsia="仿宋"/>
          <w:sz w:val="32"/>
          <w:szCs w:val="32"/>
        </w:rPr>
        <w:t>负责县四大班子领导车辆的运行、维护的统一管理以及大院车辆停放秩序的管理、维护。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（6）</w:t>
      </w:r>
      <w:r>
        <w:rPr>
          <w:rFonts w:hint="eastAsia" w:ascii="仿宋" w:hAnsi="仿宋" w:eastAsia="仿宋"/>
          <w:sz w:val="32"/>
          <w:szCs w:val="32"/>
        </w:rPr>
        <w:t>负责大院食堂及其它后勤工作。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（7）</w:t>
      </w:r>
      <w:r>
        <w:rPr>
          <w:rFonts w:hint="eastAsia" w:ascii="仿宋" w:hAnsi="仿宋" w:eastAsia="仿宋"/>
          <w:sz w:val="32"/>
          <w:szCs w:val="32"/>
        </w:rPr>
        <w:t>负责大院内设机关通信管理工作。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（8）</w:t>
      </w:r>
      <w:r>
        <w:rPr>
          <w:rFonts w:hint="eastAsia" w:ascii="仿宋" w:hAnsi="仿宋" w:eastAsia="仿宋"/>
          <w:sz w:val="32"/>
          <w:szCs w:val="32"/>
        </w:rPr>
        <w:t>在管理节能工作部门的指导下，负责县公共机构节能的监督管理工作。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（9）</w:t>
      </w:r>
      <w:r>
        <w:rPr>
          <w:rFonts w:hint="eastAsia" w:ascii="仿宋" w:hAnsi="仿宋" w:eastAsia="仿宋"/>
          <w:sz w:val="32"/>
          <w:szCs w:val="32"/>
        </w:rPr>
        <w:t>承办县委、县政府交办的其他事项。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  <w:lang w:val="en-US" w:eastAsia="zh-CN"/>
        </w:rPr>
        <w:t>2.</w:t>
      </w:r>
      <w:r>
        <w:rPr>
          <w:rFonts w:hint="eastAsia" w:ascii="楷体" w:hAnsi="楷体" w:eastAsia="楷体" w:cs="楷体_GB2312"/>
          <w:bCs/>
          <w:sz w:val="32"/>
          <w:szCs w:val="32"/>
          <w:lang w:eastAsia="zh-CN"/>
        </w:rPr>
        <w:t>组织机构情况</w:t>
      </w:r>
    </w:p>
    <w:tbl>
      <w:tblPr>
        <w:tblStyle w:val="7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54"/>
        <w:gridCol w:w="1134"/>
        <w:gridCol w:w="1089"/>
        <w:gridCol w:w="2880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tblHeader/>
          <w:jc w:val="center"/>
        </w:trPr>
        <w:tc>
          <w:tcPr>
            <w:tcW w:w="3354" w:type="dxa"/>
            <w:vMerge w:val="restart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仿宋" w:hAnsi="仿宋" w:eastAsia="仿宋" w:cs="Times New Roman"/>
                <w:b w:val="0"/>
                <w:bCs/>
                <w:szCs w:val="24"/>
              </w:rPr>
            </w:pPr>
            <w:r>
              <w:rPr>
                <w:rFonts w:hint="eastAsia" w:ascii="仿宋" w:hAnsi="仿宋" w:eastAsia="仿宋" w:cs="Times New Roman"/>
                <w:b w:val="0"/>
                <w:bCs/>
                <w:szCs w:val="24"/>
                <w:lang w:eastAsia="zh-CN"/>
              </w:rPr>
              <w:t>部门</w:t>
            </w:r>
            <w:r>
              <w:rPr>
                <w:rFonts w:ascii="仿宋" w:hAnsi="仿宋" w:eastAsia="仿宋" w:cs="Times New Roman"/>
                <w:b w:val="0"/>
                <w:bCs/>
                <w:szCs w:val="24"/>
              </w:rPr>
              <w:t>名称</w:t>
            </w:r>
          </w:p>
        </w:tc>
        <w:tc>
          <w:tcPr>
            <w:tcW w:w="1134" w:type="dxa"/>
            <w:vMerge w:val="restart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仿宋" w:hAnsi="仿宋" w:eastAsia="仿宋" w:cs="Times New Roman"/>
                <w:b w:val="0"/>
                <w:bCs/>
                <w:szCs w:val="24"/>
              </w:rPr>
            </w:pPr>
            <w:r>
              <w:rPr>
                <w:rFonts w:hint="eastAsia" w:ascii="仿宋" w:hAnsi="仿宋" w:eastAsia="仿宋" w:cs="Times New Roman"/>
                <w:b w:val="0"/>
                <w:bCs/>
                <w:szCs w:val="24"/>
                <w:lang w:eastAsia="zh-CN"/>
              </w:rPr>
              <w:t>部门</w:t>
            </w:r>
            <w:r>
              <w:rPr>
                <w:rFonts w:ascii="仿宋" w:hAnsi="仿宋" w:eastAsia="仿宋" w:cs="Times New Roman"/>
                <w:b w:val="0"/>
                <w:bCs/>
                <w:szCs w:val="24"/>
              </w:rPr>
              <w:t>性质</w:t>
            </w:r>
          </w:p>
        </w:tc>
        <w:tc>
          <w:tcPr>
            <w:tcW w:w="1089" w:type="dxa"/>
            <w:vMerge w:val="restart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仿宋" w:hAnsi="仿宋" w:eastAsia="仿宋" w:cs="Times New Roman"/>
                <w:b w:val="0"/>
                <w:bCs/>
                <w:szCs w:val="24"/>
              </w:rPr>
            </w:pPr>
            <w:r>
              <w:rPr>
                <w:rFonts w:hint="eastAsia" w:ascii="仿宋" w:hAnsi="仿宋" w:eastAsia="仿宋" w:cs="Times New Roman"/>
                <w:b w:val="0"/>
                <w:bCs/>
                <w:szCs w:val="24"/>
                <w:lang w:eastAsia="zh-CN"/>
              </w:rPr>
              <w:t>部门</w:t>
            </w:r>
            <w:r>
              <w:rPr>
                <w:rFonts w:ascii="仿宋" w:hAnsi="仿宋" w:eastAsia="仿宋" w:cs="Times New Roman"/>
                <w:b w:val="0"/>
                <w:bCs/>
                <w:szCs w:val="24"/>
              </w:rPr>
              <w:t>规格</w:t>
            </w:r>
          </w:p>
        </w:tc>
        <w:tc>
          <w:tcPr>
            <w:tcW w:w="2880" w:type="dxa"/>
            <w:vMerge w:val="restart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仿宋" w:hAnsi="仿宋" w:eastAsia="仿宋" w:cs="Times New Roman"/>
                <w:b w:val="0"/>
                <w:bCs/>
                <w:szCs w:val="24"/>
              </w:rPr>
            </w:pPr>
            <w:r>
              <w:rPr>
                <w:rFonts w:ascii="仿宋" w:hAnsi="仿宋" w:eastAsia="仿宋" w:cs="Times New Roman"/>
                <w:b w:val="0"/>
                <w:bCs/>
                <w:szCs w:val="24"/>
              </w:rPr>
              <w:t>经费保障形式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tblHeader/>
          <w:jc w:val="center"/>
        </w:trPr>
        <w:tc>
          <w:tcPr>
            <w:tcW w:w="3354" w:type="dxa"/>
            <w:vMerge w:val="continue"/>
            <w:noWrap w:val="0"/>
            <w:vAlign w:val="center"/>
          </w:tcPr>
          <w:p>
            <w:pPr>
              <w:spacing w:line="300" w:lineRule="exact"/>
              <w:jc w:val="left"/>
              <w:outlineLvl w:val="0"/>
              <w:rPr>
                <w:rFonts w:ascii="仿宋" w:hAnsi="仿宋" w:eastAsia="仿宋" w:cs="Times New Roman"/>
                <w:szCs w:val="24"/>
              </w:rPr>
            </w:pPr>
          </w:p>
        </w:tc>
        <w:tc>
          <w:tcPr>
            <w:tcW w:w="1134" w:type="dxa"/>
            <w:vMerge w:val="continue"/>
            <w:noWrap w:val="0"/>
            <w:vAlign w:val="center"/>
          </w:tcPr>
          <w:p>
            <w:pPr>
              <w:spacing w:line="300" w:lineRule="exact"/>
              <w:jc w:val="left"/>
              <w:outlineLvl w:val="0"/>
              <w:rPr>
                <w:rFonts w:ascii="仿宋" w:hAnsi="仿宋" w:eastAsia="仿宋" w:cs="Times New Roman"/>
                <w:szCs w:val="24"/>
              </w:rPr>
            </w:pPr>
          </w:p>
        </w:tc>
        <w:tc>
          <w:tcPr>
            <w:tcW w:w="1089" w:type="dxa"/>
            <w:vMerge w:val="continue"/>
            <w:noWrap w:val="0"/>
            <w:vAlign w:val="center"/>
          </w:tcPr>
          <w:p>
            <w:pPr>
              <w:spacing w:line="300" w:lineRule="exact"/>
              <w:jc w:val="left"/>
              <w:outlineLvl w:val="0"/>
              <w:rPr>
                <w:rFonts w:ascii="仿宋" w:hAnsi="仿宋" w:eastAsia="仿宋" w:cs="Times New Roman"/>
                <w:szCs w:val="24"/>
              </w:rPr>
            </w:pPr>
          </w:p>
        </w:tc>
        <w:tc>
          <w:tcPr>
            <w:tcW w:w="2880" w:type="dxa"/>
            <w:vMerge w:val="continue"/>
            <w:noWrap w:val="0"/>
            <w:vAlign w:val="center"/>
          </w:tcPr>
          <w:p>
            <w:pPr>
              <w:spacing w:line="300" w:lineRule="exact"/>
              <w:jc w:val="left"/>
              <w:outlineLvl w:val="0"/>
              <w:rPr>
                <w:rFonts w:ascii="仿宋" w:hAnsi="仿宋" w:eastAsia="仿宋" w:cs="Times New Roman"/>
                <w:szCs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  <w:jc w:val="center"/>
        </w:trPr>
        <w:tc>
          <w:tcPr>
            <w:tcW w:w="3354" w:type="dxa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仿宋" w:hAnsi="仿宋" w:eastAsia="仿宋" w:cs="Times New Roman"/>
                <w:szCs w:val="24"/>
              </w:rPr>
            </w:pPr>
            <w:r>
              <w:rPr>
                <w:rFonts w:hint="eastAsia" w:ascii="仿宋" w:hAnsi="仿宋" w:eastAsia="仿宋" w:cs="Times New Roman"/>
                <w:szCs w:val="24"/>
              </w:rPr>
              <w:t>赞皇县机关事务管理中心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仿宋" w:hAnsi="仿宋" w:eastAsia="仿宋" w:cs="Times New Roman"/>
                <w:szCs w:val="24"/>
              </w:rPr>
            </w:pPr>
            <w:r>
              <w:rPr>
                <w:rFonts w:hint="eastAsia" w:ascii="仿宋" w:hAnsi="仿宋" w:eastAsia="仿宋"/>
              </w:rPr>
              <w:t>事业</w:t>
            </w:r>
          </w:p>
        </w:tc>
        <w:tc>
          <w:tcPr>
            <w:tcW w:w="1089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仿宋" w:hAnsi="仿宋" w:eastAsia="仿宋" w:cs="Times New Roman"/>
                <w:szCs w:val="24"/>
              </w:rPr>
            </w:pPr>
            <w:r>
              <w:rPr>
                <w:rFonts w:hint="eastAsia" w:ascii="仿宋" w:hAnsi="仿宋" w:eastAsia="仿宋"/>
              </w:rPr>
              <w:t>正科级</w:t>
            </w:r>
          </w:p>
        </w:tc>
        <w:tc>
          <w:tcPr>
            <w:tcW w:w="2880" w:type="dxa"/>
            <w:noWrap w:val="0"/>
            <w:vAlign w:val="center"/>
          </w:tcPr>
          <w:p>
            <w:pPr>
              <w:spacing w:line="300" w:lineRule="exact"/>
              <w:rPr>
                <w:rFonts w:hint="eastAsia" w:ascii="仿宋" w:hAnsi="仿宋" w:eastAsia="仿宋" w:cs="Times New Roman"/>
                <w:szCs w:val="24"/>
                <w:lang w:eastAsia="zh-CN"/>
              </w:rPr>
            </w:pPr>
            <w:r>
              <w:rPr>
                <w:rFonts w:hint="eastAsia" w:ascii="仿宋" w:hAnsi="仿宋" w:eastAsia="仿宋"/>
              </w:rPr>
              <w:t>财政</w:t>
            </w:r>
            <w:r>
              <w:rPr>
                <w:rFonts w:hint="eastAsia" w:ascii="仿宋" w:hAnsi="仿宋" w:eastAsia="仿宋"/>
                <w:lang w:eastAsia="zh-CN"/>
              </w:rPr>
              <w:t>性资金基本保证</w:t>
            </w:r>
          </w:p>
        </w:tc>
      </w:tr>
    </w:tbl>
    <w:p>
      <w:p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  <w:lang w:eastAsia="zh-CN"/>
        </w:rPr>
      </w:pPr>
      <w:r>
        <w:rPr>
          <w:rFonts w:hint="eastAsia" w:ascii="楷体" w:hAnsi="楷体" w:eastAsia="楷体" w:cs="楷体_GB2312"/>
          <w:bCs/>
          <w:sz w:val="32"/>
          <w:szCs w:val="32"/>
          <w:lang w:val="en-US" w:eastAsia="zh-CN"/>
        </w:rPr>
        <w:t>3.</w:t>
      </w:r>
      <w:r>
        <w:rPr>
          <w:rFonts w:hint="eastAsia" w:ascii="楷体" w:hAnsi="楷体" w:eastAsia="楷体" w:cs="楷体_GB2312"/>
          <w:bCs/>
          <w:sz w:val="32"/>
          <w:szCs w:val="32"/>
          <w:lang w:eastAsia="zh-CN"/>
        </w:rPr>
        <w:t>人员、资产基本情况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机关事务管理中心2022年共有事业编制19个，年底实有在职人数15人。</w:t>
      </w:r>
      <w:r>
        <w:rPr>
          <w:rFonts w:hint="eastAsia" w:ascii="仿宋_GB2312" w:hAnsi="仿宋_GB2312" w:eastAsia="仿宋_GB2312" w:cs="仿宋_GB2312"/>
          <w:sz w:val="32"/>
          <w:szCs w:val="32"/>
        </w:rPr>
        <w:t>截至12月31日，本部门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净资产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29.16万元</w:t>
      </w:r>
      <w:r>
        <w:rPr>
          <w:rFonts w:hint="eastAsia" w:ascii="仿宋_GB2312" w:hAnsi="仿宋_GB2312" w:eastAsia="仿宋_GB2312" w:cs="仿宋_GB2312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其中通用设备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13.8万元，专用设备10.54万元，家具4.82万元。</w:t>
      </w:r>
    </w:p>
    <w:p>
      <w:pPr>
        <w:numPr>
          <w:ilvl w:val="0"/>
          <w:numId w:val="1"/>
        </w:num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部门收支预决算情况</w:t>
      </w:r>
    </w:p>
    <w:p>
      <w:pPr>
        <w:ind w:firstLine="640" w:firstLineChars="200"/>
        <w:rPr>
          <w:rFonts w:hint="eastAsia" w:ascii="楷体" w:hAnsi="楷体" w:eastAsia="楷体" w:cs="仿宋"/>
          <w:b w:val="0"/>
          <w:bCs/>
          <w:sz w:val="32"/>
          <w:szCs w:val="32"/>
          <w:highlight w:val="none"/>
          <w:lang w:eastAsia="zh-CN"/>
        </w:rPr>
      </w:pPr>
      <w:r>
        <w:rPr>
          <w:rFonts w:hint="eastAsia" w:ascii="楷体" w:hAnsi="楷体" w:eastAsia="楷体" w:cs="仿宋"/>
          <w:b w:val="0"/>
          <w:bCs/>
          <w:sz w:val="32"/>
          <w:szCs w:val="32"/>
          <w:highlight w:val="none"/>
          <w:lang w:val="en-US" w:eastAsia="zh-CN"/>
        </w:rPr>
        <w:t>1.</w:t>
      </w:r>
      <w:r>
        <w:rPr>
          <w:rFonts w:hint="eastAsia" w:ascii="楷体" w:hAnsi="楷体" w:eastAsia="楷体" w:cs="仿宋"/>
          <w:b w:val="0"/>
          <w:bCs/>
          <w:sz w:val="32"/>
          <w:szCs w:val="32"/>
          <w:highlight w:val="none"/>
        </w:rPr>
        <w:t>收入</w:t>
      </w:r>
      <w:r>
        <w:rPr>
          <w:rFonts w:hint="eastAsia" w:ascii="楷体" w:hAnsi="楷体" w:eastAsia="楷体" w:cs="仿宋"/>
          <w:b w:val="0"/>
          <w:bCs/>
          <w:sz w:val="32"/>
          <w:szCs w:val="32"/>
          <w:highlight w:val="none"/>
          <w:lang w:eastAsia="zh-CN"/>
        </w:rPr>
        <w:t>情况</w:t>
      </w:r>
    </w:p>
    <w:p>
      <w:pPr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2022</w:t>
      </w:r>
      <w:r>
        <w:rPr>
          <w:rFonts w:hint="eastAsia" w:ascii="仿宋" w:hAnsi="仿宋" w:eastAsia="仿宋" w:cs="仿宋"/>
          <w:sz w:val="32"/>
          <w:szCs w:val="32"/>
        </w:rPr>
        <w:t>年预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决</w:t>
      </w:r>
      <w:r>
        <w:rPr>
          <w:rFonts w:hint="eastAsia" w:ascii="仿宋" w:hAnsi="仿宋" w:eastAsia="仿宋" w:cs="仿宋"/>
          <w:sz w:val="32"/>
          <w:szCs w:val="32"/>
        </w:rPr>
        <w:t>算收入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2290.99</w:t>
      </w:r>
      <w:r>
        <w:rPr>
          <w:rFonts w:hint="eastAsia" w:ascii="仿宋" w:hAnsi="仿宋" w:eastAsia="仿宋" w:cs="仿宋"/>
          <w:sz w:val="32"/>
          <w:szCs w:val="32"/>
        </w:rPr>
        <w:t>万元，其中：一般公共预算收入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2149.59</w:t>
      </w:r>
      <w:r>
        <w:rPr>
          <w:rFonts w:hint="eastAsia" w:ascii="仿宋" w:hAnsi="仿宋" w:eastAsia="仿宋" w:cs="仿宋"/>
          <w:sz w:val="32"/>
          <w:szCs w:val="32"/>
        </w:rPr>
        <w:t>万元，基金预算收入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141.4</w:t>
      </w:r>
      <w:r>
        <w:rPr>
          <w:rFonts w:hint="eastAsia" w:ascii="仿宋" w:hAnsi="仿宋" w:eastAsia="仿宋" w:cs="仿宋"/>
          <w:sz w:val="32"/>
          <w:szCs w:val="32"/>
        </w:rPr>
        <w:t>万元，国有资本经营预算收入0万元，财政专户核拨收入0万元，其他来源收入0万元。</w:t>
      </w:r>
    </w:p>
    <w:p>
      <w:pPr>
        <w:ind w:firstLine="640" w:firstLineChars="200"/>
        <w:rPr>
          <w:rFonts w:hint="eastAsia" w:ascii="楷体" w:hAnsi="楷体" w:eastAsia="楷体" w:cs="仿宋"/>
          <w:b w:val="0"/>
          <w:bCs/>
          <w:sz w:val="32"/>
          <w:szCs w:val="32"/>
          <w:lang w:eastAsia="zh-CN"/>
        </w:rPr>
      </w:pPr>
      <w:r>
        <w:rPr>
          <w:rFonts w:hint="eastAsia" w:ascii="楷体" w:hAnsi="楷体" w:eastAsia="楷体" w:cs="仿宋"/>
          <w:b w:val="0"/>
          <w:bCs/>
          <w:sz w:val="32"/>
          <w:szCs w:val="32"/>
          <w:lang w:val="en-US" w:eastAsia="zh-CN"/>
        </w:rPr>
        <w:t>2.</w:t>
      </w:r>
      <w:r>
        <w:rPr>
          <w:rFonts w:hint="eastAsia" w:ascii="楷体" w:hAnsi="楷体" w:eastAsia="楷体" w:cs="仿宋"/>
          <w:b w:val="0"/>
          <w:bCs/>
          <w:sz w:val="32"/>
          <w:szCs w:val="32"/>
        </w:rPr>
        <w:t>支出</w:t>
      </w:r>
      <w:r>
        <w:rPr>
          <w:rFonts w:hint="eastAsia" w:ascii="楷体" w:hAnsi="楷体" w:eastAsia="楷体" w:cs="仿宋"/>
          <w:b w:val="0"/>
          <w:bCs/>
          <w:sz w:val="32"/>
          <w:szCs w:val="32"/>
          <w:lang w:eastAsia="zh-CN"/>
        </w:rPr>
        <w:t>情况</w:t>
      </w:r>
    </w:p>
    <w:p>
      <w:pPr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2022</w:t>
      </w:r>
      <w:r>
        <w:rPr>
          <w:rFonts w:hint="eastAsia" w:ascii="仿宋" w:hAnsi="仿宋" w:eastAsia="仿宋" w:cs="仿宋"/>
          <w:sz w:val="32"/>
          <w:szCs w:val="32"/>
        </w:rPr>
        <w:t>年支出预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决</w:t>
      </w:r>
      <w:r>
        <w:rPr>
          <w:rFonts w:hint="eastAsia" w:ascii="仿宋" w:hAnsi="仿宋" w:eastAsia="仿宋" w:cs="仿宋"/>
          <w:sz w:val="32"/>
          <w:szCs w:val="32"/>
        </w:rPr>
        <w:t>算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2290.99</w:t>
      </w:r>
      <w:r>
        <w:rPr>
          <w:rFonts w:hint="eastAsia" w:ascii="仿宋" w:hAnsi="仿宋" w:eastAsia="仿宋" w:cs="仿宋"/>
          <w:sz w:val="32"/>
          <w:szCs w:val="32"/>
        </w:rPr>
        <w:t>万元，其中基本支出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162.46</w:t>
      </w:r>
      <w:r>
        <w:rPr>
          <w:rFonts w:hint="eastAsia" w:ascii="仿宋" w:hAnsi="仿宋" w:eastAsia="仿宋" w:cs="仿宋"/>
          <w:sz w:val="32"/>
          <w:szCs w:val="32"/>
        </w:rPr>
        <w:t>万元，包括人员经费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153.43</w:t>
      </w:r>
      <w:r>
        <w:rPr>
          <w:rFonts w:hint="eastAsia" w:ascii="仿宋" w:hAnsi="仿宋" w:eastAsia="仿宋" w:cs="仿宋"/>
          <w:sz w:val="32"/>
          <w:szCs w:val="32"/>
        </w:rPr>
        <w:t>万元和日常公用经费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9.03</w:t>
      </w:r>
      <w:r>
        <w:rPr>
          <w:rFonts w:hint="eastAsia" w:ascii="仿宋" w:hAnsi="仿宋" w:eastAsia="仿宋" w:cs="仿宋"/>
          <w:sz w:val="32"/>
          <w:szCs w:val="32"/>
        </w:rPr>
        <w:t>万元；项目支出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2128.53</w:t>
      </w:r>
      <w:r>
        <w:rPr>
          <w:rFonts w:hint="eastAsia" w:ascii="仿宋" w:hAnsi="仿宋" w:eastAsia="仿宋" w:cs="仿宋"/>
          <w:sz w:val="32"/>
          <w:szCs w:val="32"/>
        </w:rPr>
        <w:t>万元，主要为：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2022年</w:t>
      </w:r>
      <w:r>
        <w:rPr>
          <w:rFonts w:hint="eastAsia" w:ascii="仿宋" w:hAnsi="仿宋" w:eastAsia="仿宋" w:cs="仿宋"/>
          <w:sz w:val="32"/>
          <w:szCs w:val="32"/>
        </w:rPr>
        <w:t>民兵训练基地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配套设施装修项目</w:t>
      </w:r>
      <w:r>
        <w:rPr>
          <w:rFonts w:hint="eastAsia" w:ascii="仿宋" w:hAnsi="仿宋" w:eastAsia="仿宋" w:cs="仿宋"/>
          <w:sz w:val="32"/>
          <w:szCs w:val="32"/>
        </w:rPr>
        <w:t>（县安排）、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2022年</w:t>
      </w:r>
      <w:r>
        <w:rPr>
          <w:rFonts w:hint="eastAsia" w:ascii="仿宋" w:hAnsi="仿宋" w:eastAsia="仿宋" w:cs="仿宋"/>
          <w:sz w:val="32"/>
          <w:szCs w:val="32"/>
        </w:rPr>
        <w:t>大院后勤保障(县安排）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，政府大院综合楼加固改造项目等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（三）部门整体支出绩效目标、指标</w:t>
      </w:r>
    </w:p>
    <w:p>
      <w:pPr>
        <w:spacing w:line="500" w:lineRule="exact"/>
        <w:ind w:firstLine="640" w:firstLineChars="200"/>
        <w:jc w:val="left"/>
        <w:rPr>
          <w:rFonts w:hint="eastAsia" w:ascii="仿宋" w:hAnsi="仿宋" w:eastAsia="仿宋" w:cs="仿宋_GB2312"/>
          <w:sz w:val="32"/>
          <w:szCs w:val="32"/>
          <w:lang w:eastAsia="zh-CN"/>
        </w:rPr>
      </w:pPr>
      <w:r>
        <w:rPr>
          <w:rFonts w:hint="eastAsia" w:ascii="仿宋" w:hAnsi="仿宋" w:eastAsia="仿宋" w:cs="仿宋_GB2312"/>
          <w:sz w:val="32"/>
          <w:szCs w:val="32"/>
          <w:lang w:eastAsia="zh-CN"/>
        </w:rPr>
        <w:t>2022</w:t>
      </w:r>
      <w:r>
        <w:rPr>
          <w:rFonts w:ascii="仿宋" w:hAnsi="仿宋" w:eastAsia="仿宋" w:cs="仿宋_GB2312"/>
          <w:sz w:val="32"/>
          <w:szCs w:val="32"/>
        </w:rPr>
        <w:t>年</w:t>
      </w:r>
      <w:r>
        <w:rPr>
          <w:rFonts w:hint="eastAsia" w:ascii="仿宋" w:hAnsi="仿宋" w:eastAsia="仿宋" w:cs="仿宋_GB2312"/>
          <w:sz w:val="32"/>
          <w:szCs w:val="32"/>
          <w:lang w:eastAsia="zh-CN"/>
        </w:rPr>
        <w:t>我部门将</w:t>
      </w:r>
      <w:r>
        <w:rPr>
          <w:rFonts w:hint="eastAsia" w:ascii="仿宋" w:hAnsi="仿宋" w:eastAsia="仿宋" w:cs="仿宋_GB2312"/>
          <w:sz w:val="32"/>
          <w:szCs w:val="32"/>
        </w:rPr>
        <w:t>进一步加强改进机关事务管理</w:t>
      </w:r>
      <w:r>
        <w:rPr>
          <w:rFonts w:hint="eastAsia" w:ascii="仿宋" w:hAnsi="仿宋" w:eastAsia="仿宋" w:cs="仿宋_GB2312"/>
          <w:sz w:val="32"/>
          <w:szCs w:val="32"/>
          <w:lang w:eastAsia="zh-CN"/>
        </w:rPr>
        <w:t>工作</w:t>
      </w:r>
      <w:r>
        <w:rPr>
          <w:rFonts w:hint="eastAsia" w:ascii="仿宋" w:hAnsi="仿宋" w:eastAsia="仿宋" w:cs="仿宋_GB2312"/>
          <w:sz w:val="32"/>
          <w:szCs w:val="32"/>
        </w:rPr>
        <w:t>，提高对县委县政府机关大院后勤保障工作能力，</w:t>
      </w:r>
      <w:r>
        <w:rPr>
          <w:rFonts w:ascii="仿宋" w:hAnsi="仿宋" w:eastAsia="仿宋" w:cs="仿宋_GB2312"/>
          <w:sz w:val="32"/>
          <w:szCs w:val="32"/>
        </w:rPr>
        <w:t>重点做好以下几方面工作</w:t>
      </w:r>
      <w:r>
        <w:rPr>
          <w:rFonts w:hint="eastAsia" w:ascii="仿宋" w:hAnsi="仿宋" w:eastAsia="仿宋" w:cs="仿宋_GB2312"/>
          <w:sz w:val="32"/>
          <w:szCs w:val="32"/>
          <w:lang w:eastAsia="zh-CN"/>
        </w:rPr>
        <w:t>：</w:t>
      </w:r>
    </w:p>
    <w:p>
      <w:pPr>
        <w:spacing w:line="500" w:lineRule="exact"/>
        <w:ind w:firstLine="640" w:firstLineChars="200"/>
        <w:jc w:val="left"/>
        <w:rPr>
          <w:rFonts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  <w:lang w:val="en-US" w:eastAsia="zh-CN"/>
        </w:rPr>
        <w:t>1、</w:t>
      </w:r>
      <w:r>
        <w:rPr>
          <w:rFonts w:hint="eastAsia" w:ascii="仿宋" w:hAnsi="仿宋" w:eastAsia="仿宋" w:cs="仿宋_GB2312"/>
          <w:sz w:val="32"/>
          <w:szCs w:val="32"/>
        </w:rPr>
        <w:t>针对县委</w:t>
      </w:r>
      <w:r>
        <w:rPr>
          <w:rFonts w:hint="eastAsia" w:ascii="仿宋" w:hAnsi="仿宋" w:eastAsia="仿宋" w:cs="仿宋_GB2312"/>
          <w:sz w:val="32"/>
          <w:szCs w:val="32"/>
          <w:lang w:eastAsia="zh-CN"/>
        </w:rPr>
        <w:t>县</w:t>
      </w:r>
      <w:bookmarkStart w:id="0" w:name="_GoBack"/>
      <w:bookmarkEnd w:id="0"/>
      <w:r>
        <w:rPr>
          <w:rFonts w:hint="eastAsia" w:ascii="仿宋" w:hAnsi="仿宋" w:eastAsia="仿宋" w:cs="仿宋_GB2312"/>
          <w:sz w:val="32"/>
          <w:szCs w:val="32"/>
        </w:rPr>
        <w:t>政府机关办公用房年久失修现象，进一步加大房屋修缮力度。</w:t>
      </w:r>
    </w:p>
    <w:p>
      <w:pPr>
        <w:spacing w:line="500" w:lineRule="exact"/>
        <w:ind w:firstLine="640" w:firstLineChars="200"/>
        <w:jc w:val="left"/>
        <w:rPr>
          <w:rFonts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  <w:lang w:val="en-US" w:eastAsia="zh-CN"/>
        </w:rPr>
        <w:t>2、</w:t>
      </w:r>
      <w:r>
        <w:rPr>
          <w:rFonts w:ascii="仿宋" w:hAnsi="仿宋" w:eastAsia="仿宋" w:cs="仿宋_GB2312"/>
          <w:sz w:val="32"/>
          <w:szCs w:val="32"/>
        </w:rPr>
        <w:t>加强公共</w:t>
      </w:r>
      <w:r>
        <w:rPr>
          <w:rFonts w:hint="eastAsia" w:ascii="仿宋" w:hAnsi="仿宋" w:eastAsia="仿宋" w:cs="仿宋_GB2312"/>
          <w:sz w:val="32"/>
          <w:szCs w:val="32"/>
        </w:rPr>
        <w:t>设施日常维修维护工作，做到水电暖设施设备出现问题及时维修，更新更换设备材料。修复应急车道，确保出行畅通。</w:t>
      </w:r>
    </w:p>
    <w:p>
      <w:pPr>
        <w:spacing w:line="500" w:lineRule="exact"/>
        <w:ind w:firstLine="640" w:firstLineChars="200"/>
        <w:jc w:val="left"/>
        <w:rPr>
          <w:rFonts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  <w:lang w:val="en-US" w:eastAsia="zh-CN"/>
        </w:rPr>
        <w:t>3、</w:t>
      </w:r>
      <w:r>
        <w:rPr>
          <w:rFonts w:ascii="仿宋" w:hAnsi="仿宋" w:eastAsia="仿宋" w:cs="仿宋_GB2312"/>
          <w:sz w:val="32"/>
          <w:szCs w:val="32"/>
        </w:rPr>
        <w:t>加强机</w:t>
      </w:r>
      <w:r>
        <w:rPr>
          <w:rFonts w:hint="eastAsia" w:ascii="仿宋" w:hAnsi="仿宋" w:eastAsia="仿宋" w:cs="仿宋_GB2312"/>
          <w:sz w:val="32"/>
          <w:szCs w:val="32"/>
        </w:rPr>
        <w:t>关大院环境卫生、草坪绿地、花草树木管理养护工作，为机关办公提供干净优美的工作环境。</w:t>
      </w:r>
    </w:p>
    <w:p>
      <w:pPr>
        <w:spacing w:line="500" w:lineRule="exact"/>
        <w:ind w:firstLine="640" w:firstLineChars="200"/>
        <w:jc w:val="left"/>
        <w:rPr>
          <w:rFonts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  <w:lang w:val="en-US" w:eastAsia="zh-CN"/>
        </w:rPr>
        <w:t>4、</w:t>
      </w:r>
      <w:r>
        <w:rPr>
          <w:rFonts w:ascii="仿宋" w:hAnsi="仿宋" w:eastAsia="仿宋" w:cs="仿宋_GB2312"/>
          <w:sz w:val="32"/>
          <w:szCs w:val="32"/>
        </w:rPr>
        <w:t>做好机</w:t>
      </w:r>
      <w:r>
        <w:rPr>
          <w:rFonts w:hint="eastAsia" w:ascii="仿宋" w:hAnsi="仿宋" w:eastAsia="仿宋" w:cs="仿宋_GB2312"/>
          <w:sz w:val="32"/>
          <w:szCs w:val="32"/>
        </w:rPr>
        <w:t>关大院安全保卫工作，提升人</w:t>
      </w:r>
      <w:r>
        <w:rPr>
          <w:rFonts w:ascii="仿宋" w:hAnsi="仿宋" w:eastAsia="仿宋" w:cs="仿宋_GB2312"/>
          <w:sz w:val="32"/>
          <w:szCs w:val="32"/>
        </w:rPr>
        <w:t>防技防能力，强化安保人</w:t>
      </w:r>
      <w:r>
        <w:rPr>
          <w:rFonts w:hint="eastAsia" w:ascii="仿宋" w:hAnsi="仿宋" w:eastAsia="仿宋" w:cs="仿宋_GB2312"/>
          <w:sz w:val="32"/>
          <w:szCs w:val="32"/>
        </w:rPr>
        <w:t>员值班备勤。</w:t>
      </w:r>
    </w:p>
    <w:p>
      <w:pPr>
        <w:spacing w:line="500" w:lineRule="exact"/>
        <w:ind w:firstLine="640" w:firstLineChars="200"/>
        <w:jc w:val="left"/>
        <w:rPr>
          <w:rFonts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  <w:lang w:val="en-US" w:eastAsia="zh-CN"/>
        </w:rPr>
        <w:t>5、</w:t>
      </w:r>
      <w:r>
        <w:rPr>
          <w:rFonts w:ascii="仿宋" w:hAnsi="仿宋" w:eastAsia="仿宋" w:cs="仿宋_GB2312"/>
          <w:sz w:val="32"/>
          <w:szCs w:val="32"/>
        </w:rPr>
        <w:t>加强后勤管理，保</w:t>
      </w:r>
      <w:r>
        <w:rPr>
          <w:rFonts w:hint="eastAsia" w:ascii="仿宋" w:hAnsi="仿宋" w:eastAsia="仿宋" w:cs="仿宋_GB2312"/>
          <w:sz w:val="32"/>
          <w:szCs w:val="32"/>
        </w:rPr>
        <w:t>证食堂健康运转，为大院职工提供安全的就餐服务。</w:t>
      </w:r>
    </w:p>
    <w:p>
      <w:pPr>
        <w:spacing w:line="500" w:lineRule="exact"/>
        <w:ind w:firstLine="640" w:firstLineChars="200"/>
        <w:jc w:val="left"/>
        <w:rPr>
          <w:rFonts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  <w:lang w:val="en-US" w:eastAsia="zh-CN"/>
        </w:rPr>
        <w:t>6、</w:t>
      </w:r>
      <w:r>
        <w:rPr>
          <w:rFonts w:ascii="仿宋" w:hAnsi="仿宋" w:eastAsia="仿宋" w:cs="仿宋_GB2312"/>
          <w:sz w:val="32"/>
          <w:szCs w:val="32"/>
        </w:rPr>
        <w:t>加强通信管理，更新</w:t>
      </w:r>
      <w:r>
        <w:rPr>
          <w:rFonts w:hint="eastAsia" w:ascii="仿宋" w:hAnsi="仿宋" w:eastAsia="仿宋" w:cs="仿宋_GB2312"/>
          <w:sz w:val="32"/>
          <w:szCs w:val="32"/>
        </w:rPr>
        <w:t>维护通信设施和监控设备，保障通信安全。</w:t>
      </w:r>
    </w:p>
    <w:p>
      <w:pPr>
        <w:spacing w:line="500" w:lineRule="exact"/>
        <w:ind w:firstLine="640" w:firstLineChars="200"/>
        <w:jc w:val="left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  <w:lang w:val="en-US" w:eastAsia="zh-CN"/>
        </w:rPr>
        <w:t>7、</w:t>
      </w:r>
      <w:r>
        <w:rPr>
          <w:rFonts w:ascii="仿宋" w:hAnsi="仿宋" w:eastAsia="仿宋" w:cs="仿宋_GB2312"/>
          <w:sz w:val="32"/>
          <w:szCs w:val="32"/>
        </w:rPr>
        <w:t>加强公</w:t>
      </w:r>
      <w:r>
        <w:rPr>
          <w:rFonts w:hint="eastAsia" w:ascii="仿宋" w:hAnsi="仿宋" w:eastAsia="仿宋" w:cs="仿宋_GB2312"/>
          <w:sz w:val="32"/>
          <w:szCs w:val="32"/>
        </w:rPr>
        <w:t>务用车管理，保障各</w:t>
      </w:r>
      <w:r>
        <w:rPr>
          <w:rFonts w:hint="eastAsia" w:ascii="仿宋" w:hAnsi="仿宋" w:eastAsia="仿宋" w:cs="仿宋_GB2312"/>
          <w:sz w:val="32"/>
          <w:szCs w:val="32"/>
          <w:lang w:eastAsia="zh-CN"/>
        </w:rPr>
        <w:t>单位</w:t>
      </w:r>
      <w:r>
        <w:rPr>
          <w:rFonts w:hint="eastAsia" w:ascii="仿宋" w:hAnsi="仿宋" w:eastAsia="仿宋" w:cs="仿宋_GB2312"/>
          <w:sz w:val="32"/>
          <w:szCs w:val="32"/>
        </w:rPr>
        <w:t>公务用车正常运行。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>
      <w:pPr>
        <w:spacing w:line="560" w:lineRule="exact"/>
        <w:rPr>
          <w:rFonts w:ascii="楷体" w:hAnsi="楷体" w:eastAsia="楷体" w:cs="楷体_GB2312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right="0" w:rightChars="0" w:firstLine="640" w:firstLineChars="200"/>
        <w:jc w:val="both"/>
        <w:textAlignment w:val="auto"/>
        <w:outlineLvl w:val="9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</w:rPr>
        <w:t>我单位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sz w:val="32"/>
          <w:szCs w:val="32"/>
        </w:rPr>
        <w:t>年预算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部门</w:t>
      </w:r>
      <w:r>
        <w:rPr>
          <w:rFonts w:hint="eastAsia" w:ascii="仿宋" w:hAnsi="仿宋" w:eastAsia="仿宋" w:cs="仿宋"/>
          <w:sz w:val="32"/>
          <w:szCs w:val="32"/>
        </w:rPr>
        <w:t>的日常管理工作均按照相关管理制度执行，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为加强局整体支出绩效评价工作，我局成立了评价工作领导小组，负责本次绩效评价的具体工作，</w:t>
      </w:r>
      <w:r>
        <w:rPr>
          <w:rFonts w:hint="eastAsia" w:ascii="仿宋" w:hAnsi="仿宋" w:eastAsia="仿宋" w:cs="仿宋"/>
          <w:sz w:val="32"/>
          <w:szCs w:val="32"/>
        </w:rPr>
        <w:t>建立了工作有计划、实施有方案、日常有监督的管理机制，工作取得了较好的成效，效能得到了提高、获得了社会公众的好评。</w:t>
      </w:r>
    </w:p>
    <w:p>
      <w:pPr>
        <w:numPr>
          <w:ilvl w:val="0"/>
          <w:numId w:val="2"/>
        </w:numPr>
        <w:spacing w:line="560" w:lineRule="exact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right="0" w:rightChars="0" w:firstLine="640" w:firstLineChars="200"/>
        <w:jc w:val="both"/>
        <w:textAlignment w:val="auto"/>
        <w:outlineLvl w:val="9"/>
      </w:pPr>
      <w:r>
        <w:rPr>
          <w:rFonts w:hint="eastAsia" w:ascii="仿宋" w:hAnsi="仿宋" w:eastAsia="仿宋" w:cs="仿宋"/>
          <w:sz w:val="32"/>
          <w:szCs w:val="32"/>
        </w:rPr>
        <w:t>我单位资金的实施经财政局审核后,按照相关要求，认真组织实施，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项目</w:t>
      </w:r>
      <w:r>
        <w:rPr>
          <w:rFonts w:hint="eastAsia" w:ascii="仿宋" w:hAnsi="仿宋" w:eastAsia="仿宋" w:cs="仿宋"/>
          <w:sz w:val="32"/>
          <w:szCs w:val="32"/>
        </w:rPr>
        <w:t>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成</w:t>
      </w:r>
      <w:r>
        <w:rPr>
          <w:rFonts w:hint="eastAsia" w:ascii="仿宋" w:hAnsi="仿宋" w:eastAsia="仿宋" w:cs="仿宋"/>
          <w:sz w:val="32"/>
          <w:szCs w:val="32"/>
        </w:rPr>
        <w:t>后，及时开展验收,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部门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采取的评价方法是通过开展部门支出管理综合评价，促进部门从整体上提升预算绩效管理工作水平，</w:t>
      </w:r>
      <w:r>
        <w:rPr>
          <w:rFonts w:hint="eastAsia" w:ascii="仿宋" w:hAnsi="仿宋" w:eastAsia="仿宋" w:cs="仿宋"/>
          <w:sz w:val="32"/>
          <w:szCs w:val="32"/>
        </w:rPr>
        <w:t>实施日常检查和监督管理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提高财政资金使用效益，保障单位更好地履行职责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>
      <w:pPr>
        <w:spacing w:line="560" w:lineRule="exact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三、部门整体支出绩效目标实现情况及指标分析</w:t>
      </w:r>
    </w:p>
    <w:p>
      <w:pPr>
        <w:numPr>
          <w:ilvl w:val="0"/>
          <w:numId w:val="3"/>
        </w:numPr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>
      <w:pPr>
        <w:spacing w:line="500" w:lineRule="exact"/>
        <w:ind w:firstLine="640" w:firstLineChars="200"/>
        <w:jc w:val="lef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2022年，在县领导的指导下和财政局监督下，我单位努力提高</w:t>
      </w:r>
      <w:r>
        <w:rPr>
          <w:rFonts w:hint="eastAsia" w:ascii="仿宋" w:hAnsi="仿宋" w:eastAsia="仿宋" w:cs="仿宋_GB2312"/>
          <w:sz w:val="32"/>
          <w:szCs w:val="32"/>
        </w:rPr>
        <w:t>对县委县政府机关大院后勤保障工作能力</w:t>
      </w:r>
      <w:r>
        <w:rPr>
          <w:rFonts w:hint="eastAsia" w:ascii="仿宋" w:hAnsi="仿宋" w:eastAsia="仿宋" w:cs="仿宋_GB2312"/>
          <w:sz w:val="32"/>
          <w:szCs w:val="32"/>
          <w:lang w:eastAsia="zh-CN"/>
        </w:rPr>
        <w:t>，对政府大院</w:t>
      </w:r>
      <w:r>
        <w:rPr>
          <w:rFonts w:hint="eastAsia" w:ascii="仿宋" w:hAnsi="仿宋" w:eastAsia="仿宋" w:cs="仿宋_GB2312"/>
          <w:sz w:val="32"/>
          <w:szCs w:val="32"/>
        </w:rPr>
        <w:t>房屋</w:t>
      </w:r>
      <w:r>
        <w:rPr>
          <w:rFonts w:hint="eastAsia" w:ascii="仿宋" w:hAnsi="仿宋" w:eastAsia="仿宋" w:cs="仿宋_GB2312"/>
          <w:sz w:val="32"/>
          <w:szCs w:val="32"/>
          <w:lang w:eastAsia="zh-CN"/>
        </w:rPr>
        <w:t>进行局部</w:t>
      </w:r>
      <w:r>
        <w:rPr>
          <w:rFonts w:hint="eastAsia" w:ascii="仿宋" w:hAnsi="仿宋" w:eastAsia="仿宋" w:cs="仿宋_GB2312"/>
          <w:sz w:val="32"/>
          <w:szCs w:val="32"/>
        </w:rPr>
        <w:t>修缮</w:t>
      </w:r>
      <w:r>
        <w:rPr>
          <w:rFonts w:hint="eastAsia" w:ascii="仿宋" w:hAnsi="仿宋" w:eastAsia="仿宋" w:cs="仿宋_GB2312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_GB2312"/>
          <w:sz w:val="32"/>
          <w:szCs w:val="32"/>
        </w:rPr>
        <w:t>做到水电暖设施设备出现问题及时维修，更新更换设备材料。</w:t>
      </w:r>
      <w:r>
        <w:rPr>
          <w:rFonts w:ascii="仿宋" w:hAnsi="仿宋" w:eastAsia="仿宋" w:cs="仿宋_GB2312"/>
          <w:sz w:val="32"/>
          <w:szCs w:val="32"/>
        </w:rPr>
        <w:t>加强机</w:t>
      </w:r>
      <w:r>
        <w:rPr>
          <w:rFonts w:hint="eastAsia" w:ascii="仿宋" w:hAnsi="仿宋" w:eastAsia="仿宋" w:cs="仿宋_GB2312"/>
          <w:sz w:val="32"/>
          <w:szCs w:val="32"/>
        </w:rPr>
        <w:t>关大院环境卫生、草坪绿地、花草树木管理养护工作，为机关办公提供干净优美的工作环境。</w:t>
      </w:r>
      <w:r>
        <w:rPr>
          <w:rFonts w:ascii="仿宋" w:hAnsi="仿宋" w:eastAsia="仿宋" w:cs="仿宋_GB2312"/>
          <w:sz w:val="32"/>
          <w:szCs w:val="32"/>
        </w:rPr>
        <w:t>加强后勤管理，保</w:t>
      </w:r>
      <w:r>
        <w:rPr>
          <w:rFonts w:hint="eastAsia" w:ascii="仿宋" w:hAnsi="仿宋" w:eastAsia="仿宋" w:cs="仿宋_GB2312"/>
          <w:sz w:val="32"/>
          <w:szCs w:val="32"/>
        </w:rPr>
        <w:t>证食堂健康运转，为大院职工提供安全的就餐服务。</w:t>
      </w:r>
      <w:r>
        <w:rPr>
          <w:rFonts w:ascii="仿宋" w:hAnsi="仿宋" w:eastAsia="仿宋" w:cs="仿宋_GB2312"/>
          <w:sz w:val="32"/>
          <w:szCs w:val="32"/>
        </w:rPr>
        <w:t>加强公</w:t>
      </w:r>
      <w:r>
        <w:rPr>
          <w:rFonts w:hint="eastAsia" w:ascii="仿宋" w:hAnsi="仿宋" w:eastAsia="仿宋" w:cs="仿宋_GB2312"/>
          <w:sz w:val="32"/>
          <w:szCs w:val="32"/>
        </w:rPr>
        <w:t>务用车管理，保障各</w:t>
      </w:r>
      <w:r>
        <w:rPr>
          <w:rFonts w:hint="eastAsia" w:ascii="仿宋" w:hAnsi="仿宋" w:eastAsia="仿宋" w:cs="仿宋_GB2312"/>
          <w:sz w:val="32"/>
          <w:szCs w:val="32"/>
          <w:lang w:eastAsia="zh-CN"/>
        </w:rPr>
        <w:t>单位</w:t>
      </w:r>
      <w:r>
        <w:rPr>
          <w:rFonts w:hint="eastAsia" w:ascii="仿宋" w:hAnsi="仿宋" w:eastAsia="仿宋" w:cs="仿宋_GB2312"/>
          <w:sz w:val="32"/>
          <w:szCs w:val="32"/>
        </w:rPr>
        <w:t>公务用车正常运行。</w:t>
      </w:r>
    </w:p>
    <w:p>
      <w:pPr>
        <w:spacing w:line="560" w:lineRule="exact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（二）分项绩效目标实现情况及指标分析</w:t>
      </w:r>
    </w:p>
    <w:p>
      <w:pPr>
        <w:spacing w:line="500" w:lineRule="exact"/>
        <w:ind w:firstLine="640" w:firstLineChars="200"/>
        <w:jc w:val="left"/>
        <w:rPr>
          <w:rFonts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  <w:lang w:val="en-US" w:eastAsia="zh-CN"/>
        </w:rPr>
        <w:t>1</w:t>
      </w:r>
      <w:r>
        <w:rPr>
          <w:rFonts w:ascii="仿宋" w:hAnsi="仿宋" w:eastAsia="仿宋" w:cs="仿宋_GB2312"/>
          <w:sz w:val="32"/>
          <w:szCs w:val="32"/>
        </w:rPr>
        <w:t>、机关事务管理方面</w:t>
      </w:r>
    </w:p>
    <w:p>
      <w:pPr>
        <w:spacing w:line="500" w:lineRule="exact"/>
        <w:ind w:firstLine="640" w:firstLineChars="200"/>
        <w:jc w:val="left"/>
        <w:rPr>
          <w:rFonts w:ascii="仿宋" w:hAnsi="仿宋" w:eastAsia="仿宋" w:cs="仿宋_GB2312"/>
          <w:sz w:val="32"/>
          <w:szCs w:val="32"/>
        </w:rPr>
      </w:pPr>
      <w:r>
        <w:rPr>
          <w:rFonts w:ascii="仿宋" w:hAnsi="仿宋" w:eastAsia="仿宋" w:cs="仿宋_GB2312"/>
          <w:sz w:val="32"/>
          <w:szCs w:val="32"/>
        </w:rPr>
        <w:t>绩效目标：机关大院房地产管理，资产、节能规范管</w:t>
      </w:r>
      <w:r>
        <w:rPr>
          <w:rFonts w:hint="eastAsia" w:ascii="仿宋" w:hAnsi="仿宋" w:eastAsia="仿宋" w:cs="仿宋_GB2312"/>
          <w:sz w:val="32"/>
          <w:szCs w:val="32"/>
          <w:lang w:eastAsia="zh-CN"/>
        </w:rPr>
        <w:t>理</w:t>
      </w:r>
      <w:r>
        <w:rPr>
          <w:rFonts w:ascii="仿宋" w:hAnsi="仿宋" w:eastAsia="仿宋" w:cs="仿宋_GB2312"/>
          <w:sz w:val="32"/>
          <w:szCs w:val="32"/>
        </w:rPr>
        <w:t>，搞好机关大院房屋维修服务，负责四大班子的建设用房基建项目。深入推进全县公共机构节能工作。</w:t>
      </w:r>
    </w:p>
    <w:p>
      <w:pPr>
        <w:spacing w:line="500" w:lineRule="exact"/>
        <w:ind w:firstLine="640" w:firstLineChars="200"/>
        <w:jc w:val="left"/>
        <w:rPr>
          <w:rFonts w:hint="default" w:ascii="仿宋" w:hAnsi="仿宋" w:eastAsia="仿宋" w:cs="仿宋_GB2312"/>
          <w:sz w:val="32"/>
          <w:szCs w:val="32"/>
          <w:lang w:val="en-US" w:eastAsia="zh-CN"/>
        </w:rPr>
      </w:pPr>
      <w:r>
        <w:rPr>
          <w:rFonts w:ascii="仿宋" w:hAnsi="仿宋" w:eastAsia="仿宋" w:cs="仿宋_GB2312"/>
          <w:sz w:val="32"/>
          <w:szCs w:val="32"/>
        </w:rPr>
        <w:t>绩效指标：</w:t>
      </w:r>
      <w:r>
        <w:rPr>
          <w:rFonts w:hint="eastAsia" w:ascii="仿宋" w:hAnsi="仿宋" w:eastAsia="仿宋" w:cs="仿宋_GB2312"/>
          <w:sz w:val="32"/>
          <w:szCs w:val="32"/>
          <w:lang w:eastAsia="zh-CN"/>
        </w:rPr>
        <w:t>预算项目完成率</w:t>
      </w:r>
      <w:r>
        <w:rPr>
          <w:rFonts w:hint="eastAsia" w:ascii="仿宋" w:hAnsi="仿宋" w:eastAsia="仿宋" w:cs="仿宋_GB2312"/>
          <w:sz w:val="32"/>
          <w:szCs w:val="32"/>
          <w:lang w:val="en-US" w:eastAsia="zh-CN"/>
        </w:rPr>
        <w:t>90%以上，项目质量验收合格率92%以上，日常巡查维修及时率90%以上。</w:t>
      </w:r>
    </w:p>
    <w:p>
      <w:pPr>
        <w:spacing w:line="500" w:lineRule="exact"/>
        <w:ind w:firstLine="640" w:firstLineChars="200"/>
        <w:jc w:val="left"/>
        <w:rPr>
          <w:rFonts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  <w:lang w:val="en-US" w:eastAsia="zh-CN"/>
        </w:rPr>
        <w:t>2</w:t>
      </w:r>
      <w:r>
        <w:rPr>
          <w:rFonts w:ascii="仿宋" w:hAnsi="仿宋" w:eastAsia="仿宋" w:cs="仿宋_GB2312"/>
          <w:sz w:val="32"/>
          <w:szCs w:val="32"/>
        </w:rPr>
        <w:t>、综合服务方面。</w:t>
      </w:r>
    </w:p>
    <w:p>
      <w:pPr>
        <w:spacing w:line="500" w:lineRule="exact"/>
        <w:ind w:firstLine="640" w:firstLineChars="200"/>
        <w:jc w:val="left"/>
        <w:rPr>
          <w:rFonts w:ascii="仿宋" w:hAnsi="仿宋" w:eastAsia="仿宋" w:cs="仿宋_GB2312"/>
          <w:sz w:val="32"/>
          <w:szCs w:val="32"/>
        </w:rPr>
      </w:pPr>
      <w:r>
        <w:rPr>
          <w:rFonts w:ascii="仿宋" w:hAnsi="仿宋" w:eastAsia="仿宋" w:cs="仿宋_GB2312"/>
          <w:sz w:val="32"/>
          <w:szCs w:val="32"/>
        </w:rPr>
        <w:t>绩效目标：机关大院通信保障及各</w:t>
      </w:r>
      <w:r>
        <w:rPr>
          <w:rFonts w:hint="eastAsia" w:ascii="仿宋" w:hAnsi="仿宋" w:eastAsia="仿宋" w:cs="仿宋_GB2312"/>
          <w:sz w:val="32"/>
          <w:szCs w:val="32"/>
          <w:lang w:eastAsia="zh-CN"/>
        </w:rPr>
        <w:t>部门</w:t>
      </w:r>
      <w:r>
        <w:rPr>
          <w:rFonts w:ascii="仿宋" w:hAnsi="仿宋" w:eastAsia="仿宋" w:cs="仿宋_GB2312"/>
          <w:sz w:val="32"/>
          <w:szCs w:val="32"/>
        </w:rPr>
        <w:t>公务用车保障。搞好</w:t>
      </w:r>
      <w:r>
        <w:rPr>
          <w:rFonts w:hint="eastAsia" w:ascii="仿宋" w:hAnsi="仿宋" w:eastAsia="仿宋" w:cs="仿宋_GB2312"/>
          <w:sz w:val="32"/>
          <w:szCs w:val="32"/>
          <w:lang w:eastAsia="zh-CN"/>
        </w:rPr>
        <w:t>通信</w:t>
      </w:r>
      <w:r>
        <w:rPr>
          <w:rFonts w:ascii="仿宋" w:hAnsi="仿宋" w:eastAsia="仿宋" w:cs="仿宋_GB2312"/>
          <w:sz w:val="32"/>
          <w:szCs w:val="32"/>
        </w:rPr>
        <w:t>服务保障，确保通信畅通，公务用车正常运行</w:t>
      </w:r>
      <w:r>
        <w:rPr>
          <w:rFonts w:hint="eastAsia" w:ascii="仿宋" w:hAnsi="仿宋" w:eastAsia="仿宋" w:cs="仿宋_GB2312"/>
          <w:sz w:val="32"/>
          <w:szCs w:val="32"/>
          <w:lang w:eastAsia="zh-CN"/>
        </w:rPr>
        <w:t>；</w:t>
      </w:r>
      <w:r>
        <w:rPr>
          <w:rFonts w:ascii="仿宋" w:hAnsi="仿宋" w:eastAsia="仿宋" w:cs="仿宋_GB2312"/>
          <w:sz w:val="32"/>
          <w:szCs w:val="32"/>
        </w:rPr>
        <w:t>负责县委、县人大常委会、县政府、县政协、县检察院机关及部分县直</w:t>
      </w:r>
      <w:r>
        <w:rPr>
          <w:rFonts w:hint="eastAsia" w:ascii="仿宋" w:hAnsi="仿宋" w:eastAsia="仿宋" w:cs="仿宋_GB2312"/>
          <w:sz w:val="32"/>
          <w:szCs w:val="32"/>
          <w:lang w:eastAsia="zh-CN"/>
        </w:rPr>
        <w:t>部门</w:t>
      </w:r>
      <w:r>
        <w:rPr>
          <w:rFonts w:ascii="仿宋" w:hAnsi="仿宋" w:eastAsia="仿宋" w:cs="仿宋_GB2312"/>
          <w:sz w:val="32"/>
          <w:szCs w:val="32"/>
        </w:rPr>
        <w:t>的通信管理和公务用车保障工作。负责线路维修和通信综合楼管理。</w:t>
      </w:r>
    </w:p>
    <w:p>
      <w:pPr>
        <w:spacing w:line="500" w:lineRule="exact"/>
        <w:ind w:firstLine="640" w:firstLineChars="200"/>
        <w:jc w:val="left"/>
        <w:rPr>
          <w:rFonts w:ascii="仿宋" w:hAnsi="仿宋" w:eastAsia="仿宋" w:cs="仿宋_GB2312"/>
          <w:sz w:val="32"/>
          <w:szCs w:val="32"/>
        </w:rPr>
      </w:pPr>
      <w:r>
        <w:rPr>
          <w:rFonts w:ascii="仿宋" w:hAnsi="仿宋" w:eastAsia="仿宋" w:cs="仿宋_GB2312"/>
          <w:sz w:val="32"/>
          <w:szCs w:val="32"/>
        </w:rPr>
        <w:t>绩效指标：县委县政府大院信息网络全年使用中畅通次数占使用次数的比例</w:t>
      </w:r>
      <w:r>
        <w:rPr>
          <w:rFonts w:hint="default" w:ascii="Arial" w:hAnsi="Arial" w:eastAsia="仿宋" w:cs="Arial"/>
          <w:sz w:val="32"/>
          <w:szCs w:val="32"/>
        </w:rPr>
        <w:t>≥</w:t>
      </w:r>
      <w:r>
        <w:rPr>
          <w:rFonts w:ascii="仿宋" w:hAnsi="仿宋" w:eastAsia="仿宋" w:cs="仿宋_GB2312"/>
          <w:sz w:val="32"/>
          <w:szCs w:val="32"/>
        </w:rPr>
        <w:t>98%；公务用车全年正常运行次数占使用次数的比例</w:t>
      </w:r>
      <w:r>
        <w:rPr>
          <w:rFonts w:hint="default" w:ascii="Arial" w:hAnsi="Arial" w:eastAsia="仿宋" w:cs="Arial"/>
          <w:sz w:val="32"/>
          <w:szCs w:val="32"/>
        </w:rPr>
        <w:t>≥</w:t>
      </w:r>
      <w:r>
        <w:rPr>
          <w:rFonts w:ascii="仿宋" w:hAnsi="仿宋" w:eastAsia="仿宋" w:cs="仿宋_GB2312"/>
          <w:sz w:val="32"/>
          <w:szCs w:val="32"/>
        </w:rPr>
        <w:t>98%。</w:t>
      </w:r>
    </w:p>
    <w:p>
      <w:pPr>
        <w:spacing w:line="500" w:lineRule="exact"/>
        <w:ind w:firstLine="640" w:firstLineChars="200"/>
        <w:jc w:val="left"/>
        <w:rPr>
          <w:rFonts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  <w:lang w:val="en-US" w:eastAsia="zh-CN"/>
        </w:rPr>
        <w:t>3、</w:t>
      </w:r>
      <w:r>
        <w:rPr>
          <w:rFonts w:ascii="仿宋" w:hAnsi="仿宋" w:eastAsia="仿宋" w:cs="仿宋_GB2312"/>
          <w:sz w:val="32"/>
          <w:szCs w:val="32"/>
        </w:rPr>
        <w:t>政务管理方面</w:t>
      </w:r>
    </w:p>
    <w:p>
      <w:pPr>
        <w:spacing w:line="500" w:lineRule="exact"/>
        <w:ind w:firstLine="640" w:firstLineChars="200"/>
        <w:jc w:val="left"/>
        <w:rPr>
          <w:rFonts w:ascii="仿宋" w:hAnsi="仿宋" w:eastAsia="仿宋" w:cs="仿宋_GB2312"/>
          <w:sz w:val="32"/>
          <w:szCs w:val="32"/>
        </w:rPr>
      </w:pPr>
      <w:r>
        <w:rPr>
          <w:rFonts w:ascii="仿宋" w:hAnsi="仿宋" w:eastAsia="仿宋" w:cs="仿宋_GB2312"/>
          <w:sz w:val="32"/>
          <w:szCs w:val="32"/>
        </w:rPr>
        <w:t>绩效目标：指导全县机关后勤工作</w:t>
      </w:r>
      <w:r>
        <w:rPr>
          <w:rFonts w:hint="eastAsia" w:ascii="仿宋" w:hAnsi="仿宋" w:eastAsia="仿宋" w:cs="仿宋_GB2312"/>
          <w:sz w:val="32"/>
          <w:szCs w:val="32"/>
          <w:lang w:eastAsia="zh-CN"/>
        </w:rPr>
        <w:t>，</w:t>
      </w:r>
      <w:r>
        <w:rPr>
          <w:rFonts w:ascii="仿宋" w:hAnsi="仿宋" w:eastAsia="仿宋" w:cs="仿宋_GB2312"/>
          <w:sz w:val="32"/>
          <w:szCs w:val="32"/>
        </w:rPr>
        <w:t>协调机关大院</w:t>
      </w:r>
      <w:r>
        <w:rPr>
          <w:rFonts w:hint="eastAsia" w:ascii="仿宋" w:hAnsi="仿宋" w:eastAsia="仿宋" w:cs="仿宋_GB2312"/>
          <w:sz w:val="32"/>
          <w:szCs w:val="32"/>
          <w:lang w:eastAsia="zh-CN"/>
        </w:rPr>
        <w:t>部门</w:t>
      </w:r>
      <w:r>
        <w:rPr>
          <w:rFonts w:ascii="仿宋" w:hAnsi="仿宋" w:eastAsia="仿宋" w:cs="仿宋_GB2312"/>
          <w:sz w:val="32"/>
          <w:szCs w:val="32"/>
        </w:rPr>
        <w:t>绿化、卫生、交通安全</w:t>
      </w:r>
      <w:r>
        <w:rPr>
          <w:rFonts w:hint="eastAsia" w:ascii="仿宋" w:hAnsi="仿宋" w:eastAsia="仿宋" w:cs="仿宋_GB2312"/>
          <w:sz w:val="32"/>
          <w:szCs w:val="32"/>
          <w:lang w:eastAsia="zh-CN"/>
        </w:rPr>
        <w:t>、</w:t>
      </w:r>
      <w:r>
        <w:rPr>
          <w:rFonts w:ascii="仿宋" w:hAnsi="仿宋" w:eastAsia="仿宋" w:cs="仿宋_GB2312"/>
          <w:sz w:val="32"/>
          <w:szCs w:val="32"/>
        </w:rPr>
        <w:t>环境综合整治等社会事务</w:t>
      </w:r>
      <w:r>
        <w:rPr>
          <w:rFonts w:hint="eastAsia" w:ascii="仿宋" w:hAnsi="仿宋" w:eastAsia="仿宋" w:cs="仿宋_GB2312"/>
          <w:sz w:val="32"/>
          <w:szCs w:val="32"/>
          <w:lang w:eastAsia="zh-CN"/>
        </w:rPr>
        <w:t>；</w:t>
      </w:r>
      <w:r>
        <w:rPr>
          <w:rFonts w:ascii="仿宋" w:hAnsi="仿宋" w:eastAsia="仿宋" w:cs="仿宋_GB2312"/>
          <w:sz w:val="32"/>
          <w:szCs w:val="32"/>
        </w:rPr>
        <w:t>管理机关网络建设、运转维护和电子政务；机关标准化建设及政务接待、会务。办公楼业务管理和机关食堂管理；机关大院办公楼修缮、供水、供电、供暖以及机关大院环境绿化美化、卫生保洁、安全保卫。</w:t>
      </w:r>
    </w:p>
    <w:p>
      <w:pPr>
        <w:spacing w:line="500" w:lineRule="exact"/>
        <w:ind w:firstLine="640" w:firstLineChars="200"/>
        <w:jc w:val="left"/>
      </w:pPr>
      <w:r>
        <w:rPr>
          <w:rFonts w:ascii="仿宋" w:hAnsi="仿宋" w:eastAsia="仿宋" w:cs="仿宋_GB2312"/>
          <w:sz w:val="32"/>
          <w:szCs w:val="32"/>
        </w:rPr>
        <w:t>绩效指标：完成修缮改造的办公用房与申报修缮改造的办公用房总数的比率≥9</w:t>
      </w:r>
      <w:r>
        <w:rPr>
          <w:rFonts w:hint="eastAsia" w:ascii="仿宋" w:hAnsi="仿宋" w:eastAsia="仿宋" w:cs="仿宋_GB2312"/>
          <w:sz w:val="32"/>
          <w:szCs w:val="32"/>
          <w:lang w:val="en-US" w:eastAsia="zh-CN"/>
        </w:rPr>
        <w:t>0</w:t>
      </w:r>
      <w:r>
        <w:rPr>
          <w:rFonts w:ascii="仿宋" w:hAnsi="仿宋" w:eastAsia="仿宋" w:cs="仿宋_GB2312"/>
          <w:sz w:val="32"/>
          <w:szCs w:val="32"/>
        </w:rPr>
        <w:t>%；干部</w:t>
      </w:r>
      <w:r>
        <w:rPr>
          <w:rFonts w:hint="eastAsia" w:ascii="仿宋" w:hAnsi="仿宋" w:eastAsia="仿宋" w:cs="仿宋_GB2312"/>
          <w:sz w:val="32"/>
          <w:szCs w:val="32"/>
        </w:rPr>
        <w:t>职工对工作环境的满意度</w:t>
      </w:r>
      <w:r>
        <w:rPr>
          <w:rFonts w:ascii="仿宋" w:hAnsi="仿宋" w:eastAsia="仿宋" w:cs="仿宋_GB2312"/>
          <w:sz w:val="32"/>
          <w:szCs w:val="32"/>
        </w:rPr>
        <w:t>≥9</w:t>
      </w:r>
      <w:r>
        <w:rPr>
          <w:rFonts w:hint="eastAsia" w:ascii="仿宋" w:hAnsi="仿宋" w:eastAsia="仿宋" w:cs="仿宋_GB2312"/>
          <w:sz w:val="32"/>
          <w:szCs w:val="32"/>
          <w:lang w:val="en-US" w:eastAsia="zh-CN"/>
        </w:rPr>
        <w:t>0</w:t>
      </w:r>
      <w:r>
        <w:rPr>
          <w:rFonts w:ascii="仿宋" w:hAnsi="仿宋" w:eastAsia="仿宋" w:cs="仿宋_GB2312"/>
          <w:sz w:val="32"/>
          <w:szCs w:val="32"/>
        </w:rPr>
        <w:t xml:space="preserve">% </w:t>
      </w:r>
      <w:r>
        <w:rPr>
          <w:rFonts w:hint="eastAsia" w:ascii="仿宋" w:hAnsi="仿宋" w:eastAsia="仿宋" w:cs="仿宋_GB2312"/>
          <w:sz w:val="32"/>
          <w:szCs w:val="32"/>
          <w:lang w:eastAsia="zh-CN"/>
        </w:rPr>
        <w:t>。</w:t>
      </w:r>
    </w:p>
    <w:p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根据部门职责定位和各项工作履职情况进行综合评价，</w:t>
      </w:r>
      <w:r>
        <w:rPr>
          <w:rFonts w:hint="eastAsia" w:ascii="仿宋" w:hAnsi="仿宋" w:eastAsia="仿宋"/>
          <w:sz w:val="32"/>
          <w:szCs w:val="32"/>
          <w:lang w:eastAsia="zh-CN"/>
        </w:rPr>
        <w:t>得出本部门</w:t>
      </w:r>
      <w:r>
        <w:rPr>
          <w:rFonts w:hint="eastAsia" w:ascii="仿宋" w:hAnsi="仿宋" w:eastAsia="仿宋"/>
          <w:sz w:val="32"/>
          <w:szCs w:val="32"/>
        </w:rPr>
        <w:t>总得分</w:t>
      </w:r>
      <w:r>
        <w:rPr>
          <w:rFonts w:hint="eastAsia" w:ascii="仿宋" w:hAnsi="仿宋" w:eastAsia="仿宋"/>
          <w:sz w:val="32"/>
          <w:szCs w:val="32"/>
          <w:lang w:eastAsia="zh-CN"/>
        </w:rPr>
        <w:t>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96分</w:t>
      </w:r>
      <w:r>
        <w:rPr>
          <w:rFonts w:hint="eastAsia" w:ascii="仿宋" w:hAnsi="仿宋" w:eastAsia="仿宋"/>
          <w:sz w:val="32"/>
          <w:szCs w:val="32"/>
        </w:rPr>
        <w:t>，</w:t>
      </w:r>
      <w:r>
        <w:rPr>
          <w:rFonts w:hint="eastAsia" w:ascii="仿宋" w:hAnsi="仿宋" w:eastAsia="仿宋"/>
          <w:sz w:val="32"/>
          <w:szCs w:val="32"/>
          <w:lang w:eastAsia="zh-CN"/>
        </w:rPr>
        <w:t>优秀。</w:t>
      </w:r>
      <w:r>
        <w:rPr>
          <w:rFonts w:hint="eastAsia" w:ascii="仿宋" w:hAnsi="仿宋" w:eastAsia="仿宋"/>
          <w:sz w:val="32"/>
          <w:szCs w:val="32"/>
        </w:rPr>
        <w:t>部门整体支出综合绩效评价</w:t>
      </w:r>
      <w:r>
        <w:rPr>
          <w:rFonts w:hint="eastAsia" w:ascii="仿宋" w:hAnsi="仿宋" w:eastAsia="仿宋"/>
          <w:sz w:val="32"/>
          <w:szCs w:val="32"/>
          <w:lang w:eastAsia="zh-CN"/>
        </w:rPr>
        <w:t>满分为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100分，</w:t>
      </w:r>
      <w:r>
        <w:rPr>
          <w:rFonts w:hint="eastAsia" w:ascii="仿宋" w:hAnsi="仿宋" w:eastAsia="仿宋"/>
          <w:sz w:val="32"/>
          <w:szCs w:val="32"/>
        </w:rPr>
        <w:t>分为4个等级：得分</w:t>
      </w:r>
      <w:r>
        <w:rPr>
          <w:rFonts w:ascii="仿宋" w:hAnsi="仿宋" w:eastAsia="仿宋" w:cs="Arial"/>
          <w:sz w:val="32"/>
          <w:szCs w:val="32"/>
        </w:rPr>
        <w:t>≥</w:t>
      </w:r>
      <w:r>
        <w:rPr>
          <w:rFonts w:hint="eastAsia" w:ascii="仿宋" w:hAnsi="仿宋" w:eastAsia="仿宋"/>
          <w:sz w:val="32"/>
          <w:szCs w:val="32"/>
        </w:rPr>
        <w:t>85分为优秀；75</w:t>
      </w:r>
      <w:r>
        <w:rPr>
          <w:rFonts w:ascii="仿宋" w:hAnsi="仿宋" w:eastAsia="仿宋" w:cs="Arial"/>
          <w:sz w:val="32"/>
          <w:szCs w:val="32"/>
        </w:rPr>
        <w:t>≤</w:t>
      </w:r>
      <w:r>
        <w:rPr>
          <w:rFonts w:hint="eastAsia" w:ascii="仿宋" w:hAnsi="仿宋" w:eastAsia="仿宋"/>
          <w:sz w:val="32"/>
          <w:szCs w:val="32"/>
        </w:rPr>
        <w:t>得分＜85分为良好；60</w:t>
      </w:r>
      <w:r>
        <w:rPr>
          <w:rFonts w:ascii="仿宋" w:hAnsi="仿宋" w:eastAsia="仿宋" w:cs="Arial"/>
          <w:sz w:val="32"/>
          <w:szCs w:val="32"/>
        </w:rPr>
        <w:t>≤</w:t>
      </w:r>
      <w:r>
        <w:rPr>
          <w:rFonts w:hint="eastAsia" w:ascii="仿宋" w:hAnsi="仿宋" w:eastAsia="仿宋"/>
          <w:sz w:val="32"/>
          <w:szCs w:val="32"/>
        </w:rPr>
        <w:t>得分＜75分为一般；得分＜60分为较差。</w:t>
      </w:r>
    </w:p>
    <w:p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>
      <w:p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（一）存在的主要问题</w:t>
      </w:r>
    </w:p>
    <w:p>
      <w:pPr>
        <w:pStyle w:val="6"/>
        <w:shd w:val="clear" w:color="auto" w:fill="FFFFFF"/>
        <w:spacing w:beforeAutospacing="0" w:afterAutospacing="0" w:line="160" w:lineRule="atLeast"/>
        <w:ind w:firstLine="640" w:firstLineChars="200"/>
      </w:pPr>
      <w:r>
        <w:rPr>
          <w:rFonts w:hint="eastAsia" w:ascii="仿宋" w:hAnsi="仿宋" w:eastAsia="仿宋" w:cs="仿宋"/>
          <w:sz w:val="32"/>
          <w:szCs w:val="32"/>
        </w:rPr>
        <w:t>预算编制不够细化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。我部门在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2022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年度整体支出工作实施情况良好，但在预算编制、预算管理措施及预算执行上，仍缺乏系统量化细化的绩效指标。同时，在整体支出完成率上有待进一步加强。</w:t>
      </w:r>
    </w:p>
    <w:p>
      <w:pPr>
        <w:numPr>
          <w:ilvl w:val="0"/>
          <w:numId w:val="3"/>
        </w:numPr>
        <w:spacing w:line="560" w:lineRule="exact"/>
        <w:ind w:left="0" w:leftChars="0"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针对问题提出具体的改进措施或建议</w:t>
      </w:r>
    </w:p>
    <w:p>
      <w:pPr>
        <w:spacing w:line="560" w:lineRule="exact"/>
        <w:ind w:firstLine="640" w:firstLineChars="200"/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本部门将针对这一问题，加强预算编制管理，保证预算编制的科学性、完整性、细化性。一是加强对财务人员的业务培训，提高财务人员的履职能力和业务水平；二是科学合理地设置绩效目标和指标。绩效指标设置要做到量化和细化，有效衡量和考核绩效目标实现程度；三是提高预算编制精准度，扎实打好预算绩效管理工作基础。做到全面、综合地反映单位支出及总体目标情况；四是</w:t>
      </w:r>
      <w:r>
        <w:rPr>
          <w:rFonts w:hint="eastAsia" w:ascii="仿宋" w:hAnsi="仿宋" w:eastAsia="仿宋" w:cs="仿宋"/>
          <w:sz w:val="32"/>
          <w:szCs w:val="32"/>
        </w:rPr>
        <w:t>加强预算编制管理，夯实预算执行基础。采取更有效程序和方法合理安排资金，有效推进预算支出进度，达到综合预算、不偏不漏。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六、评价工作组人员名单及签字（姓名、工作单位、职务、职称）</w:t>
      </w:r>
    </w:p>
    <w:p>
      <w:pPr>
        <w:pStyle w:val="2"/>
        <w:ind w:left="0" w:leftChars="0" w:firstLine="640" w:firstLineChars="200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组长：付广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   机关事务管理中心   主任</w:t>
      </w:r>
    </w:p>
    <w:p>
      <w:pPr>
        <w:pStyle w:val="2"/>
        <w:ind w:left="0" w:leftChars="0"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组员：吕贵忠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 机关事务管理中心   副主任</w:t>
      </w:r>
    </w:p>
    <w:p>
      <w:pPr>
        <w:pStyle w:val="2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张向阳     机关事务管理中心   党组成员</w:t>
      </w:r>
    </w:p>
    <w:p>
      <w:pPr>
        <w:spacing w:line="560" w:lineRule="exact"/>
        <w:rPr>
          <w:rFonts w:ascii="仿宋" w:hAnsi="仿宋" w:eastAsia="仿宋"/>
        </w:rPr>
      </w:pP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DejaVu Sans"/>
    <w:panose1 w:val="02020603050405020304"/>
    <w:charset w:val="01"/>
    <w:family w:val="auto"/>
    <w:pitch w:val="default"/>
    <w:sig w:usb0="00000000" w:usb1="00000000" w:usb2="00000009" w:usb3="00000000" w:csb0="400001FF" w:csb1="FFFF0000"/>
  </w:font>
  <w:font w:name="宋体">
    <w:altName w:val="方正书宋_GBK"/>
    <w:panose1 w:val="02010600030101010101"/>
    <w:charset w:val="7A"/>
    <w:family w:val="auto"/>
    <w:pitch w:val="default"/>
    <w:sig w:usb0="00000000" w:usb1="0000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华文楷体">
    <w:altName w:val="方正楷体_GBK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楷体">
    <w:altName w:val="方正楷体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楷体_GB2312">
    <w:altName w:val="方正楷体_GBK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楷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pict>
        <v:shape id="Quad Arrow 3073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ed="f" o:preferrelative="t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- 1 -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1">
    <w:nsid w:val="1E2ABAEE"/>
    <w:multiLevelType w:val="singleLevel"/>
    <w:tmpl w:val="1E2ABAEE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2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rPr>
        <w:rFonts w:ascii="楷体" w:hAnsi="楷体" w:eastAsia="楷体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YTgxOGM2NjQ4MTEyYzdjZGNkMzc3MTUyNGViOTMwNWQifQ=="/>
  </w:docVars>
  <w:rsids>
    <w:rsidRoot w:val="0EBD2122"/>
    <w:rsid w:val="000B0260"/>
    <w:rsid w:val="007E6C1F"/>
    <w:rsid w:val="00956A93"/>
    <w:rsid w:val="009E575C"/>
    <w:rsid w:val="00AF167E"/>
    <w:rsid w:val="00AF566A"/>
    <w:rsid w:val="00B478EA"/>
    <w:rsid w:val="00B6553A"/>
    <w:rsid w:val="00BC6576"/>
    <w:rsid w:val="00CE06BA"/>
    <w:rsid w:val="00F441CC"/>
    <w:rsid w:val="01B104CA"/>
    <w:rsid w:val="02106AB0"/>
    <w:rsid w:val="02B43A28"/>
    <w:rsid w:val="046F331E"/>
    <w:rsid w:val="07956271"/>
    <w:rsid w:val="09721397"/>
    <w:rsid w:val="0B1162DB"/>
    <w:rsid w:val="0BB63BED"/>
    <w:rsid w:val="0EB97A43"/>
    <w:rsid w:val="0EBD2122"/>
    <w:rsid w:val="0F214EAE"/>
    <w:rsid w:val="11B71E6A"/>
    <w:rsid w:val="1202500A"/>
    <w:rsid w:val="17BB1EE3"/>
    <w:rsid w:val="1AAF0063"/>
    <w:rsid w:val="1BE140DE"/>
    <w:rsid w:val="22D50F64"/>
    <w:rsid w:val="248C197D"/>
    <w:rsid w:val="252959AF"/>
    <w:rsid w:val="277A6671"/>
    <w:rsid w:val="292D35B7"/>
    <w:rsid w:val="33EB6CFF"/>
    <w:rsid w:val="34AF3290"/>
    <w:rsid w:val="35A12947"/>
    <w:rsid w:val="37387040"/>
    <w:rsid w:val="3B625C0A"/>
    <w:rsid w:val="3CEE1963"/>
    <w:rsid w:val="4C9C27FE"/>
    <w:rsid w:val="4FF9AD8B"/>
    <w:rsid w:val="512260B4"/>
    <w:rsid w:val="52BD6ACB"/>
    <w:rsid w:val="55537534"/>
    <w:rsid w:val="561A74F1"/>
    <w:rsid w:val="597244E8"/>
    <w:rsid w:val="5EB71C30"/>
    <w:rsid w:val="66AF0CE5"/>
    <w:rsid w:val="69A77CAD"/>
    <w:rsid w:val="6AC537CF"/>
    <w:rsid w:val="6CCC584E"/>
    <w:rsid w:val="6E5B14A6"/>
    <w:rsid w:val="711B255E"/>
    <w:rsid w:val="7BB51E06"/>
    <w:rsid w:val="7C387F7C"/>
    <w:rsid w:val="7EBE42F3"/>
    <w:rsid w:val="7FE8342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qFormat="1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unhideWhenUsed/>
    <w:qFormat/>
    <w:uiPriority w:val="0"/>
    <w:pPr>
      <w:ind w:firstLine="420" w:firstLineChars="200"/>
    </w:pPr>
  </w:style>
  <w:style w:type="paragraph" w:styleId="3">
    <w:name w:val="Body Text Indent"/>
    <w:basedOn w:val="1"/>
    <w:unhideWhenUsed/>
    <w:qFormat/>
    <w:uiPriority w:val="0"/>
    <w:pPr>
      <w:spacing w:after="120" w:afterLines="0" w:afterAutospacing="0"/>
      <w:ind w:left="420" w:leftChars="200"/>
    </w:p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styleId="6">
    <w:name w:val="Normal (Web)"/>
    <w:basedOn w:val="1"/>
    <w:unhideWhenUsed/>
    <w:qFormat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spacing w:before="0" w:beforeAutospacing="0" w:after="0" w:afterAutospacing="0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2662</Words>
  <Characters>2787</Characters>
  <Lines>4</Lines>
  <Paragraphs>1</Paragraphs>
  <TotalTime>26</TotalTime>
  <ScaleCrop>false</ScaleCrop>
  <LinksUpToDate>false</LinksUpToDate>
  <CharactersWithSpaces>2835</CharactersWithSpaces>
  <Application>WPS Office_11.8.2.10554_F1E327BC-269C-435d-A152-05C5408002CA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2020-02-04T19:46:00Z</dcterms:created>
  <dc:creator>欣欣大人</dc:creator>
  <cp:lastModifiedBy>UOS</cp:lastModifiedBy>
  <cp:lastPrinted>2023-06-09T09:47:00Z</cp:lastPrinted>
  <dcterms:modified xsi:type="dcterms:W3CDTF">2024-09-04T09:17:26Z</dcterms:modified>
  <dc:title>附件3：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2052-11.8.2.10554</vt:lpwstr>
  </property>
  <property fmtid="{D5CDD505-2E9C-101B-9397-08002B2CF9AE}" pid="3" name="ICV">
    <vt:lpwstr>6428A13FDE2149D9AA6D757A1684B158_12</vt:lpwstr>
  </property>
</Properties>
</file>