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DD53BE">
      <w:pPr>
        <w:widowControl w:val="0"/>
        <w:spacing w:line="640" w:lineRule="atLeast"/>
        <w:ind w:left="0" w:leftChars="0" w:firstLine="0" w:firstLineChars="0"/>
        <w:jc w:val="center"/>
        <w:rPr>
          <w:rFonts w:hint="eastAsia" w:ascii="黑体" w:hAnsi="黑体" w:eastAsia="黑体"/>
          <w:sz w:val="44"/>
          <w:szCs w:val="22"/>
          <w:lang w:val="en-US" w:eastAsia="zh-CN"/>
        </w:rPr>
      </w:pPr>
      <w:r>
        <w:rPr>
          <w:rFonts w:hint="eastAsia" w:ascii="黑体" w:hAnsi="黑体" w:eastAsia="黑体"/>
          <w:sz w:val="44"/>
          <w:szCs w:val="22"/>
          <w:lang w:val="en-US" w:eastAsia="zh-CN"/>
        </w:rPr>
        <w:t>赞皇县西龙门乡人民政府</w:t>
      </w:r>
    </w:p>
    <w:p w14:paraId="78BECBF2">
      <w:pPr>
        <w:widowControl w:val="0"/>
        <w:spacing w:line="640" w:lineRule="atLeast"/>
        <w:ind w:left="0" w:leftChars="0" w:firstLine="0" w:firstLineChars="0"/>
        <w:jc w:val="center"/>
        <w:rPr>
          <w:rFonts w:hint="eastAsia" w:ascii="黑体" w:hAnsi="黑体" w:eastAsia="黑体"/>
          <w:sz w:val="44"/>
          <w:szCs w:val="22"/>
          <w:lang w:eastAsia="zh-CN"/>
        </w:rPr>
      </w:pPr>
      <w:r>
        <w:rPr>
          <w:rFonts w:hint="eastAsia" w:ascii="黑体" w:hAnsi="黑体" w:eastAsia="黑体"/>
          <w:sz w:val="44"/>
          <w:szCs w:val="22"/>
        </w:rPr>
        <w:t>重大行政执法决定法制审核</w:t>
      </w:r>
      <w:r>
        <w:rPr>
          <w:rFonts w:hint="eastAsia" w:ascii="黑体" w:hAnsi="黑体" w:eastAsia="黑体"/>
          <w:sz w:val="44"/>
          <w:szCs w:val="22"/>
          <w:lang w:eastAsia="zh-CN"/>
        </w:rPr>
        <w:t>办法</w:t>
      </w:r>
    </w:p>
    <w:p w14:paraId="7FFDA03D">
      <w:pPr>
        <w:widowControl w:val="0"/>
        <w:spacing w:line="640" w:lineRule="atLeast"/>
        <w:ind w:firstLine="720" w:firstLineChars="0"/>
        <w:rPr>
          <w:rFonts w:hint="eastAsia" w:ascii="黑体" w:hAnsi="黑体" w:eastAsia="黑体"/>
          <w:sz w:val="36"/>
        </w:rPr>
      </w:pPr>
    </w:p>
    <w:p w14:paraId="5241917D">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第一条 为了加强对重大行政执法行为的监督，保护公民、法人和其他组织的合</w:t>
      </w:r>
      <w:bookmarkStart w:id="0" w:name="_GoBack"/>
      <w:bookmarkEnd w:id="0"/>
      <w:r>
        <w:rPr>
          <w:rFonts w:hint="eastAsia" w:ascii="仿宋_GB2312" w:hAnsi="仿宋_GB2312" w:eastAsia="仿宋_GB2312"/>
          <w:sz w:val="32"/>
        </w:rPr>
        <w:t>法权益，促进行政机关依法行政，根据《中华人民共和国行政处罚法》和有关法律、法规、规章的规定，制定本办法。</w:t>
      </w:r>
    </w:p>
    <w:p w14:paraId="6AFEE732">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sz w:val="32"/>
        </w:rPr>
        <w:t>第二条 本办法所称重大行政执法决定法制审核，是</w:t>
      </w:r>
      <w:r>
        <w:rPr>
          <w:rFonts w:hint="eastAsia" w:ascii="仿宋_GB2312" w:hAnsi="仿宋_GB2312" w:eastAsia="仿宋_GB2312"/>
          <w:sz w:val="32"/>
          <w:lang w:eastAsia="zh-CN"/>
        </w:rPr>
        <w:t>指行政机关、法律法规授权的组织（以下简称行政执法机关）在</w:t>
      </w:r>
      <w:r>
        <w:rPr>
          <w:rFonts w:hint="eastAsia" w:ascii="仿宋_GB2312" w:hAnsi="仿宋_GB2312" w:eastAsia="仿宋_GB2312"/>
          <w:sz w:val="32"/>
        </w:rPr>
        <w:t>作出重大行政执法决定之前，由</w:t>
      </w:r>
      <w:r>
        <w:rPr>
          <w:rFonts w:hint="eastAsia" w:ascii="仿宋" w:hAnsi="仿宋" w:eastAsia="仿宋" w:cs="仿宋"/>
          <w:sz w:val="32"/>
          <w:szCs w:val="22"/>
          <w:lang w:val="en-US" w:eastAsia="zh-CN"/>
        </w:rPr>
        <w:t>我乡镇政</w:t>
      </w:r>
      <w:r>
        <w:rPr>
          <w:rFonts w:hint="eastAsia" w:ascii="仿宋" w:hAnsi="仿宋" w:eastAsia="仿宋" w:cs="仿宋"/>
          <w:color w:val="000000" w:themeColor="text1"/>
          <w:sz w:val="32"/>
          <w:szCs w:val="22"/>
          <w:lang w:val="en-US" w:eastAsia="zh-CN"/>
          <w14:textFill>
            <w14:solidFill>
              <w14:schemeClr w14:val="tx1"/>
            </w14:solidFill>
          </w14:textFill>
        </w:rPr>
        <w:t>府</w:t>
      </w:r>
      <w:r>
        <w:rPr>
          <w:rFonts w:hint="eastAsia" w:ascii="仿宋_GB2312" w:hAnsi="仿宋_GB2312" w:eastAsia="仿宋_GB2312"/>
          <w:color w:val="000000" w:themeColor="text1"/>
          <w:sz w:val="32"/>
          <w:lang w:val="en-US"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对其合法性、适当性进行审核的活动。</w:t>
      </w:r>
    </w:p>
    <w:p w14:paraId="441344EE">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color w:val="000000" w:themeColor="text1"/>
          <w:sz w:val="32"/>
          <w14:textFill>
            <w14:solidFill>
              <w14:schemeClr w14:val="tx1"/>
            </w14:solidFill>
          </w14:textFill>
        </w:rPr>
        <w:t>第</w:t>
      </w:r>
      <w:r>
        <w:rPr>
          <w:rFonts w:hint="eastAsia" w:ascii="仿宋_GB2312" w:hAnsi="仿宋_GB2312" w:eastAsia="仿宋_GB2312"/>
          <w:color w:val="000000" w:themeColor="text1"/>
          <w:sz w:val="32"/>
          <w:lang w:eastAsia="zh-CN"/>
          <w14:textFill>
            <w14:solidFill>
              <w14:schemeClr w14:val="tx1"/>
            </w14:solidFill>
          </w14:textFill>
        </w:rPr>
        <w:t>三</w:t>
      </w:r>
      <w:r>
        <w:rPr>
          <w:rFonts w:hint="eastAsia" w:ascii="仿宋_GB2312" w:hAnsi="仿宋_GB2312" w:eastAsia="仿宋_GB2312"/>
          <w:color w:val="000000" w:themeColor="text1"/>
          <w:sz w:val="32"/>
          <w14:textFill>
            <w14:solidFill>
              <w14:schemeClr w14:val="tx1"/>
            </w14:solidFill>
          </w14:textFill>
        </w:rPr>
        <w:t>条 作出</w:t>
      </w:r>
      <w:r>
        <w:rPr>
          <w:rFonts w:hint="eastAsia" w:ascii="仿宋_GB2312" w:hAnsi="仿宋_GB2312" w:eastAsia="仿宋_GB2312"/>
          <w:color w:val="000000" w:themeColor="text1"/>
          <w:sz w:val="32"/>
          <w:lang w:eastAsia="zh-CN"/>
          <w14:textFill>
            <w14:solidFill>
              <w14:schemeClr w14:val="tx1"/>
            </w14:solidFill>
          </w14:textFill>
        </w:rPr>
        <w:t>行政</w:t>
      </w:r>
      <w:r>
        <w:rPr>
          <w:rFonts w:hint="eastAsia" w:ascii="仿宋_GB2312" w:hAnsi="仿宋_GB2312" w:eastAsia="仿宋_GB2312"/>
          <w:color w:val="000000" w:themeColor="text1"/>
          <w:sz w:val="32"/>
          <w14:textFill>
            <w14:solidFill>
              <w14:schemeClr w14:val="tx1"/>
            </w14:solidFill>
          </w14:textFill>
        </w:rPr>
        <w:t>处罚等行政执法决定，具有下列情</w:t>
      </w:r>
      <w:r>
        <w:rPr>
          <w:rFonts w:hint="eastAsia" w:ascii="仿宋_GB2312" w:hAnsi="仿宋_GB2312" w:eastAsia="仿宋_GB2312"/>
          <w:sz w:val="32"/>
        </w:rPr>
        <w:t>形之一的，应当在作出决定前进行法制审核：</w:t>
      </w:r>
    </w:p>
    <w:p w14:paraId="0461C04D">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（一）涉及重大国家利益和公共利益的事项，</w:t>
      </w:r>
    </w:p>
    <w:p w14:paraId="0CD02CF8">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（二）可能造成重大社会影响或引发社会风险的；</w:t>
      </w:r>
    </w:p>
    <w:p w14:paraId="69C9A60B">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（三）直接关系行政管理相对人或他人重大权益的；</w:t>
      </w:r>
    </w:p>
    <w:p w14:paraId="528B03ED">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（四）需经听证程序作出行政执法决定的；</w:t>
      </w:r>
    </w:p>
    <w:p w14:paraId="6936AC3B">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（五）案件情况疑难复杂，涉及多个法律关系的；</w:t>
      </w:r>
    </w:p>
    <w:p w14:paraId="5C7981C5">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w:t>
      </w:r>
      <w:r>
        <w:rPr>
          <w:rFonts w:hint="eastAsia" w:ascii="仿宋_GB2312" w:hAnsi="仿宋_GB2312" w:eastAsia="仿宋_GB2312"/>
          <w:sz w:val="32"/>
          <w:lang w:eastAsia="zh-CN"/>
        </w:rPr>
        <w:t>六</w:t>
      </w:r>
      <w:r>
        <w:rPr>
          <w:rFonts w:hint="eastAsia" w:ascii="仿宋_GB2312" w:hAnsi="仿宋_GB2312" w:eastAsia="仿宋_GB2312"/>
          <w:sz w:val="32"/>
        </w:rPr>
        <w:t>）拟对公民处以1万元以上罚款，对法人或者其他组织处以10万元以上罚款，或是没收违法所得、非法财物价值10万元以上的；</w:t>
      </w:r>
    </w:p>
    <w:p w14:paraId="3EBBED1C">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w:t>
      </w:r>
      <w:r>
        <w:rPr>
          <w:rFonts w:hint="eastAsia" w:ascii="仿宋_GB2312" w:hAnsi="仿宋_GB2312" w:eastAsia="仿宋_GB2312"/>
          <w:sz w:val="32"/>
          <w:lang w:eastAsia="zh-CN"/>
        </w:rPr>
        <w:t>七</w:t>
      </w:r>
      <w:r>
        <w:rPr>
          <w:rFonts w:hint="eastAsia" w:ascii="仿宋_GB2312" w:hAnsi="仿宋_GB2312" w:eastAsia="仿宋_GB2312"/>
          <w:sz w:val="32"/>
        </w:rPr>
        <w:t>）拟对发生法律效力的行政执法决定进行纠正的；</w:t>
      </w:r>
    </w:p>
    <w:p w14:paraId="04AD3D42">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w:t>
      </w:r>
      <w:r>
        <w:rPr>
          <w:rFonts w:hint="eastAsia" w:ascii="仿宋_GB2312" w:hAnsi="仿宋_GB2312" w:eastAsia="仿宋_GB2312"/>
          <w:sz w:val="32"/>
          <w:lang w:eastAsia="zh-CN"/>
        </w:rPr>
        <w:t>八</w:t>
      </w:r>
      <w:r>
        <w:rPr>
          <w:rFonts w:hint="eastAsia" w:ascii="仿宋_GB2312" w:hAnsi="仿宋_GB2312" w:eastAsia="仿宋_GB2312"/>
          <w:sz w:val="32"/>
        </w:rPr>
        <w:t>）拟作出行政赔偿或者不予行政赔偿决定的；</w:t>
      </w:r>
    </w:p>
    <w:p w14:paraId="69D9537B">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w:t>
      </w:r>
      <w:r>
        <w:rPr>
          <w:rFonts w:hint="eastAsia" w:ascii="仿宋_GB2312" w:hAnsi="仿宋_GB2312" w:eastAsia="仿宋_GB2312"/>
          <w:sz w:val="32"/>
          <w:lang w:eastAsia="zh-CN"/>
        </w:rPr>
        <w:t>九</w:t>
      </w:r>
      <w:r>
        <w:rPr>
          <w:rFonts w:hint="eastAsia" w:ascii="仿宋_GB2312" w:hAnsi="仿宋_GB2312" w:eastAsia="仿宋_GB2312"/>
          <w:sz w:val="32"/>
        </w:rPr>
        <w:t>）拟从重、减轻或免于行政处罚的；</w:t>
      </w:r>
    </w:p>
    <w:p w14:paraId="3A4DBF65">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（十）其他法律、法规、规章规定应当进行法制审核的。</w:t>
      </w:r>
    </w:p>
    <w:p w14:paraId="29637C7D">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四</w:t>
      </w:r>
      <w:r>
        <w:rPr>
          <w:rFonts w:hint="eastAsia" w:ascii="仿宋_GB2312" w:hAnsi="仿宋_GB2312" w:eastAsia="仿宋_GB2312"/>
          <w:sz w:val="32"/>
        </w:rPr>
        <w:t>条 配备专门的法制审核人员，确保人员配备适应工作需要。</w:t>
      </w:r>
    </w:p>
    <w:p w14:paraId="0E7E6421">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五</w:t>
      </w:r>
      <w:r>
        <w:rPr>
          <w:rFonts w:hint="eastAsia" w:ascii="仿宋_GB2312" w:hAnsi="仿宋_GB2312" w:eastAsia="仿宋_GB2312"/>
          <w:sz w:val="32"/>
        </w:rPr>
        <w:t>条 法制审核人员的日常管理和业务培训，每年培训不少于两次。培训经费纳入财政预算，予以保障。</w:t>
      </w:r>
    </w:p>
    <w:p w14:paraId="52E7DF5F">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六</w:t>
      </w:r>
      <w:r>
        <w:rPr>
          <w:rFonts w:hint="eastAsia" w:ascii="仿宋_GB2312" w:hAnsi="仿宋_GB2312" w:eastAsia="仿宋_GB2312"/>
          <w:sz w:val="32"/>
        </w:rPr>
        <w:t>条 重大行政执法决定进行法制审核是作出决定前的必经程序，未经审核或者审核未通过的，行政执法机关不得作出。</w:t>
      </w:r>
    </w:p>
    <w:p w14:paraId="02F8C347">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sz w:val="32"/>
        </w:rPr>
        <w:t>第</w:t>
      </w:r>
      <w:r>
        <w:rPr>
          <w:rFonts w:hint="eastAsia" w:ascii="仿宋_GB2312" w:hAnsi="仿宋_GB2312" w:eastAsia="仿宋_GB2312"/>
          <w:sz w:val="32"/>
          <w:lang w:eastAsia="zh-CN"/>
        </w:rPr>
        <w:t>七</w:t>
      </w:r>
      <w:r>
        <w:rPr>
          <w:rFonts w:hint="eastAsia" w:ascii="仿宋_GB2312" w:hAnsi="仿宋_GB2312" w:eastAsia="仿宋_GB2312"/>
          <w:sz w:val="32"/>
        </w:rPr>
        <w:t xml:space="preserve">条 </w:t>
      </w:r>
      <w:r>
        <w:rPr>
          <w:rFonts w:hint="eastAsia" w:ascii="仿宋_GB2312" w:hAnsi="仿宋_GB2312" w:eastAsia="仿宋_GB2312"/>
          <w:sz w:val="32"/>
          <w:lang w:eastAsia="zh-CN"/>
        </w:rPr>
        <w:t>行政执法科室</w:t>
      </w:r>
      <w:r>
        <w:rPr>
          <w:rFonts w:hint="eastAsia" w:ascii="仿宋_GB2312" w:hAnsi="仿宋_GB2312" w:eastAsia="仿宋_GB2312"/>
          <w:sz w:val="32"/>
        </w:rPr>
        <w:t>在调查终结后作出行政执法决定前，对符合重</w:t>
      </w:r>
      <w:r>
        <w:rPr>
          <w:rFonts w:hint="eastAsia" w:ascii="仿宋_GB2312" w:hAnsi="仿宋_GB2312" w:eastAsia="仿宋_GB2312"/>
          <w:color w:val="000000" w:themeColor="text1"/>
          <w:sz w:val="32"/>
          <w14:textFill>
            <w14:solidFill>
              <w14:schemeClr w14:val="tx1"/>
            </w14:solidFill>
          </w14:textFill>
        </w:rPr>
        <w:t>大行政执法决定条件的案件应当送法制</w:t>
      </w:r>
      <w:r>
        <w:rPr>
          <w:rFonts w:hint="eastAsia" w:ascii="仿宋_GB2312" w:hAnsi="仿宋_GB2312" w:eastAsia="仿宋_GB2312"/>
          <w:color w:val="000000" w:themeColor="text1"/>
          <w:sz w:val="32"/>
          <w:lang w:eastAsia="zh-CN"/>
          <w14:textFill>
            <w14:solidFill>
              <w14:schemeClr w14:val="tx1"/>
            </w14:solidFill>
          </w14:textFill>
        </w:rPr>
        <w:t>科</w:t>
      </w:r>
      <w:r>
        <w:rPr>
          <w:rFonts w:hint="eastAsia" w:ascii="仿宋_GB2312" w:hAnsi="仿宋_GB2312" w:eastAsia="仿宋_GB2312"/>
          <w:color w:val="000000" w:themeColor="text1"/>
          <w:sz w:val="32"/>
          <w14:textFill>
            <w14:solidFill>
              <w14:schemeClr w14:val="tx1"/>
            </w14:solidFill>
          </w14:textFill>
        </w:rPr>
        <w:t>进行审核。</w:t>
      </w:r>
    </w:p>
    <w:p w14:paraId="2266E932">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第</w:t>
      </w:r>
      <w:r>
        <w:rPr>
          <w:rFonts w:hint="eastAsia" w:ascii="仿宋_GB2312" w:hAnsi="仿宋_GB2312" w:eastAsia="仿宋_GB2312"/>
          <w:color w:val="000000" w:themeColor="text1"/>
          <w:sz w:val="32"/>
          <w:lang w:eastAsia="zh-CN"/>
          <w14:textFill>
            <w14:solidFill>
              <w14:schemeClr w14:val="tx1"/>
            </w14:solidFill>
          </w14:textFill>
        </w:rPr>
        <w:t>八</w:t>
      </w:r>
      <w:r>
        <w:rPr>
          <w:rFonts w:hint="eastAsia" w:ascii="仿宋_GB2312" w:hAnsi="仿宋_GB2312" w:eastAsia="仿宋_GB2312"/>
          <w:color w:val="000000" w:themeColor="text1"/>
          <w:sz w:val="32"/>
          <w14:textFill>
            <w14:solidFill>
              <w14:schemeClr w14:val="tx1"/>
            </w14:solidFill>
          </w14:textFill>
        </w:rPr>
        <w:t xml:space="preserve">条 </w:t>
      </w: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在送审时应当提交以下材料：</w:t>
      </w:r>
    </w:p>
    <w:p w14:paraId="13697573">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（一）重大行政执法决定的调查终结报告；</w:t>
      </w:r>
    </w:p>
    <w:p w14:paraId="6CC287DF">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（二）重大行政执法决定建议或者意见及其情况说明；</w:t>
      </w:r>
    </w:p>
    <w:p w14:paraId="74F51209">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（三）重大行政执法决定书代拟稿；</w:t>
      </w:r>
    </w:p>
    <w:p w14:paraId="605BE07B">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（四）相关证据资料；</w:t>
      </w:r>
    </w:p>
    <w:p w14:paraId="6ED590A6">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（五）经听证或者评估的，还应当提交听证笔录或者评估报告；</w:t>
      </w:r>
    </w:p>
    <w:p w14:paraId="6AC4DC42">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（六）其他需要提交的材料。</w:t>
      </w:r>
    </w:p>
    <w:p w14:paraId="3CAC0ADF">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认为提交材料不齐全的，应当一次性告知承办机构补正材料，并规定期限提</w:t>
      </w:r>
      <w:r>
        <w:rPr>
          <w:rFonts w:hint="eastAsia" w:ascii="仿宋_GB2312" w:hAnsi="仿宋_GB2312" w:eastAsia="仿宋_GB2312"/>
          <w:sz w:val="32"/>
        </w:rPr>
        <w:t>交。补正材料所需时间不计入法制</w:t>
      </w:r>
      <w:r>
        <w:rPr>
          <w:rFonts w:hint="eastAsia" w:ascii="仿宋_GB2312" w:hAnsi="仿宋_GB2312" w:eastAsia="仿宋_GB2312"/>
          <w:sz w:val="32"/>
          <w:lang w:eastAsia="zh-CN"/>
        </w:rPr>
        <w:t>科</w:t>
      </w:r>
      <w:r>
        <w:rPr>
          <w:rFonts w:hint="eastAsia" w:ascii="仿宋_GB2312" w:hAnsi="仿宋_GB2312" w:eastAsia="仿宋_GB2312"/>
          <w:sz w:val="32"/>
        </w:rPr>
        <w:t>重大执法决定审核期限。</w:t>
      </w:r>
    </w:p>
    <w:p w14:paraId="5FEC7D53">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九</w:t>
      </w:r>
      <w:r>
        <w:rPr>
          <w:rFonts w:hint="eastAsia" w:ascii="仿宋_GB2312" w:hAnsi="仿宋_GB2312" w:eastAsia="仿宋_GB2312"/>
          <w:sz w:val="32"/>
        </w:rPr>
        <w:t>条 重大行政执法决定建议情况说明应当载明以下内容：</w:t>
      </w:r>
    </w:p>
    <w:p w14:paraId="1E3097B4">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（一）基本事实；</w:t>
      </w:r>
    </w:p>
    <w:p w14:paraId="7BA97A8F">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（二）适用法律、法规、规章和执行裁量基准的情况；</w:t>
      </w:r>
    </w:p>
    <w:p w14:paraId="009370D0">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（三）行政执法人员资格情况；</w:t>
      </w:r>
    </w:p>
    <w:p w14:paraId="3ECF722C">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（四）调查取证和听证情况；</w:t>
      </w:r>
    </w:p>
    <w:p w14:paraId="3E472084">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（五）其他需要说明的情况。</w:t>
      </w:r>
    </w:p>
    <w:p w14:paraId="5A0E48D4">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 xml:space="preserve">第十条 </w:t>
      </w: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对拟</w:t>
      </w:r>
      <w:r>
        <w:rPr>
          <w:rFonts w:hint="eastAsia" w:ascii="仿宋_GB2312" w:hAnsi="仿宋_GB2312" w:eastAsia="仿宋_GB2312"/>
          <w:sz w:val="32"/>
        </w:rPr>
        <w:t>作出的重大行政执法决定从以下几个方面进行审核：</w:t>
      </w:r>
    </w:p>
    <w:p w14:paraId="4BE9081D">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（一）</w:t>
      </w:r>
      <w:r>
        <w:rPr>
          <w:rFonts w:hint="eastAsia" w:ascii="仿宋_GB2312" w:hAnsi="仿宋_GB2312" w:eastAsia="仿宋_GB2312"/>
          <w:sz w:val="32"/>
          <w:lang w:eastAsia="zh-CN"/>
        </w:rPr>
        <w:t>行政执法</w:t>
      </w:r>
      <w:r>
        <w:rPr>
          <w:rFonts w:hint="eastAsia" w:ascii="仿宋_GB2312" w:hAnsi="仿宋_GB2312" w:eastAsia="仿宋_GB2312"/>
          <w:sz w:val="32"/>
        </w:rPr>
        <w:t>主体是否合法，行政执法人员是否具备执法资格；</w:t>
      </w:r>
    </w:p>
    <w:p w14:paraId="72B50F2B">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（二）主要事实是否清楚，证据是否确凿、充分；</w:t>
      </w:r>
    </w:p>
    <w:p w14:paraId="23E052AF">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（三）适用法律、法规、规章是否准确，执行裁量基准是否适当；</w:t>
      </w:r>
    </w:p>
    <w:p w14:paraId="25405C38">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 xml:space="preserve">（四）程序是否合法； </w:t>
      </w:r>
    </w:p>
    <w:p w14:paraId="600D40E0">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（五）是否有超越本机关职权范围或滥用职权的情形；</w:t>
      </w:r>
    </w:p>
    <w:p w14:paraId="40E4A466">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（六）行政执法文书是否规范、齐备；</w:t>
      </w:r>
    </w:p>
    <w:p w14:paraId="01DEDD77">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（七）违法行为是否涉嫌犯罪需要移送司法机关；</w:t>
      </w:r>
    </w:p>
    <w:p w14:paraId="1EEE35A9">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（八）其他应当审核的内容。</w:t>
      </w:r>
    </w:p>
    <w:p w14:paraId="7773BD0C">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w:t>
      </w:r>
      <w:r>
        <w:rPr>
          <w:rFonts w:hint="eastAsia" w:ascii="仿宋_GB2312" w:hAnsi="仿宋_GB2312" w:eastAsia="仿宋_GB2312"/>
          <w:sz w:val="32"/>
          <w:lang w:eastAsia="zh-CN"/>
        </w:rPr>
        <w:t>一</w:t>
      </w:r>
      <w:r>
        <w:rPr>
          <w:rFonts w:hint="eastAsia" w:ascii="仿宋_GB2312" w:hAnsi="仿宋_GB2312" w:eastAsia="仿宋_GB2312"/>
          <w:sz w:val="32"/>
        </w:rPr>
        <w:t xml:space="preserve">条 </w:t>
      </w: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sz w:val="32"/>
        </w:rPr>
        <w:t>在审核过程中，有权调阅行政执法活动相关材料；必要时也可以向当事人进行调查，相关单位和个人应当予以协助配合。</w:t>
      </w:r>
    </w:p>
    <w:p w14:paraId="13F886E0">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sz w:val="32"/>
        </w:rPr>
        <w:t>第十</w:t>
      </w:r>
      <w:r>
        <w:rPr>
          <w:rFonts w:hint="eastAsia" w:ascii="仿宋_GB2312" w:hAnsi="仿宋_GB2312" w:eastAsia="仿宋_GB2312"/>
          <w:sz w:val="32"/>
          <w:lang w:eastAsia="zh-CN"/>
        </w:rPr>
        <w:t>二</w:t>
      </w:r>
      <w:r>
        <w:rPr>
          <w:rFonts w:hint="eastAsia" w:ascii="仿宋_GB2312" w:hAnsi="仿宋_GB2312" w:eastAsia="仿宋_GB2312"/>
          <w:sz w:val="32"/>
        </w:rPr>
        <w:t xml:space="preserve">条 </w:t>
      </w: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对拟作出的重大行政执法决定进行审核后，根据不同情况，提出相应的书面意见或建议：</w:t>
      </w:r>
    </w:p>
    <w:p w14:paraId="16AA40C7">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（一）主要事实清楚、证据确凿、定性准确、程序合法的，提出同意的意见；</w:t>
      </w:r>
    </w:p>
    <w:p w14:paraId="5ABC3989">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（二）主要事实不清，证据不足的，提出继续调查或不予作出行政执法决定的建议；</w:t>
      </w:r>
    </w:p>
    <w:p w14:paraId="241EA82B">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（三）定性不准、适用法律不准确和裁量基准不当的，提出变更意见；</w:t>
      </w:r>
    </w:p>
    <w:p w14:paraId="7FC067EA">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（四）程序不合法的，提出纠正意见；</w:t>
      </w:r>
    </w:p>
    <w:p w14:paraId="2BF928EA">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（五）超出本机关管辖范围或涉嫌犯罪的，提出移送意见。</w:t>
      </w:r>
    </w:p>
    <w:p w14:paraId="69C50B07">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第十</w:t>
      </w:r>
      <w:r>
        <w:rPr>
          <w:rFonts w:hint="eastAsia" w:ascii="仿宋_GB2312" w:hAnsi="仿宋_GB2312" w:eastAsia="仿宋_GB2312"/>
          <w:color w:val="000000" w:themeColor="text1"/>
          <w:sz w:val="32"/>
          <w:lang w:eastAsia="zh-CN"/>
          <w14:textFill>
            <w14:solidFill>
              <w14:schemeClr w14:val="tx1"/>
            </w14:solidFill>
          </w14:textFill>
        </w:rPr>
        <w:t>三</w:t>
      </w:r>
      <w:r>
        <w:rPr>
          <w:rFonts w:hint="eastAsia" w:ascii="仿宋_GB2312" w:hAnsi="仿宋_GB2312" w:eastAsia="仿宋_GB2312"/>
          <w:color w:val="000000" w:themeColor="text1"/>
          <w:sz w:val="32"/>
          <w14:textFill>
            <w14:solidFill>
              <w14:schemeClr w14:val="tx1"/>
            </w14:solidFill>
          </w14:textFill>
        </w:rPr>
        <w:t xml:space="preserve">条 </w:t>
      </w: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在收到重大行政执法决定送审材料后，应在7个工作日内审核完毕。案件复杂的，经</w:t>
      </w:r>
      <w:r>
        <w:rPr>
          <w:rFonts w:hint="eastAsia" w:ascii="仿宋_GB2312" w:hAnsi="仿宋_GB2312" w:eastAsia="仿宋_GB2312"/>
          <w:color w:val="000000" w:themeColor="text1"/>
          <w:sz w:val="32"/>
          <w:lang w:eastAsia="zh-CN"/>
          <w14:textFill>
            <w14:solidFill>
              <w14:schemeClr w14:val="tx1"/>
            </w14:solidFill>
          </w14:textFill>
        </w:rPr>
        <w:t>本机关</w:t>
      </w:r>
      <w:r>
        <w:rPr>
          <w:rFonts w:hint="eastAsia" w:ascii="仿宋_GB2312" w:hAnsi="仿宋_GB2312" w:eastAsia="仿宋_GB2312"/>
          <w:color w:val="000000" w:themeColor="text1"/>
          <w:sz w:val="32"/>
          <w14:textFill>
            <w14:solidFill>
              <w14:schemeClr w14:val="tx1"/>
            </w14:solidFill>
          </w14:textFill>
        </w:rPr>
        <w:t>负责人批准可以延长5个工作日。</w:t>
      </w:r>
    </w:p>
    <w:p w14:paraId="42615D1C">
      <w:pPr>
        <w:widowControl w:val="0"/>
        <w:spacing w:line="598" w:lineRule="atLeast"/>
        <w:ind w:firstLine="639" w:firstLineChars="0"/>
        <w:rPr>
          <w:rFonts w:hint="eastAsia" w:ascii="仿宋_GB2312" w:hAnsi="仿宋_GB2312" w:eastAsia="仿宋_GB2312"/>
          <w:color w:val="000000" w:themeColor="text1"/>
          <w:sz w:val="32"/>
          <w14:textFill>
            <w14:solidFill>
              <w14:schemeClr w14:val="tx1"/>
            </w14:solidFill>
          </w14:textFill>
        </w:rPr>
      </w:pPr>
      <w:r>
        <w:rPr>
          <w:rFonts w:hint="eastAsia" w:ascii="仿宋_GB2312" w:hAnsi="仿宋_GB2312" w:eastAsia="仿宋_GB2312"/>
          <w:color w:val="000000" w:themeColor="text1"/>
          <w:sz w:val="32"/>
          <w14:textFill>
            <w14:solidFill>
              <w14:schemeClr w14:val="tx1"/>
            </w14:solidFill>
          </w14:textFill>
        </w:rPr>
        <w:t>第十</w:t>
      </w:r>
      <w:r>
        <w:rPr>
          <w:rFonts w:hint="eastAsia" w:ascii="仿宋_GB2312" w:hAnsi="仿宋_GB2312" w:eastAsia="仿宋_GB2312"/>
          <w:color w:val="000000" w:themeColor="text1"/>
          <w:sz w:val="32"/>
          <w:lang w:eastAsia="zh-CN"/>
          <w14:textFill>
            <w14:solidFill>
              <w14:schemeClr w14:val="tx1"/>
            </w14:solidFill>
          </w14:textFill>
        </w:rPr>
        <w:t>四</w:t>
      </w:r>
      <w:r>
        <w:rPr>
          <w:rFonts w:hint="eastAsia" w:ascii="仿宋_GB2312" w:hAnsi="仿宋_GB2312" w:eastAsia="仿宋_GB2312"/>
          <w:color w:val="000000" w:themeColor="text1"/>
          <w:sz w:val="32"/>
          <w14:textFill>
            <w14:solidFill>
              <w14:schemeClr w14:val="tx1"/>
            </w14:solidFill>
          </w14:textFill>
        </w:rPr>
        <w:t xml:space="preserve">条 </w:t>
      </w: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对法制</w:t>
      </w:r>
      <w:r>
        <w:rPr>
          <w:rFonts w:hint="eastAsia" w:ascii="仿宋_GB2312" w:hAnsi="仿宋_GB2312" w:eastAsia="仿宋_GB2312"/>
          <w:color w:val="000000" w:themeColor="text1"/>
          <w:sz w:val="32"/>
          <w:lang w:eastAsia="zh-CN"/>
          <w14:textFill>
            <w14:solidFill>
              <w14:schemeClr w14:val="tx1"/>
            </w14:solidFill>
          </w14:textFill>
        </w:rPr>
        <w:t>科</w:t>
      </w:r>
      <w:r>
        <w:rPr>
          <w:rFonts w:hint="eastAsia" w:ascii="仿宋_GB2312" w:hAnsi="仿宋_GB2312" w:eastAsia="仿宋_GB2312"/>
          <w:color w:val="000000" w:themeColor="text1"/>
          <w:sz w:val="32"/>
          <w14:textFill>
            <w14:solidFill>
              <w14:schemeClr w14:val="tx1"/>
            </w14:solidFill>
          </w14:textFill>
        </w:rPr>
        <w:t>审核意见和建议应当研究采纳；有异议的应当与法制</w:t>
      </w:r>
      <w:r>
        <w:rPr>
          <w:rFonts w:hint="eastAsia" w:ascii="仿宋_GB2312" w:hAnsi="仿宋_GB2312" w:eastAsia="仿宋_GB2312"/>
          <w:color w:val="000000" w:themeColor="text1"/>
          <w:sz w:val="32"/>
          <w:lang w:eastAsia="zh-CN"/>
          <w14:textFill>
            <w14:solidFill>
              <w14:schemeClr w14:val="tx1"/>
            </w14:solidFill>
          </w14:textFill>
        </w:rPr>
        <w:t>科</w:t>
      </w:r>
      <w:r>
        <w:rPr>
          <w:rFonts w:hint="eastAsia" w:ascii="仿宋_GB2312" w:hAnsi="仿宋_GB2312" w:eastAsia="仿宋_GB2312"/>
          <w:color w:val="000000" w:themeColor="text1"/>
          <w:sz w:val="32"/>
          <w14:textFill>
            <w14:solidFill>
              <w14:schemeClr w14:val="tx1"/>
            </w14:solidFill>
          </w14:textFill>
        </w:rPr>
        <w:t>协商沟通，经沟通达不成一致意见的，将双方意见一并报送</w:t>
      </w:r>
      <w:r>
        <w:rPr>
          <w:rFonts w:hint="eastAsia" w:ascii="仿宋_GB2312" w:hAnsi="仿宋_GB2312" w:eastAsia="仿宋_GB2312"/>
          <w:color w:val="000000" w:themeColor="text1"/>
          <w:sz w:val="32"/>
          <w:lang w:eastAsia="zh-CN"/>
          <w14:textFill>
            <w14:solidFill>
              <w14:schemeClr w14:val="tx1"/>
            </w14:solidFill>
          </w14:textFill>
        </w:rPr>
        <w:t>本机关</w:t>
      </w:r>
      <w:r>
        <w:rPr>
          <w:rFonts w:hint="eastAsia" w:ascii="仿宋_GB2312" w:hAnsi="仿宋_GB2312" w:eastAsia="仿宋_GB2312"/>
          <w:color w:val="000000" w:themeColor="text1"/>
          <w:sz w:val="32"/>
          <w14:textFill>
            <w14:solidFill>
              <w14:schemeClr w14:val="tx1"/>
            </w14:solidFill>
          </w14:textFill>
        </w:rPr>
        <w:t>负责人处理。</w:t>
      </w:r>
    </w:p>
    <w:p w14:paraId="0880368C">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color w:val="000000" w:themeColor="text1"/>
          <w:sz w:val="32"/>
          <w14:textFill>
            <w14:solidFill>
              <w14:schemeClr w14:val="tx1"/>
            </w14:solidFill>
          </w14:textFill>
        </w:rPr>
        <w:t>第十</w:t>
      </w:r>
      <w:r>
        <w:rPr>
          <w:rFonts w:hint="eastAsia" w:ascii="仿宋_GB2312" w:hAnsi="仿宋_GB2312" w:eastAsia="仿宋_GB2312"/>
          <w:color w:val="000000" w:themeColor="text1"/>
          <w:sz w:val="32"/>
          <w:lang w:eastAsia="zh-CN"/>
          <w14:textFill>
            <w14:solidFill>
              <w14:schemeClr w14:val="tx1"/>
            </w14:solidFill>
          </w14:textFill>
        </w:rPr>
        <w:t>五</w:t>
      </w:r>
      <w:r>
        <w:rPr>
          <w:rFonts w:hint="eastAsia" w:ascii="仿宋_GB2312" w:hAnsi="仿宋_GB2312" w:eastAsia="仿宋_GB2312"/>
          <w:color w:val="000000" w:themeColor="text1"/>
          <w:sz w:val="32"/>
          <w14:textFill>
            <w14:solidFill>
              <w14:schemeClr w14:val="tx1"/>
            </w14:solidFill>
          </w14:textFill>
        </w:rPr>
        <w:t>条 重大行政执法案件经法制</w:t>
      </w:r>
      <w:r>
        <w:rPr>
          <w:rFonts w:hint="eastAsia" w:ascii="仿宋_GB2312" w:hAnsi="仿宋_GB2312" w:eastAsia="仿宋_GB2312"/>
          <w:sz w:val="32"/>
          <w:lang w:eastAsia="zh-CN"/>
        </w:rPr>
        <w:t>科</w:t>
      </w:r>
      <w:r>
        <w:rPr>
          <w:rFonts w:hint="eastAsia" w:ascii="仿宋_GB2312" w:hAnsi="仿宋_GB2312" w:eastAsia="仿宋_GB2312"/>
          <w:sz w:val="32"/>
        </w:rPr>
        <w:t>审核后，提交</w:t>
      </w:r>
      <w:r>
        <w:rPr>
          <w:rFonts w:hint="eastAsia" w:ascii="仿宋_GB2312" w:hAnsi="仿宋_GB2312" w:eastAsia="仿宋_GB2312"/>
          <w:sz w:val="32"/>
          <w:lang w:eastAsia="zh-CN"/>
        </w:rPr>
        <w:t>本机关</w:t>
      </w:r>
      <w:r>
        <w:rPr>
          <w:rFonts w:hint="eastAsia" w:ascii="仿宋_GB2312" w:hAnsi="仿宋_GB2312" w:eastAsia="仿宋_GB2312"/>
          <w:sz w:val="32"/>
        </w:rPr>
        <w:t>负责人集体讨论决定。法制审核未通过的，不得作出决定。</w:t>
      </w:r>
    </w:p>
    <w:p w14:paraId="29F26CFE">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w:t>
      </w:r>
      <w:r>
        <w:rPr>
          <w:rFonts w:hint="eastAsia" w:ascii="仿宋_GB2312" w:hAnsi="仿宋_GB2312" w:eastAsia="仿宋_GB2312"/>
          <w:sz w:val="32"/>
          <w:lang w:eastAsia="zh-CN"/>
        </w:rPr>
        <w:t>六</w:t>
      </w:r>
      <w:r>
        <w:rPr>
          <w:rFonts w:hint="eastAsia" w:ascii="仿宋_GB2312" w:hAnsi="仿宋_GB2312" w:eastAsia="仿宋_GB2312"/>
          <w:sz w:val="32"/>
        </w:rPr>
        <w:t xml:space="preserve">条 </w:t>
      </w:r>
      <w:r>
        <w:rPr>
          <w:rFonts w:hint="eastAsia" w:ascii="仿宋_GB2312" w:hAnsi="仿宋_GB2312" w:eastAsia="仿宋_GB2312"/>
          <w:color w:val="000000" w:themeColor="text1"/>
          <w:sz w:val="32"/>
          <w:lang w:val="en-US" w:eastAsia="zh-CN"/>
          <w14:textFill>
            <w14:solidFill>
              <w14:schemeClr w14:val="tx1"/>
            </w14:solidFill>
          </w14:textFill>
        </w:rPr>
        <w:t>我乡镇政府</w:t>
      </w:r>
      <w:r>
        <w:rPr>
          <w:rFonts w:hint="eastAsia" w:ascii="仿宋_GB2312" w:hAnsi="仿宋_GB2312" w:eastAsia="仿宋_GB2312"/>
          <w:color w:val="000000" w:themeColor="text1"/>
          <w:sz w:val="32"/>
          <w:lang w:eastAsia="zh-CN"/>
          <w14:textFill>
            <w14:solidFill>
              <w14:schemeClr w14:val="tx1"/>
            </w14:solidFill>
          </w14:textFill>
        </w:rPr>
        <w:t>执法科室</w:t>
      </w:r>
      <w:r>
        <w:rPr>
          <w:rFonts w:hint="eastAsia" w:ascii="仿宋_GB2312" w:hAnsi="仿宋_GB2312" w:eastAsia="仿宋_GB2312"/>
          <w:color w:val="000000" w:themeColor="text1"/>
          <w:sz w:val="32"/>
          <w14:textFill>
            <w14:solidFill>
              <w14:schemeClr w14:val="tx1"/>
            </w14:solidFill>
          </w14:textFill>
        </w:rPr>
        <w:t>对本</w:t>
      </w:r>
      <w:r>
        <w:rPr>
          <w:rFonts w:hint="eastAsia" w:ascii="仿宋_GB2312" w:hAnsi="仿宋_GB2312" w:eastAsia="仿宋_GB2312"/>
          <w:sz w:val="32"/>
        </w:rPr>
        <w:t>机关执行重大行政执法决定法制审核制度作具体规定，细化审核范围，优化审核流程，提高审核质量。</w:t>
      </w:r>
    </w:p>
    <w:p w14:paraId="52B75CED">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w:t>
      </w:r>
      <w:r>
        <w:rPr>
          <w:rFonts w:hint="eastAsia" w:ascii="仿宋_GB2312" w:hAnsi="仿宋_GB2312" w:eastAsia="仿宋_GB2312"/>
          <w:sz w:val="32"/>
          <w:lang w:eastAsia="zh-CN"/>
        </w:rPr>
        <w:t>七</w:t>
      </w:r>
      <w:r>
        <w:rPr>
          <w:rFonts w:hint="eastAsia" w:ascii="仿宋_GB2312" w:hAnsi="仿宋_GB2312" w:eastAsia="仿宋_GB2312"/>
          <w:sz w:val="32"/>
        </w:rPr>
        <w:t>条 建立健全考核制度，加强对重大行政执法决定法制审核情况的监督检查，并将监督检查情况纳入依法行政考核的主要内容。</w:t>
      </w:r>
    </w:p>
    <w:p w14:paraId="756D7F14">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第十</w:t>
      </w:r>
      <w:r>
        <w:rPr>
          <w:rFonts w:hint="eastAsia" w:ascii="仿宋_GB2312" w:hAnsi="仿宋_GB2312" w:eastAsia="仿宋_GB2312"/>
          <w:sz w:val="32"/>
          <w:lang w:eastAsia="zh-CN"/>
        </w:rPr>
        <w:t>八</w:t>
      </w:r>
      <w:r>
        <w:rPr>
          <w:rFonts w:hint="eastAsia" w:ascii="仿宋_GB2312" w:hAnsi="仿宋_GB2312" w:eastAsia="仿宋_GB2312"/>
          <w:sz w:val="32"/>
        </w:rPr>
        <w:t xml:space="preserve">条 </w:t>
      </w:r>
      <w:r>
        <w:rPr>
          <w:rFonts w:hint="eastAsia" w:ascii="仿宋_GB2312" w:hAnsi="仿宋_GB2312" w:eastAsia="仿宋_GB2312"/>
          <w:sz w:val="32"/>
          <w:lang w:eastAsia="zh-CN"/>
        </w:rPr>
        <w:t>行政执法人员</w:t>
      </w:r>
      <w:r>
        <w:rPr>
          <w:rFonts w:hint="eastAsia" w:ascii="仿宋_GB2312" w:hAnsi="仿宋_GB2312" w:eastAsia="仿宋_GB2312"/>
          <w:sz w:val="32"/>
        </w:rPr>
        <w:t>、法制</w:t>
      </w:r>
      <w:r>
        <w:rPr>
          <w:rFonts w:hint="eastAsia" w:ascii="仿宋_GB2312" w:hAnsi="仿宋_GB2312" w:eastAsia="仿宋_GB2312"/>
          <w:sz w:val="32"/>
          <w:lang w:eastAsia="zh-CN"/>
        </w:rPr>
        <w:t>科</w:t>
      </w:r>
      <w:r>
        <w:rPr>
          <w:rFonts w:hint="eastAsia" w:ascii="仿宋_GB2312" w:hAnsi="仿宋_GB2312" w:eastAsia="仿宋_GB2312"/>
          <w:sz w:val="32"/>
        </w:rPr>
        <w:t>的审核人员以及作出行政执法决定的负责人因不履行或者不正确履行职责，导致行政执法决定错误，情节严重的，按照《河北省行政执法过错责任追究办法》追究相关人员的责任。</w:t>
      </w:r>
    </w:p>
    <w:p w14:paraId="65BBE0A8">
      <w:pPr>
        <w:widowControl w:val="0"/>
        <w:spacing w:line="598" w:lineRule="atLeast"/>
        <w:ind w:firstLine="639" w:firstLineChars="0"/>
        <w:rPr>
          <w:rFonts w:hint="eastAsia" w:ascii="仿宋_GB2312" w:hAnsi="仿宋_GB2312" w:eastAsia="仿宋_GB2312"/>
          <w:sz w:val="32"/>
        </w:rPr>
      </w:pPr>
      <w:r>
        <w:rPr>
          <w:rFonts w:hint="eastAsia" w:ascii="仿宋_GB2312" w:hAnsi="仿宋_GB2312" w:eastAsia="仿宋_GB2312"/>
          <w:sz w:val="32"/>
        </w:rPr>
        <w:t>第</w:t>
      </w:r>
      <w:r>
        <w:rPr>
          <w:rFonts w:hint="eastAsia" w:ascii="仿宋_GB2312" w:hAnsi="仿宋_GB2312" w:eastAsia="仿宋_GB2312"/>
          <w:sz w:val="32"/>
          <w:lang w:eastAsia="zh-CN"/>
        </w:rPr>
        <w:t>十九</w:t>
      </w:r>
      <w:r>
        <w:rPr>
          <w:rFonts w:hint="eastAsia" w:ascii="仿宋_GB2312" w:hAnsi="仿宋_GB2312" w:eastAsia="仿宋_GB2312"/>
          <w:sz w:val="32"/>
        </w:rPr>
        <w:t>条 本办法自</w:t>
      </w:r>
      <w:r>
        <w:rPr>
          <w:rFonts w:hint="eastAsia" w:ascii="仿宋_GB2312" w:hAnsi="仿宋_GB2312" w:eastAsia="仿宋_GB2312"/>
          <w:sz w:val="32"/>
          <w:lang w:eastAsia="zh-CN"/>
        </w:rPr>
        <w:t>发布之日</w:t>
      </w:r>
      <w:r>
        <w:rPr>
          <w:rFonts w:hint="eastAsia" w:ascii="仿宋_GB2312" w:hAnsi="仿宋_GB2312" w:eastAsia="仿宋_GB2312"/>
          <w:sz w:val="32"/>
        </w:rPr>
        <w:t>起施行。</w:t>
      </w:r>
    </w:p>
    <w:p w14:paraId="06AABFA2">
      <w:pPr>
        <w:widowControl w:val="0"/>
        <w:spacing w:line="598" w:lineRule="atLeast"/>
        <w:ind w:firstLine="639" w:firstLineChars="0"/>
        <w:rPr>
          <w:rFonts w:hint="eastAsia" w:ascii="仿宋_GB2312" w:hAnsi="仿宋_GB2312" w:eastAsia="仿宋_GB2312"/>
          <w:sz w:val="32"/>
        </w:rPr>
      </w:pPr>
    </w:p>
    <w:p w14:paraId="04CA75E9">
      <w:pPr>
        <w:widowControl w:val="0"/>
        <w:rPr>
          <w:rFonts w:hint="eastAsia" w:ascii="仿宋_GB2312" w:hAnsi="仿宋_GB2312" w:eastAsia="仿宋_GB2312"/>
          <w:sz w:val="32"/>
        </w:rPr>
      </w:pPr>
    </w:p>
    <w:p w14:paraId="1ECA719B"/>
    <w:sectPr>
      <w:headerReference r:id="rId5" w:type="default"/>
      <w:footerReference r:id="rId7" w:type="default"/>
      <w:headerReference r:id="rId6" w:type="even"/>
      <w:footerReference r:id="rId8" w:type="even"/>
      <w:footnotePr>
        <w:numFmt w:val="decimalHalfWidth"/>
      </w:footnotePr>
      <w:endnotePr>
        <w:numFmt w:val="chineseCounting"/>
      </w:endnotePr>
      <w:pgSz w:w="11905" w:h="16837"/>
      <w:pgMar w:top="1587" w:right="1474" w:bottom="1587" w:left="1474" w:header="566" w:footer="566"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FA265A">
    <w:pPr>
      <w:spacing w:line="1" w:lineRule="atLeast"/>
    </w:pPr>
    <w:r>
      <mc:AlternateContent>
        <mc:Choice Requires="wps">
          <w:drawing>
            <wp:anchor distT="0" distB="0" distL="114300" distR="114300" simplePos="0" relativeHeight="251663360" behindDoc="0" locked="1" layoutInCell="1" allowOverlap="1">
              <wp:simplePos x="0" y="0"/>
              <wp:positionH relativeFrom="column">
                <wp:posOffset>0</wp:posOffset>
              </wp:positionH>
              <wp:positionV relativeFrom="paragraph">
                <wp:posOffset>0</wp:posOffset>
              </wp:positionV>
              <wp:extent cx="5687695" cy="6477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14:paraId="33857C41">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63360;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KiFPAPEAQAAewMAAA4AAAAAAAAAAQAgAAAAJQEAAGRycy9lMm9E&#10;b2MueG1sUEsFBgAAAAAGAAYAWQEAAFsFAAAAAA==&#10;">
              <v:fill on="f" focussize="0,0"/>
              <v:stroke on="f" weight="0.566929133858268pt"/>
              <v:imagedata o:title=""/>
              <o:lock v:ext="edit" aspectratio="f"/>
              <v:textbox inset="0mm,0mm,0mm,0mm">
                <w:txbxContent>
                  <w:p w14:paraId="33857C41">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v:textbox>
              <w10:anchorlock/>
            </v:shape>
          </w:pict>
        </mc:Fallback>
      </mc:AlternateContent>
    </w:r>
    <w:r>
      <mc:AlternateContent>
        <mc:Choice Requires="wps">
          <w:drawing>
            <wp:inline distT="0" distB="0" distL="114300" distR="114300">
              <wp:extent cx="5687695" cy="647700"/>
              <wp:effectExtent l="0" t="0" r="0" b="0"/>
              <wp:docPr id="4" name="矩形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2O3yH1wAAAAUBAAAPAAAAAAAAAAEAIAAAACIAAABkcnMvZG93bnJldi54bWxQSwEC&#10;FAAUAAAACACHTuJA/krxG7wBAABrAwAADgAAAAAAAAABACAAAAAmAQAAZHJzL2Uyb0RvYy54bWxQ&#10;SwUGAAAAAAYABgBZAQAAVAU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687EE9">
    <w:pPr>
      <w:spacing w:line="1" w:lineRule="atLeast"/>
    </w:pPr>
    <w:r>
      <mc:AlternateContent>
        <mc:Choice Requires="wps">
          <w:drawing>
            <wp:anchor distT="0" distB="0" distL="114300" distR="114300" simplePos="0" relativeHeight="251662336" behindDoc="0" locked="1" layoutInCell="1" allowOverlap="1">
              <wp:simplePos x="0" y="0"/>
              <wp:positionH relativeFrom="column">
                <wp:posOffset>0</wp:posOffset>
              </wp:positionH>
              <wp:positionV relativeFrom="paragraph">
                <wp:posOffset>0</wp:posOffset>
              </wp:positionV>
              <wp:extent cx="5687695" cy="6477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14:paraId="6B48630E">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62336;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AILlivEAQAAewMAAA4AAAAAAAAAAQAgAAAAJQEAAGRycy9lMm9E&#10;b2MueG1sUEsFBgAAAAAGAAYAWQEAAFsFAAAAAA==&#10;">
              <v:fill on="f" focussize="0,0"/>
              <v:stroke on="f" weight="0.566929133858268pt"/>
              <v:imagedata o:title=""/>
              <o:lock v:ext="edit" aspectratio="f"/>
              <v:textbox inset="0mm,0mm,0mm,0mm">
                <w:txbxContent>
                  <w:p w14:paraId="6B48630E">
                    <w:pPr>
                      <w:widowControl w:val="0"/>
                      <w:spacing w:line="334" w:lineRule="atLeast"/>
                      <w:ind w:firstLine="0"/>
                      <w:jc w:val="center"/>
                      <w:rPr>
                        <w:rFonts w:hint="eastAsia"/>
                        <w:sz w:val="21"/>
                      </w:rPr>
                    </w:pPr>
                    <w:r>
                      <w:rPr>
                        <w:rFonts w:hint="eastAsia"/>
                        <w:sz w:val="21"/>
                      </w:rPr>
                      <w:t>－</w:t>
                    </w:r>
                    <w:r>
                      <w:rPr>
                        <w:rFonts w:hint="eastAsia"/>
                        <w:sz w:val="21"/>
                      </w:rPr>
                      <w:fldChar w:fldCharType="begin"/>
                    </w:r>
                    <w:r>
                      <w:rPr>
                        <w:rFonts w:hint="eastAsia"/>
                        <w:sz w:val="21"/>
                      </w:rPr>
                      <w:instrText xml:space="preserve"> PAGE \* DBCHAR \* MERGEFORMAT </w:instrText>
                    </w:r>
                    <w:r>
                      <w:rPr>
                        <w:rFonts w:hint="eastAsia"/>
                        <w:sz w:val="21"/>
                      </w:rPr>
                      <w:fldChar w:fldCharType="separate"/>
                    </w:r>
                    <w:r>
                      <w:rPr>
                        <w:rFonts w:hint="eastAsia"/>
                        <w:sz w:val="21"/>
                      </w:rPr>
                      <w:t>?</w:t>
                    </w:r>
                    <w:r>
                      <w:rPr>
                        <w:rFonts w:hint="eastAsia"/>
                        <w:sz w:val="21"/>
                      </w:rPr>
                      <w:fldChar w:fldCharType="end"/>
                    </w:r>
                    <w:r>
                      <w:rPr>
                        <w:rFonts w:hint="eastAsia"/>
                        <w:sz w:val="21"/>
                      </w:rPr>
                      <w:t>－</w:t>
                    </w:r>
                  </w:p>
                </w:txbxContent>
              </v:textbox>
              <w10:anchorlock/>
            </v:shape>
          </w:pict>
        </mc:Fallback>
      </mc:AlternateContent>
    </w:r>
    <w:r>
      <mc:AlternateContent>
        <mc:Choice Requires="wps">
          <w:drawing>
            <wp:inline distT="0" distB="0" distL="114300" distR="114300">
              <wp:extent cx="5687695" cy="647700"/>
              <wp:effectExtent l="0" t="0" r="0" b="0"/>
              <wp:docPr id="8" name="矩形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2O3yH1wAAAAUBAAAPAAAAAAAAAAEAIAAAACIAAABkcnMvZG93bnJldi54bWxQSwEC&#10;FAAUAAAACACHTuJAE+SOarwBAABrAwAADgAAAAAAAAABACAAAAAmAQAAZHJzL2Uyb0RvYy54bWxQ&#10;SwUGAAAAAAYABgBZAQAAVAUAAAAA&#10;">
              <v:fill on="f" focussize="0,0"/>
              <v:stroke on="f"/>
              <v:imagedata o:title=""/>
              <o:lock v:ext="edit" aspectratio="t"/>
              <w10:wrap type="none"/>
              <w10:anchorlock/>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22D60">
    <w:pPr>
      <w:spacing w:line="1" w:lineRule="atLeast"/>
    </w:pPr>
    <w:r>
      <mc:AlternateContent>
        <mc:Choice Requires="wps">
          <w:drawing>
            <wp:anchor distT="0" distB="0" distL="114300" distR="114300" simplePos="0" relativeHeight="251661312" behindDoc="0" locked="1" layoutInCell="1" allowOverlap="1">
              <wp:simplePos x="0" y="0"/>
              <wp:positionH relativeFrom="column">
                <wp:posOffset>0</wp:posOffset>
              </wp:positionH>
              <wp:positionV relativeFrom="paragraph">
                <wp:posOffset>0</wp:posOffset>
              </wp:positionV>
              <wp:extent cx="5687695" cy="647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14:paraId="740D986F">
                          <w:pPr>
                            <w:widowControl w:val="0"/>
                            <w:spacing w:line="334" w:lineRule="atLeast"/>
                            <w:ind w:firstLine="0"/>
                            <w:rPr>
                              <w:rFonts w:hint="eastAsia"/>
                              <w:sz w:val="21"/>
                            </w:rPr>
                          </w:pP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61312;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P3CaRfEAQAAewMAAA4AAAAAAAAAAQAgAAAAJQEAAGRycy9lMm9E&#10;b2MueG1sUEsFBgAAAAAGAAYAWQEAAFsFAAAAAA==&#10;">
              <v:fill on="f" focussize="0,0"/>
              <v:stroke on="f" weight="0.566929133858268pt"/>
              <v:imagedata o:title=""/>
              <o:lock v:ext="edit" aspectratio="f"/>
              <v:textbox inset="0mm,0mm,0mm,0mm">
                <w:txbxContent>
                  <w:p w14:paraId="740D986F">
                    <w:pPr>
                      <w:widowControl w:val="0"/>
                      <w:spacing w:line="334" w:lineRule="atLeast"/>
                      <w:ind w:firstLine="0"/>
                      <w:rPr>
                        <w:rFonts w:hint="eastAsia"/>
                        <w:sz w:val="21"/>
                      </w:rPr>
                    </w:pPr>
                  </w:p>
                </w:txbxContent>
              </v:textbox>
              <w10:anchorlock/>
            </v:shape>
          </w:pict>
        </mc:Fallback>
      </mc:AlternateContent>
    </w:r>
    <w:r>
      <mc:AlternateContent>
        <mc:Choice Requires="wps">
          <w:drawing>
            <wp:inline distT="0" distB="0" distL="114300" distR="114300">
              <wp:extent cx="5687695" cy="647700"/>
              <wp:effectExtent l="0" t="0" r="0" b="0"/>
              <wp:docPr id="2" name="矩形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2O3yH1wAAAAUBAAAPAAAAAAAAAAEAIAAAACIAAABkcnMvZG93bnJldi54bWxQSwEC&#10;FAAUAAAACACHTuJAqB72zrwBAABrAwAADgAAAAAAAAABACAAAAAmAQAAZHJzL2Uyb0RvYy54bWxQ&#10;SwUGAAAAAAYABgBZAQAAVAUAAAAA&#10;">
              <v:fill on="f" focussize="0,0"/>
              <v:stroke on="f"/>
              <v:imagedata o:title=""/>
              <o:lock v:ext="edit" aspectratio="t"/>
              <w10:wrap type="none"/>
              <w10:anchorlock/>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E5647C">
    <w:pPr>
      <w:spacing w:line="1" w:lineRule="atLeast"/>
    </w:pPr>
    <w:r>
      <mc:AlternateContent>
        <mc:Choice Requires="wps">
          <w:drawing>
            <wp:anchor distT="0" distB="0" distL="114300" distR="114300" simplePos="0" relativeHeight="251660288" behindDoc="0" locked="1" layoutInCell="1" allowOverlap="1">
              <wp:simplePos x="0" y="0"/>
              <wp:positionH relativeFrom="column">
                <wp:posOffset>0</wp:posOffset>
              </wp:positionH>
              <wp:positionV relativeFrom="paragraph">
                <wp:posOffset>0</wp:posOffset>
              </wp:positionV>
              <wp:extent cx="5687695" cy="6477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5687695" cy="647700"/>
                      </a:xfrm>
                      <a:prstGeom prst="rect">
                        <a:avLst/>
                      </a:prstGeom>
                      <a:noFill/>
                      <a:ln w="7200">
                        <a:noFill/>
                      </a:ln>
                    </wps:spPr>
                    <wps:txbx>
                      <w:txbxContent>
                        <w:p w14:paraId="7BB959E3">
                          <w:pPr>
                            <w:widowControl w:val="0"/>
                            <w:spacing w:line="334" w:lineRule="atLeast"/>
                            <w:ind w:firstLine="0"/>
                            <w:rPr>
                              <w:rFonts w:hint="eastAsia"/>
                              <w:sz w:val="21"/>
                            </w:rPr>
                          </w:pPr>
                        </w:p>
                      </w:txbxContent>
                    </wps:txbx>
                    <wps:bodyPr lIns="0" tIns="0" rIns="0" bIns="0" upright="1"/>
                  </wps:wsp>
                </a:graphicData>
              </a:graphic>
            </wp:anchor>
          </w:drawing>
        </mc:Choice>
        <mc:Fallback>
          <w:pict>
            <v:shape id="_x0000_s1026" o:spid="_x0000_s1026" o:spt="202" type="#_x0000_t202" style="position:absolute;left:0pt;margin-left:0pt;margin-top:0pt;height:51pt;width:447.85pt;z-index:251660288;mso-width-relative:page;mso-height-relative:page;" filled="f" stroked="f" coordsize="21600,21600" o:gfxdata="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pGC5yNYAAAAFAQAADwAAAAAAAAABACAAAAAiAAAAZHJzL2Rvd25yZXYu&#10;eG1sUEsBAhQAFAAAAAgAh07iQFdMwz/EAQAAewMAAA4AAAAAAAAAAQAgAAAAJQEAAGRycy9lMm9E&#10;b2MueG1sUEsFBgAAAAAGAAYAWQEAAFsFAAAAAA==&#10;">
              <v:fill on="f" focussize="0,0"/>
              <v:stroke on="f" weight="0.566929133858268pt"/>
              <v:imagedata o:title=""/>
              <o:lock v:ext="edit" aspectratio="f"/>
              <v:textbox inset="0mm,0mm,0mm,0mm">
                <w:txbxContent>
                  <w:p w14:paraId="7BB959E3">
                    <w:pPr>
                      <w:widowControl w:val="0"/>
                      <w:spacing w:line="334" w:lineRule="atLeast"/>
                      <w:ind w:firstLine="0"/>
                      <w:rPr>
                        <w:rFonts w:hint="eastAsia"/>
                        <w:sz w:val="21"/>
                      </w:rPr>
                    </w:pPr>
                  </w:p>
                </w:txbxContent>
              </v:textbox>
              <w10:anchorlock/>
            </v:shape>
          </w:pict>
        </mc:Fallback>
      </mc:AlternateContent>
    </w:r>
    <w:r>
      <mc:AlternateContent>
        <mc:Choice Requires="wps">
          <w:drawing>
            <wp:inline distT="0" distB="0" distL="114300" distR="114300">
              <wp:extent cx="5687695" cy="647700"/>
              <wp:effectExtent l="0" t="0" r="0" b="0"/>
              <wp:docPr id="6" name="矩形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87695" cy="647700"/>
                      </a:xfrm>
                      <a:prstGeom prst="rect">
                        <a:avLst/>
                      </a:prstGeom>
                      <a:noFill/>
                      <a:ln w="9525">
                        <a:noFill/>
                      </a:ln>
                    </wps:spPr>
                    <wps:bodyPr upright="1"/>
                  </wps:wsp>
                </a:graphicData>
              </a:graphic>
            </wp:inline>
          </w:drawing>
        </mc:Choice>
        <mc:Fallback>
          <w:pict>
            <v:rect id="_x0000_s1026" o:spid="_x0000_s1026" o:spt="1" style="height:51pt;width:447.85pt;" filled="f" stroked="f" coordsize="21600,21600" o:gfxdata="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PY7fIfXAAAABQEAAA8AAAAAAAAAAQAgAAAAIgAAAGRycy9kb3ducmV2LnhtbFBLAQIU&#10;ABQAAAAIAIdO4kDzhNzhuwEAAGsDAAAOAAAAAAAAAAEAIAAAACYBAABkcnMvZTJvRG9jLnhtbFBL&#10;BQYAAAAABgAGAFkBAABTBQAAAAA=&#10;">
              <v:fill on="f" focussize="0,0"/>
              <v:stroke on="f"/>
              <v:imagedata o:title=""/>
              <o:lock v:ext="edit" aspectratio="t"/>
              <w10:wrap type="none"/>
              <w10:anchorlock/>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numFmt w:val="decimalHalfWidth"/>
    <w:footnote w:id="0"/>
    <w:footnote w:id="1"/>
  </w:footnotePr>
  <w:endnotePr>
    <w:numFmt w:val="chineseCounting"/>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VkMjZjZDg4MmVjMGZiMWNmYjdjNWU0MDQ4ODJiYTMifQ=="/>
  </w:docVars>
  <w:rsids>
    <w:rsidRoot w:val="6ABB20C0"/>
    <w:rsid w:val="298C4F18"/>
    <w:rsid w:val="2D26085E"/>
    <w:rsid w:val="36DD34C1"/>
    <w:rsid w:val="3E040D4B"/>
    <w:rsid w:val="3F0C172A"/>
    <w:rsid w:val="43A94F49"/>
    <w:rsid w:val="483938E3"/>
    <w:rsid w:val="524336FE"/>
    <w:rsid w:val="6ABB20C0"/>
    <w:rsid w:val="6F2F1456"/>
    <w:rsid w:val="71872157"/>
    <w:rsid w:val="762F68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spacing w:before="0" w:beforeLines="0" w:after="0" w:afterLines="0" w:line="365" w:lineRule="atLeast"/>
      <w:ind w:left="1" w:right="0" w:firstLine="0" w:firstLineChars="0"/>
      <w:jc w:val="both"/>
      <w:textAlignment w:val="bottom"/>
    </w:pPr>
    <w:rPr>
      <w:rFonts w:ascii="Times New Roman" w:hAnsi="Times New Roman" w:eastAsia="宋体" w:cs="Times New Roman"/>
    </w:rPr>
  </w:style>
  <w:style w:type="character" w:default="1" w:styleId="3">
    <w:name w:val="Default Paragraph Font"/>
    <w:autoRedefine/>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1830</Words>
  <Characters>1832</Characters>
  <Lines>0</Lines>
  <Paragraphs>0</Paragraphs>
  <TotalTime>0</TotalTime>
  <ScaleCrop>false</ScaleCrop>
  <LinksUpToDate>false</LinksUpToDate>
  <CharactersWithSpaces>1852</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2020-05-15T06:39:00Z</dcterms:created>
  <dc:creator>Administrator</dc:creator>
  <cp:lastModifiedBy>1900</cp:lastModifiedBy>
  <dcterms:modified xsi:type="dcterms:W3CDTF">2024-07-18T09:24:23Z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83715DCD150846A5B9BFDD92761966D4_12</vt:lpwstr>
  </property>
</Properties>
</file>