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rPr>
          <w:rFonts w:ascii="仿宋_GB2312" w:eastAsia="仿宋_GB2312"/>
          <w:sz w:val="32"/>
          <w:szCs w:val="32"/>
        </w:rPr>
      </w:pPr>
      <w:r>
        <w:rPr>
          <w:rFonts w:hint="eastAsia" w:ascii="仿宋_GB2312" w:eastAsia="仿宋_GB2312"/>
          <w:sz w:val="32"/>
          <w:szCs w:val="32"/>
        </w:rPr>
        <w:t>附件4</w:t>
      </w:r>
      <w:bookmarkStart w:id="0" w:name="_GoBack"/>
      <w:bookmarkEnd w:id="0"/>
    </w:p>
    <w:p>
      <w:pPr>
        <w:spacing w:line="560" w:lineRule="exact"/>
        <w:jc w:val="center"/>
        <w:rPr>
          <w:rFonts w:ascii="宋体" w:hAnsi="宋体" w:cs="宋体"/>
          <w:b/>
          <w:bCs/>
          <w:sz w:val="44"/>
          <w:szCs w:val="44"/>
        </w:rPr>
      </w:pPr>
    </w:p>
    <w:p>
      <w:pPr>
        <w:spacing w:line="560" w:lineRule="exact"/>
        <w:jc w:val="center"/>
        <w:rPr>
          <w:rFonts w:hint="eastAsia" w:ascii="宋体" w:hAnsi="宋体" w:cs="宋体"/>
          <w:b/>
          <w:bCs/>
          <w:sz w:val="44"/>
          <w:szCs w:val="44"/>
        </w:rPr>
      </w:pPr>
      <w:r>
        <w:rPr>
          <w:rFonts w:hint="eastAsia" w:ascii="宋体" w:hAnsi="宋体" w:cs="宋体"/>
          <w:b/>
          <w:bCs/>
          <w:sz w:val="44"/>
          <w:szCs w:val="44"/>
          <w:lang w:eastAsia="zh-CN"/>
        </w:rPr>
        <w:t>赞皇县人力资源和社会保障局</w:t>
      </w:r>
      <w:r>
        <w:rPr>
          <w:rFonts w:hint="eastAsia" w:ascii="宋体" w:hAnsi="宋体" w:cs="宋体"/>
          <w:b/>
          <w:bCs/>
          <w:sz w:val="44"/>
          <w:szCs w:val="44"/>
        </w:rPr>
        <w:t>部门</w:t>
      </w:r>
    </w:p>
    <w:p>
      <w:pPr>
        <w:spacing w:line="560" w:lineRule="exact"/>
        <w:jc w:val="center"/>
        <w:rPr>
          <w:rFonts w:ascii="宋体" w:hAnsi="宋体" w:cs="宋体"/>
          <w:b/>
          <w:bCs/>
          <w:sz w:val="44"/>
          <w:szCs w:val="44"/>
        </w:rPr>
      </w:pPr>
      <w:r>
        <w:rPr>
          <w:rFonts w:hint="eastAsia" w:ascii="宋体" w:hAnsi="宋体" w:cs="宋体"/>
          <w:b/>
          <w:bCs/>
          <w:sz w:val="44"/>
          <w:szCs w:val="44"/>
        </w:rPr>
        <w:t>2022年度整体支出绩效自评报告</w:t>
      </w:r>
    </w:p>
    <w:p>
      <w:pPr>
        <w:spacing w:line="560" w:lineRule="exact"/>
        <w:jc w:val="center"/>
        <w:rPr>
          <w:rFonts w:ascii="华文楷体" w:eastAsia="华文楷体"/>
          <w:sz w:val="32"/>
          <w:szCs w:val="32"/>
        </w:rPr>
      </w:pPr>
    </w:p>
    <w:p>
      <w:pPr>
        <w:keepNext w:val="0"/>
        <w:keepLines w:val="0"/>
        <w:pageBreakBefore w:val="0"/>
        <w:kinsoku/>
        <w:wordWrap/>
        <w:overflowPunct/>
        <w:topLinePunct w:val="0"/>
        <w:autoSpaceDE/>
        <w:autoSpaceDN/>
        <w:bidi w:val="0"/>
        <w:adjustRightInd w:val="0"/>
        <w:snapToGrid w:val="0"/>
        <w:spacing w:beforeAutospacing="0" w:afterAutospacing="0" w:line="560" w:lineRule="exact"/>
        <w:ind w:left="0" w:leftChars="0"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贯彻落实</w:t>
      </w:r>
      <w:r>
        <w:rPr>
          <w:rFonts w:hint="eastAsia" w:ascii="仿宋" w:hAnsi="仿宋" w:eastAsia="仿宋" w:cs="仿宋"/>
          <w:sz w:val="32"/>
          <w:szCs w:val="32"/>
          <w:lang w:eastAsia="zh-CN"/>
        </w:rPr>
        <w:t>县</w:t>
      </w:r>
      <w:r>
        <w:rPr>
          <w:rFonts w:hint="eastAsia" w:ascii="仿宋" w:hAnsi="仿宋" w:eastAsia="仿宋" w:cs="仿宋"/>
          <w:sz w:val="32"/>
          <w:szCs w:val="32"/>
        </w:rPr>
        <w:t>委</w:t>
      </w:r>
      <w:r>
        <w:rPr>
          <w:rFonts w:hint="eastAsia" w:ascii="仿宋" w:hAnsi="仿宋" w:eastAsia="仿宋" w:cs="仿宋"/>
          <w:sz w:val="32"/>
          <w:szCs w:val="32"/>
          <w:lang w:eastAsia="zh-CN"/>
        </w:rPr>
        <w:t>县</w:t>
      </w:r>
      <w:r>
        <w:rPr>
          <w:rFonts w:hint="eastAsia" w:ascii="仿宋" w:hAnsi="仿宋" w:eastAsia="仿宋" w:cs="仿宋"/>
          <w:sz w:val="32"/>
          <w:szCs w:val="32"/>
        </w:rPr>
        <w:t>政府《关于全面</w:t>
      </w:r>
      <w:r>
        <w:rPr>
          <w:rFonts w:hint="eastAsia" w:ascii="仿宋" w:hAnsi="仿宋" w:eastAsia="仿宋" w:cs="仿宋"/>
          <w:sz w:val="32"/>
          <w:szCs w:val="32"/>
          <w:lang w:eastAsia="zh-CN"/>
        </w:rPr>
        <w:t>实施</w:t>
      </w:r>
      <w:r>
        <w:rPr>
          <w:rFonts w:hint="eastAsia" w:ascii="仿宋" w:hAnsi="仿宋" w:eastAsia="仿宋" w:cs="仿宋"/>
          <w:sz w:val="32"/>
          <w:szCs w:val="32"/>
        </w:rPr>
        <w:t>预算绩效管理</w:t>
      </w:r>
      <w:r>
        <w:rPr>
          <w:rFonts w:hint="eastAsia" w:ascii="仿宋" w:hAnsi="仿宋" w:eastAsia="仿宋" w:cs="仿宋"/>
          <w:sz w:val="32"/>
          <w:szCs w:val="32"/>
          <w:lang w:eastAsia="zh-CN"/>
        </w:rPr>
        <w:t>工作方案</w:t>
      </w:r>
      <w:r>
        <w:rPr>
          <w:rFonts w:hint="eastAsia" w:ascii="仿宋" w:hAnsi="仿宋" w:eastAsia="仿宋" w:cs="仿宋"/>
          <w:sz w:val="32"/>
          <w:szCs w:val="32"/>
        </w:rPr>
        <w:t>》（</w:t>
      </w:r>
      <w:r>
        <w:rPr>
          <w:rFonts w:hint="eastAsia" w:ascii="仿宋" w:hAnsi="仿宋" w:eastAsia="仿宋" w:cs="仿宋"/>
          <w:sz w:val="32"/>
          <w:szCs w:val="32"/>
          <w:lang w:eastAsia="zh-CN"/>
        </w:rPr>
        <w:t>赞财预</w:t>
      </w:r>
      <w:r>
        <w:rPr>
          <w:rFonts w:hint="eastAsia" w:ascii="仿宋" w:hAnsi="仿宋" w:eastAsia="仿宋" w:cs="仿宋"/>
          <w:sz w:val="32"/>
          <w:szCs w:val="32"/>
        </w:rPr>
        <w:t>﹝2019﹞</w:t>
      </w:r>
      <w:r>
        <w:rPr>
          <w:rFonts w:hint="eastAsia" w:ascii="仿宋" w:hAnsi="仿宋" w:eastAsia="仿宋" w:cs="仿宋"/>
          <w:sz w:val="32"/>
          <w:szCs w:val="32"/>
          <w:lang w:eastAsia="zh-CN"/>
        </w:rPr>
        <w:t>７</w:t>
      </w:r>
      <w:r>
        <w:rPr>
          <w:rFonts w:hint="eastAsia" w:ascii="仿宋" w:hAnsi="仿宋" w:eastAsia="仿宋" w:cs="仿宋"/>
          <w:sz w:val="32"/>
          <w:szCs w:val="32"/>
        </w:rPr>
        <w:t>号）文件精神，遵循“科学性、规范性、客观性和公正性”的原则，对</w:t>
      </w:r>
      <w:r>
        <w:rPr>
          <w:rFonts w:hint="eastAsia" w:ascii="仿宋" w:hAnsi="仿宋" w:eastAsia="仿宋" w:cs="仿宋"/>
          <w:sz w:val="32"/>
          <w:szCs w:val="32"/>
          <w:lang w:eastAsia="zh-CN"/>
        </w:rPr>
        <w:t>赞皇县人力资源和社会保障局</w:t>
      </w:r>
      <w:r>
        <w:rPr>
          <w:rFonts w:hint="eastAsia" w:ascii="仿宋" w:hAnsi="仿宋" w:eastAsia="仿宋" w:cs="仿宋"/>
          <w:sz w:val="32"/>
          <w:szCs w:val="32"/>
        </w:rPr>
        <w:t>部门2022年整体支出情况实施了财政支出绩效自评价，形成本评价报告。</w:t>
      </w:r>
    </w:p>
    <w:p>
      <w:pPr>
        <w:keepNext w:val="0"/>
        <w:keepLines w:val="0"/>
        <w:pageBreakBefore w:val="0"/>
        <w:kinsoku/>
        <w:wordWrap/>
        <w:overflowPunct/>
        <w:topLinePunct w:val="0"/>
        <w:autoSpaceDE/>
        <w:autoSpaceDN/>
        <w:bidi w:val="0"/>
        <w:adjustRightInd w:val="0"/>
        <w:snapToGrid w:val="0"/>
        <w:spacing w:beforeAutospacing="0" w:afterAutospacing="0" w:line="560" w:lineRule="exact"/>
        <w:ind w:left="0" w:leftChars="0" w:firstLine="640" w:firstLineChars="200"/>
        <w:textAlignment w:val="auto"/>
        <w:rPr>
          <w:rFonts w:hint="eastAsia" w:ascii="仿宋" w:hAnsi="仿宋" w:eastAsia="仿宋" w:cs="仿宋"/>
          <w:b/>
          <w:bCs/>
          <w:sz w:val="32"/>
          <w:szCs w:val="32"/>
        </w:rPr>
      </w:pPr>
      <w:r>
        <w:rPr>
          <w:rFonts w:hint="eastAsia" w:ascii="仿宋" w:hAnsi="仿宋" w:eastAsia="仿宋" w:cs="仿宋"/>
          <w:sz w:val="32"/>
          <w:szCs w:val="32"/>
        </w:rPr>
        <w:t xml:space="preserve"> </w:t>
      </w:r>
      <w:r>
        <w:rPr>
          <w:rFonts w:hint="eastAsia" w:ascii="仿宋" w:hAnsi="仿宋" w:eastAsia="仿宋" w:cs="仿宋"/>
          <w:b/>
          <w:bCs/>
          <w:sz w:val="32"/>
          <w:szCs w:val="32"/>
        </w:rPr>
        <w:t>一、部门基本情况</w:t>
      </w:r>
    </w:p>
    <w:p>
      <w:pPr>
        <w:keepNext w:val="0"/>
        <w:keepLines w:val="0"/>
        <w:pageBreakBefore w:val="0"/>
        <w:kinsoku/>
        <w:wordWrap/>
        <w:overflowPunct/>
        <w:topLinePunct w:val="0"/>
        <w:autoSpaceDE/>
        <w:autoSpaceDN/>
        <w:bidi w:val="0"/>
        <w:adjustRightInd w:val="0"/>
        <w:snapToGrid w:val="0"/>
        <w:spacing w:beforeAutospacing="0" w:afterAutospacing="0" w:line="560" w:lineRule="exact"/>
        <w:ind w:left="0" w:leftChars="0"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eastAsia="zh-CN"/>
        </w:rPr>
        <w:t>（一）</w:t>
      </w:r>
      <w:r>
        <w:rPr>
          <w:rFonts w:hint="eastAsia" w:ascii="仿宋" w:hAnsi="仿宋" w:eastAsia="仿宋" w:cs="仿宋"/>
          <w:sz w:val="32"/>
          <w:szCs w:val="32"/>
        </w:rPr>
        <w:t>简述部门职能、组织机构及人员、资产等基本情况。</w:t>
      </w:r>
    </w:p>
    <w:p>
      <w:pPr>
        <w:keepNext w:val="0"/>
        <w:keepLines w:val="0"/>
        <w:pageBreakBefore w:val="0"/>
        <w:widowControl w:val="0"/>
        <w:kinsoku/>
        <w:wordWrap/>
        <w:overflowPunct/>
        <w:topLinePunct w:val="0"/>
        <w:autoSpaceDE/>
        <w:autoSpaceDN/>
        <w:bidi w:val="0"/>
        <w:adjustRightInd/>
        <w:snapToGrid/>
        <w:spacing w:before="0" w:beforeAutospacing="0" w:afterAutospacing="0" w:line="560" w:lineRule="exact"/>
        <w:ind w:left="0" w:leftChars="0" w:firstLine="643" w:firstLineChars="200"/>
        <w:jc w:val="left"/>
        <w:textAlignment w:val="auto"/>
        <w:outlineLvl w:val="9"/>
        <w:rPr>
          <w:rFonts w:hint="eastAsia" w:ascii="仿宋" w:hAnsi="仿宋" w:eastAsia="仿宋" w:cs="仿宋"/>
          <w:sz w:val="32"/>
          <w:szCs w:val="32"/>
        </w:rPr>
      </w:pPr>
      <w:r>
        <w:rPr>
          <w:rFonts w:hint="eastAsia" w:ascii="仿宋" w:hAnsi="仿宋" w:eastAsia="仿宋" w:cs="仿宋"/>
          <w:b/>
          <w:color w:val="000000"/>
          <w:sz w:val="32"/>
          <w:szCs w:val="32"/>
        </w:rPr>
        <w:t>单位职责：</w:t>
      </w:r>
    </w:p>
    <w:p>
      <w:pPr>
        <w:pStyle w:val="15"/>
        <w:keepNext w:val="0"/>
        <w:keepLines w:val="0"/>
        <w:pageBreakBefore w:val="0"/>
        <w:widowControl w:val="0"/>
        <w:kinsoku/>
        <w:wordWrap/>
        <w:overflowPunct/>
        <w:topLinePunct w:val="0"/>
        <w:autoSpaceDE/>
        <w:autoSpaceDN/>
        <w:bidi w:val="0"/>
        <w:adjustRightInd/>
        <w:snapToGrid/>
        <w:spacing w:beforeAutospacing="0" w:after="0" w:afterAutospacing="0" w:line="560" w:lineRule="exact"/>
        <w:ind w:left="0" w:leftChars="0"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1、</w:t>
      </w:r>
      <w:r>
        <w:rPr>
          <w:rFonts w:hint="eastAsia" w:ascii="仿宋" w:hAnsi="仿宋" w:eastAsia="仿宋" w:cs="仿宋"/>
          <w:sz w:val="32"/>
          <w:szCs w:val="32"/>
        </w:rPr>
        <w:t>拟订全县人力资源和社会保障事业发展规划。</w:t>
      </w:r>
    </w:p>
    <w:p>
      <w:pPr>
        <w:pStyle w:val="15"/>
        <w:keepNext w:val="0"/>
        <w:keepLines w:val="0"/>
        <w:pageBreakBefore w:val="0"/>
        <w:widowControl w:val="0"/>
        <w:kinsoku/>
        <w:wordWrap/>
        <w:overflowPunct/>
        <w:topLinePunct w:val="0"/>
        <w:autoSpaceDE/>
        <w:autoSpaceDN/>
        <w:bidi w:val="0"/>
        <w:adjustRightInd/>
        <w:snapToGrid/>
        <w:spacing w:beforeAutospacing="0" w:after="0" w:afterAutospacing="0" w:line="560" w:lineRule="exact"/>
        <w:ind w:left="0" w:leftChars="0"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2、</w:t>
      </w:r>
      <w:r>
        <w:rPr>
          <w:rFonts w:hint="eastAsia" w:ascii="仿宋" w:hAnsi="仿宋" w:eastAsia="仿宋" w:cs="仿宋"/>
          <w:sz w:val="32"/>
          <w:szCs w:val="32"/>
        </w:rPr>
        <w:t>拟订人力资源市场发展规划和人力资源服务业发展、人力资源流动政策，促进人力资源合理流动、有效配置。按照管理权限拟订人员（不含公务员）调配政策和特殊人员安置政策。</w:t>
      </w:r>
    </w:p>
    <w:p>
      <w:pPr>
        <w:pStyle w:val="15"/>
        <w:keepNext w:val="0"/>
        <w:keepLines w:val="0"/>
        <w:pageBreakBefore w:val="0"/>
        <w:widowControl w:val="0"/>
        <w:kinsoku/>
        <w:wordWrap/>
        <w:overflowPunct/>
        <w:topLinePunct w:val="0"/>
        <w:autoSpaceDE/>
        <w:autoSpaceDN/>
        <w:bidi w:val="0"/>
        <w:adjustRightInd/>
        <w:snapToGrid/>
        <w:spacing w:beforeAutospacing="0" w:after="0" w:afterAutospacing="0" w:line="560" w:lineRule="exact"/>
        <w:ind w:left="0" w:leftChars="0"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3、</w:t>
      </w:r>
      <w:r>
        <w:rPr>
          <w:rFonts w:hint="eastAsia" w:ascii="仿宋" w:hAnsi="仿宋" w:eastAsia="仿宋" w:cs="仿宋"/>
          <w:sz w:val="32"/>
          <w:szCs w:val="32"/>
        </w:rPr>
        <w:t>负责促进就业创业工作，拟订统筹城乡的就业发展规划和促进就业创业扶持政策，完善公共就业服务体系，拟订全县技工学校和职业培训机构发展规划和管理规划并组织实施，统筹建立面向城乡劳动者的职业技能培训制度，加强就业服务和就业培训，拟订就业援助制度，牵头拟订高校毕业生就业政策，按规定负责中专以上毕业生（非师范类）的就业工作。</w:t>
      </w:r>
    </w:p>
    <w:p>
      <w:pPr>
        <w:pStyle w:val="15"/>
        <w:keepNext w:val="0"/>
        <w:keepLines w:val="0"/>
        <w:pageBreakBefore w:val="0"/>
        <w:widowControl w:val="0"/>
        <w:kinsoku/>
        <w:wordWrap/>
        <w:overflowPunct/>
        <w:topLinePunct w:val="0"/>
        <w:autoSpaceDE/>
        <w:autoSpaceDN/>
        <w:bidi w:val="0"/>
        <w:adjustRightInd/>
        <w:snapToGrid/>
        <w:spacing w:beforeAutospacing="0" w:after="0" w:afterAutospacing="0" w:line="560" w:lineRule="exact"/>
        <w:ind w:left="0" w:leftChars="0"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4、</w:t>
      </w:r>
      <w:r>
        <w:rPr>
          <w:rFonts w:hint="eastAsia" w:ascii="仿宋" w:hAnsi="仿宋" w:eastAsia="仿宋" w:cs="仿宋"/>
          <w:sz w:val="32"/>
          <w:szCs w:val="32"/>
        </w:rPr>
        <w:t>统筹推进覆盖城乡的多层次社会保障体系建设。负责养老、失业、工伤等社会保险及其补充保险工作。负责养老、失业、工伤保险关系转续和基金统筹管理工作，会同有关部门拟订养老、失业、工伤保险及其补充保险基金管理和监督制度。审核汇总相关社会保险基金预决算草案。负责企业年金、职业年金管理工作，会同有关部门实施全民参保计划并参与全省统一的社会保险公共服务平台建设工作。</w:t>
      </w:r>
    </w:p>
    <w:p>
      <w:pPr>
        <w:pStyle w:val="15"/>
        <w:keepNext w:val="0"/>
        <w:keepLines w:val="0"/>
        <w:pageBreakBefore w:val="0"/>
        <w:widowControl w:val="0"/>
        <w:kinsoku/>
        <w:wordWrap/>
        <w:overflowPunct/>
        <w:topLinePunct w:val="0"/>
        <w:autoSpaceDE/>
        <w:autoSpaceDN/>
        <w:bidi w:val="0"/>
        <w:adjustRightInd/>
        <w:snapToGrid/>
        <w:spacing w:beforeAutospacing="0" w:after="0" w:afterAutospacing="0" w:line="560" w:lineRule="exact"/>
        <w:ind w:left="0" w:leftChars="0"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5、</w:t>
      </w:r>
      <w:r>
        <w:rPr>
          <w:rFonts w:hint="eastAsia" w:ascii="仿宋" w:hAnsi="仿宋" w:eastAsia="仿宋" w:cs="仿宋"/>
          <w:sz w:val="32"/>
          <w:szCs w:val="32"/>
        </w:rPr>
        <w:t>负责就业、失业和相关社会保险基金预测预警和信息引导，拟订应对预案、实施预防、调节和控制，保持就业形势稳定和社会保险基金总体收支平衡。</w:t>
      </w:r>
    </w:p>
    <w:p>
      <w:pPr>
        <w:pStyle w:val="15"/>
        <w:keepNext w:val="0"/>
        <w:keepLines w:val="0"/>
        <w:pageBreakBefore w:val="0"/>
        <w:widowControl w:val="0"/>
        <w:kinsoku/>
        <w:wordWrap/>
        <w:overflowPunct/>
        <w:topLinePunct w:val="0"/>
        <w:autoSpaceDE/>
        <w:autoSpaceDN/>
        <w:bidi w:val="0"/>
        <w:adjustRightInd/>
        <w:snapToGrid/>
        <w:spacing w:beforeAutospacing="0" w:after="0" w:afterAutospacing="0" w:line="560" w:lineRule="exact"/>
        <w:ind w:left="0" w:leftChars="0"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6、</w:t>
      </w:r>
      <w:r>
        <w:rPr>
          <w:rFonts w:hint="eastAsia" w:ascii="仿宋" w:hAnsi="仿宋" w:eastAsia="仿宋" w:cs="仿宋"/>
          <w:sz w:val="32"/>
          <w:szCs w:val="32"/>
        </w:rPr>
        <w:t>负责劳动人事争议调解仲裁和劳动关系监管工作，完善劳动关系协商协调机制，组织实施职工工作时间、休息休假和假期制度。负责消除非法使用童工和女工、未成年工的特殊劳动保护工作。组织实施劳动保障监察，协调劳动者维权工作，依法查处重大案件。</w:t>
      </w:r>
    </w:p>
    <w:p>
      <w:pPr>
        <w:pStyle w:val="15"/>
        <w:keepNext w:val="0"/>
        <w:keepLines w:val="0"/>
        <w:pageBreakBefore w:val="0"/>
        <w:widowControl w:val="0"/>
        <w:kinsoku/>
        <w:wordWrap/>
        <w:overflowPunct/>
        <w:topLinePunct w:val="0"/>
        <w:autoSpaceDE/>
        <w:autoSpaceDN/>
        <w:bidi w:val="0"/>
        <w:adjustRightInd/>
        <w:snapToGrid/>
        <w:spacing w:beforeAutospacing="0" w:after="0" w:afterAutospacing="0" w:line="560" w:lineRule="exact"/>
        <w:ind w:left="0" w:leftChars="0"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7、</w:t>
      </w:r>
      <w:r>
        <w:rPr>
          <w:rFonts w:hint="eastAsia" w:ascii="仿宋" w:hAnsi="仿宋" w:eastAsia="仿宋" w:cs="仿宋"/>
          <w:sz w:val="32"/>
          <w:szCs w:val="32"/>
        </w:rPr>
        <w:t>拟订人才工作有关目标并做好相关实施工作，参与全县人才工作的指导、组织、协调和管理，承办有关人才工作。会同有关部门做好市场化、社会化的人才管理服务体系建设工作。负责人事考试工作。负责人才分类评价机制推进实施，牵头推进全县深化职称制度改革，综合管理全县职称工作。负责专业技术人员管理、继续教育和博士后管理工作，负责高层次专业技术人才选拔和培养，拟订吸引留学人员来赞（回国）工作或定居政策，组织拟订技能人才培训、评价、使用和激励制度。贯彻执行职业资格制度，负责职业技能多元化评价工作。</w:t>
      </w:r>
    </w:p>
    <w:p>
      <w:pPr>
        <w:pStyle w:val="15"/>
        <w:keepNext w:val="0"/>
        <w:keepLines w:val="0"/>
        <w:pageBreakBefore w:val="0"/>
        <w:widowControl w:val="0"/>
        <w:kinsoku/>
        <w:wordWrap/>
        <w:overflowPunct/>
        <w:topLinePunct w:val="0"/>
        <w:autoSpaceDE/>
        <w:autoSpaceDN/>
        <w:bidi w:val="0"/>
        <w:adjustRightInd/>
        <w:snapToGrid/>
        <w:spacing w:beforeAutospacing="0" w:after="0" w:afterAutospacing="0" w:line="560" w:lineRule="exact"/>
        <w:ind w:left="0" w:leftChars="0"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8、</w:t>
      </w:r>
      <w:r>
        <w:rPr>
          <w:rFonts w:hint="eastAsia" w:ascii="仿宋" w:hAnsi="仿宋" w:eastAsia="仿宋" w:cs="仿宋"/>
          <w:sz w:val="32"/>
          <w:szCs w:val="32"/>
        </w:rPr>
        <w:t>会同有关部门指导事业单位人事制度改革，按照管理权限负责规范事业单位岗位设置、公开招聘、聘用合同、考核奖惩、培训等人事综合管理工作，负责事业单位人员和机关工勤人员管理工作；按照管理权限负责县直部分事业单位及中央驻赞单位工资基金手册管理工作。</w:t>
      </w:r>
    </w:p>
    <w:p>
      <w:pPr>
        <w:pStyle w:val="15"/>
        <w:keepNext w:val="0"/>
        <w:keepLines w:val="0"/>
        <w:pageBreakBefore w:val="0"/>
        <w:widowControl w:val="0"/>
        <w:kinsoku/>
        <w:wordWrap/>
        <w:overflowPunct/>
        <w:topLinePunct w:val="0"/>
        <w:autoSpaceDE/>
        <w:autoSpaceDN/>
        <w:bidi w:val="0"/>
        <w:adjustRightInd/>
        <w:snapToGrid/>
        <w:spacing w:beforeAutospacing="0" w:after="0" w:afterAutospacing="0" w:line="560" w:lineRule="exact"/>
        <w:ind w:left="0" w:leftChars="0"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9、</w:t>
      </w:r>
      <w:r>
        <w:rPr>
          <w:rFonts w:hint="eastAsia" w:ascii="仿宋" w:hAnsi="仿宋" w:eastAsia="仿宋" w:cs="仿宋"/>
          <w:sz w:val="32"/>
          <w:szCs w:val="32"/>
        </w:rPr>
        <w:t>负责全县评比达标表彰和创建示范工作的综合管理、审核备案、监督检查工作。会同有关部门拟订全县表彰奖励办法（不含中国共产党党内表彰、公务员奖励），组织指导县直各部门的评比达标表彰活动，负责全县功勋荣誉表彰奖励获得者管理工作，落实享受待遇的相关政策。</w:t>
      </w:r>
    </w:p>
    <w:p>
      <w:pPr>
        <w:pStyle w:val="15"/>
        <w:keepNext w:val="0"/>
        <w:keepLines w:val="0"/>
        <w:pageBreakBefore w:val="0"/>
        <w:widowControl w:val="0"/>
        <w:kinsoku/>
        <w:wordWrap/>
        <w:overflowPunct/>
        <w:topLinePunct w:val="0"/>
        <w:autoSpaceDE/>
        <w:autoSpaceDN/>
        <w:bidi w:val="0"/>
        <w:adjustRightInd/>
        <w:snapToGrid/>
        <w:spacing w:beforeAutospacing="0" w:after="0" w:afterAutospacing="0" w:line="560" w:lineRule="exact"/>
        <w:ind w:left="0" w:leftChars="0"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10、</w:t>
      </w:r>
      <w:r>
        <w:rPr>
          <w:rFonts w:hint="eastAsia" w:ascii="仿宋" w:hAnsi="仿宋" w:eastAsia="仿宋" w:cs="仿宋"/>
          <w:sz w:val="32"/>
          <w:szCs w:val="32"/>
        </w:rPr>
        <w:t>会同有关部门做好全县事业单位人员工资收入分配管理工作，负责国有企业管理人员薪酬水平的复核、备案工作；负责企事业单位人员工资决定、正常增长和支付保障工作；负责全县企事业单位人员福利和离退休管理工作，并对政策执行情况进行监督检查。</w:t>
      </w:r>
    </w:p>
    <w:p>
      <w:pPr>
        <w:pStyle w:val="15"/>
        <w:keepNext w:val="0"/>
        <w:keepLines w:val="0"/>
        <w:pageBreakBefore w:val="0"/>
        <w:widowControl w:val="0"/>
        <w:kinsoku/>
        <w:wordWrap/>
        <w:overflowPunct/>
        <w:topLinePunct w:val="0"/>
        <w:autoSpaceDE/>
        <w:autoSpaceDN/>
        <w:bidi w:val="0"/>
        <w:adjustRightInd/>
        <w:snapToGrid/>
        <w:spacing w:beforeAutospacing="0" w:after="0" w:afterAutospacing="0" w:line="560" w:lineRule="exact"/>
        <w:ind w:left="0" w:leftChars="0"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11、</w:t>
      </w:r>
      <w:r>
        <w:rPr>
          <w:rFonts w:hint="eastAsia" w:ascii="仿宋" w:hAnsi="仿宋" w:eastAsia="仿宋" w:cs="仿宋"/>
          <w:sz w:val="32"/>
          <w:szCs w:val="32"/>
        </w:rPr>
        <w:t>负责农民工工作，对政策落实情况进行监督检查，协调解决重点难点问题，维护农民工合法权益。</w:t>
      </w:r>
    </w:p>
    <w:p>
      <w:pPr>
        <w:pStyle w:val="15"/>
        <w:keepNext w:val="0"/>
        <w:keepLines w:val="0"/>
        <w:pageBreakBefore w:val="0"/>
        <w:widowControl w:val="0"/>
        <w:kinsoku/>
        <w:wordWrap/>
        <w:overflowPunct/>
        <w:topLinePunct w:val="0"/>
        <w:autoSpaceDE/>
        <w:autoSpaceDN/>
        <w:bidi w:val="0"/>
        <w:adjustRightInd/>
        <w:snapToGrid/>
        <w:spacing w:beforeAutospacing="0" w:after="0" w:afterAutospacing="0" w:line="560" w:lineRule="exact"/>
        <w:ind w:left="0" w:leftChars="0"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12、</w:t>
      </w:r>
      <w:r>
        <w:rPr>
          <w:rFonts w:hint="eastAsia" w:ascii="仿宋" w:hAnsi="仿宋" w:eastAsia="仿宋" w:cs="仿宋"/>
          <w:sz w:val="32"/>
          <w:szCs w:val="32"/>
        </w:rPr>
        <w:t>负责人力资源和社会保障对外交流与合作工作。</w:t>
      </w:r>
    </w:p>
    <w:p>
      <w:pPr>
        <w:pStyle w:val="15"/>
        <w:keepNext w:val="0"/>
        <w:keepLines w:val="0"/>
        <w:pageBreakBefore w:val="0"/>
        <w:widowControl w:val="0"/>
        <w:kinsoku/>
        <w:wordWrap/>
        <w:overflowPunct/>
        <w:topLinePunct w:val="0"/>
        <w:autoSpaceDE/>
        <w:autoSpaceDN/>
        <w:bidi w:val="0"/>
        <w:adjustRightInd/>
        <w:snapToGrid/>
        <w:spacing w:beforeAutospacing="0" w:after="0" w:afterAutospacing="0" w:line="560" w:lineRule="exact"/>
        <w:ind w:left="0" w:leftChars="0"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13、</w:t>
      </w:r>
      <w:r>
        <w:rPr>
          <w:rFonts w:hint="eastAsia" w:ascii="仿宋" w:hAnsi="仿宋" w:eastAsia="仿宋" w:cs="仿宋"/>
          <w:sz w:val="32"/>
          <w:szCs w:val="32"/>
        </w:rPr>
        <w:t>完成县委、县政府交办的其他任务。</w:t>
      </w:r>
    </w:p>
    <w:p>
      <w:pPr>
        <w:pStyle w:val="1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firstLine="643" w:firstLineChars="200"/>
        <w:jc w:val="left"/>
        <w:textAlignment w:val="auto"/>
        <w:rPr>
          <w:rFonts w:hint="eastAsia" w:ascii="仿宋" w:hAnsi="仿宋" w:eastAsia="仿宋" w:cs="仿宋"/>
          <w:kern w:val="0"/>
          <w:sz w:val="32"/>
          <w:szCs w:val="32"/>
          <w:lang w:val="en-US" w:eastAsia="zh-CN" w:bidi="ar"/>
        </w:rPr>
      </w:pPr>
      <w:r>
        <w:rPr>
          <w:rFonts w:hint="eastAsia" w:ascii="仿宋" w:hAnsi="仿宋" w:eastAsia="仿宋" w:cs="仿宋"/>
          <w:b/>
          <w:bCs/>
          <w:kern w:val="0"/>
          <w:sz w:val="32"/>
          <w:szCs w:val="32"/>
          <w:lang w:val="en-US" w:eastAsia="zh-CN" w:bidi="ar"/>
        </w:rPr>
        <w:t>人员情况：</w:t>
      </w:r>
      <w:r>
        <w:rPr>
          <w:rFonts w:hint="eastAsia" w:ascii="仿宋" w:hAnsi="仿宋" w:eastAsia="仿宋" w:cs="仿宋"/>
          <w:kern w:val="0"/>
          <w:sz w:val="32"/>
          <w:szCs w:val="32"/>
          <w:lang w:val="en-US" w:eastAsia="zh-CN" w:bidi="ar"/>
        </w:rPr>
        <w:t xml:space="preserve"> 截至2022年12月31日，我单位赞皇县人力资源和社会保障局年末实有人数101人，行政人员22人，事业人员79人。</w:t>
      </w:r>
    </w:p>
    <w:p>
      <w:pPr>
        <w:pStyle w:val="1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firstLine="643" w:firstLineChars="200"/>
        <w:jc w:val="left"/>
        <w:textAlignment w:val="auto"/>
        <w:rPr>
          <w:rFonts w:hint="eastAsia" w:ascii="仿宋" w:hAnsi="仿宋" w:eastAsia="仿宋" w:cs="仿宋"/>
          <w:sz w:val="32"/>
          <w:szCs w:val="32"/>
        </w:rPr>
      </w:pPr>
      <w:r>
        <w:rPr>
          <w:rFonts w:hint="eastAsia" w:ascii="仿宋" w:hAnsi="仿宋" w:eastAsia="仿宋" w:cs="仿宋"/>
          <w:b/>
          <w:bCs/>
          <w:kern w:val="0"/>
          <w:sz w:val="32"/>
          <w:szCs w:val="32"/>
          <w:lang w:val="en-US" w:eastAsia="zh-CN" w:bidi="ar"/>
        </w:rPr>
        <w:t xml:space="preserve">资产情况： </w:t>
      </w:r>
      <w:r>
        <w:rPr>
          <w:rFonts w:hint="eastAsia" w:ascii="仿宋" w:hAnsi="仿宋" w:eastAsia="仿宋" w:cs="仿宋"/>
          <w:kern w:val="0"/>
          <w:sz w:val="32"/>
          <w:szCs w:val="32"/>
          <w:lang w:val="en-US" w:eastAsia="zh-CN" w:bidi="ar"/>
        </w:rPr>
        <w:t>截至2022年12月31日，我单位资产总额（账面净值，下同）481.90万元。负债总额0.00万元,较上年减少0%。净资产0.00万元 ,较上年减少0%。</w:t>
      </w:r>
    </w:p>
    <w:p>
      <w:pPr>
        <w:pStyle w:val="12"/>
        <w:keepNext w:val="0"/>
        <w:keepLines w:val="0"/>
        <w:pageBreakBefore w:val="0"/>
        <w:widowControl/>
        <w:suppressLineNumbers w:val="0"/>
        <w:kinsoku/>
        <w:wordWrap/>
        <w:overflowPunct/>
        <w:topLinePunct w:val="0"/>
        <w:autoSpaceDE/>
        <w:autoSpaceDN/>
        <w:bidi w:val="0"/>
        <w:spacing w:before="0" w:beforeAutospacing="0" w:after="0" w:afterAutospacing="0" w:line="560" w:lineRule="exact"/>
        <w:ind w:left="0" w:leftChars="0" w:right="0" w:firstLine="640" w:firstLineChars="200"/>
        <w:jc w:val="left"/>
        <w:textAlignment w:val="auto"/>
        <w:rPr>
          <w:rFonts w:hint="eastAsia" w:ascii="仿宋" w:hAnsi="仿宋" w:eastAsia="仿宋" w:cs="仿宋"/>
          <w:kern w:val="0"/>
          <w:sz w:val="32"/>
          <w:szCs w:val="32"/>
          <w:lang w:val="en-US" w:eastAsia="zh-CN" w:bidi="ar"/>
        </w:rPr>
      </w:pPr>
    </w:p>
    <w:p>
      <w:pPr>
        <w:keepNext w:val="0"/>
        <w:keepLines w:val="0"/>
        <w:pageBreakBefore w:val="0"/>
        <w:numPr>
          <w:ilvl w:val="0"/>
          <w:numId w:val="1"/>
        </w:numPr>
        <w:kinsoku/>
        <w:wordWrap/>
        <w:overflowPunct/>
        <w:topLinePunct w:val="0"/>
        <w:autoSpaceDE/>
        <w:autoSpaceDN/>
        <w:bidi w:val="0"/>
        <w:adjustRightInd w:val="0"/>
        <w:snapToGrid w:val="0"/>
        <w:spacing w:beforeAutospacing="0" w:afterAutospacing="0" w:line="560" w:lineRule="exact"/>
        <w:ind w:left="0" w:leftChars="0" w:firstLine="640" w:firstLineChars="200"/>
        <w:textAlignment w:val="auto"/>
        <w:rPr>
          <w:rFonts w:hint="eastAsia" w:ascii="仿宋" w:hAnsi="仿宋" w:eastAsia="仿宋" w:cs="仿宋"/>
          <w:bCs/>
          <w:sz w:val="32"/>
          <w:szCs w:val="32"/>
        </w:rPr>
      </w:pPr>
      <w:r>
        <w:rPr>
          <w:rFonts w:hint="eastAsia" w:ascii="仿宋" w:hAnsi="仿宋" w:eastAsia="仿宋" w:cs="仿宋"/>
          <w:bCs/>
          <w:sz w:val="32"/>
          <w:szCs w:val="32"/>
        </w:rPr>
        <w:t>部门收支预决算情况</w:t>
      </w:r>
    </w:p>
    <w:p>
      <w:pPr>
        <w:keepNext w:val="0"/>
        <w:keepLines w:val="0"/>
        <w:pageBreakBefore w:val="0"/>
        <w:widowControl w:val="0"/>
        <w:numPr>
          <w:ilvl w:val="0"/>
          <w:numId w:val="0"/>
        </w:numPr>
        <w:pBdr>
          <w:top w:val="none" w:color="000000" w:sz="0" w:space="0"/>
          <w:left w:val="none" w:color="000000" w:sz="0" w:space="0"/>
          <w:bottom w:val="none" w:color="000000" w:sz="0" w:space="23"/>
          <w:right w:val="none" w:color="000000" w:sz="0" w:space="0"/>
        </w:pBdr>
        <w:tabs>
          <w:tab w:val="left" w:pos="0"/>
        </w:tabs>
        <w:kinsoku/>
        <w:wordWrap/>
        <w:overflowPunct/>
        <w:topLinePunct w:val="0"/>
        <w:autoSpaceDE/>
        <w:autoSpaceDN/>
        <w:bidi w:val="0"/>
        <w:adjustRightInd w:val="0"/>
        <w:snapToGrid w:val="0"/>
        <w:spacing w:beforeAutospacing="0" w:afterAutospacing="0" w:line="560" w:lineRule="exact"/>
        <w:ind w:left="0" w:leftChars="0" w:right="0" w:rightChars="0"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rPr>
        <w:t>202</w:t>
      </w:r>
      <w:r>
        <w:rPr>
          <w:rFonts w:hint="eastAsia" w:ascii="仿宋" w:hAnsi="仿宋" w:eastAsia="仿宋" w:cs="仿宋"/>
          <w:sz w:val="32"/>
          <w:szCs w:val="32"/>
          <w:lang w:val="en-US" w:eastAsia="zh-CN"/>
        </w:rPr>
        <w:t>2</w:t>
      </w:r>
      <w:r>
        <w:rPr>
          <w:rFonts w:hint="eastAsia" w:ascii="仿宋" w:hAnsi="仿宋" w:eastAsia="仿宋" w:cs="仿宋"/>
          <w:sz w:val="32"/>
          <w:szCs w:val="32"/>
        </w:rPr>
        <w:t>年决算</w:t>
      </w:r>
      <w:r>
        <w:rPr>
          <w:rFonts w:hint="eastAsia" w:ascii="仿宋" w:hAnsi="仿宋" w:eastAsia="仿宋" w:cs="仿宋"/>
          <w:sz w:val="32"/>
          <w:szCs w:val="32"/>
          <w:lang w:eastAsia="zh-CN"/>
        </w:rPr>
        <w:t>收入</w:t>
      </w:r>
      <w:r>
        <w:rPr>
          <w:rFonts w:hint="eastAsia" w:ascii="仿宋" w:hAnsi="仿宋" w:eastAsia="仿宋" w:cs="仿宋"/>
          <w:sz w:val="32"/>
          <w:szCs w:val="32"/>
          <w:lang w:val="en-US" w:eastAsia="zh-CN"/>
        </w:rPr>
        <w:t>104472116.75元，</w:t>
      </w:r>
      <w:r>
        <w:rPr>
          <w:rFonts w:hint="eastAsia" w:ascii="仿宋" w:hAnsi="仿宋" w:eastAsia="仿宋" w:cs="仿宋"/>
          <w:sz w:val="32"/>
          <w:szCs w:val="32"/>
        </w:rPr>
        <w:t>决算支出</w:t>
      </w:r>
      <w:r>
        <w:rPr>
          <w:rFonts w:hint="eastAsia" w:ascii="仿宋" w:hAnsi="仿宋" w:eastAsia="仿宋" w:cs="仿宋"/>
          <w:sz w:val="32"/>
          <w:szCs w:val="32"/>
          <w:lang w:val="en-US" w:eastAsia="zh-CN"/>
        </w:rPr>
        <w:t>104472116.75元。</w:t>
      </w:r>
    </w:p>
    <w:p>
      <w:pPr>
        <w:keepNext w:val="0"/>
        <w:keepLines w:val="0"/>
        <w:pageBreakBefore w:val="0"/>
        <w:widowControl w:val="0"/>
        <w:numPr>
          <w:ilvl w:val="0"/>
          <w:numId w:val="0"/>
        </w:numPr>
        <w:pBdr>
          <w:top w:val="none" w:color="000000" w:sz="0" w:space="0"/>
          <w:left w:val="none" w:color="000000" w:sz="0" w:space="0"/>
          <w:bottom w:val="none" w:color="000000" w:sz="0" w:space="23"/>
          <w:right w:val="none" w:color="000000" w:sz="0" w:space="0"/>
        </w:pBdr>
        <w:tabs>
          <w:tab w:val="left" w:pos="0"/>
        </w:tabs>
        <w:kinsoku/>
        <w:wordWrap/>
        <w:overflowPunct/>
        <w:topLinePunct w:val="0"/>
        <w:autoSpaceDE/>
        <w:autoSpaceDN/>
        <w:bidi w:val="0"/>
        <w:adjustRightInd w:val="0"/>
        <w:snapToGrid w:val="0"/>
        <w:spacing w:beforeAutospacing="0" w:afterAutospacing="0" w:line="560" w:lineRule="exact"/>
        <w:ind w:left="0" w:leftChars="0" w:right="0" w:rightChars="0" w:firstLine="643" w:firstLineChars="200"/>
        <w:jc w:val="both"/>
        <w:textAlignment w:val="auto"/>
        <w:rPr>
          <w:rFonts w:hint="eastAsia" w:ascii="仿宋" w:hAnsi="仿宋" w:eastAsia="仿宋" w:cs="仿宋"/>
          <w:b/>
          <w:sz w:val="32"/>
          <w:szCs w:val="32"/>
        </w:rPr>
      </w:pPr>
      <w:r>
        <w:rPr>
          <w:rFonts w:hint="eastAsia" w:ascii="仿宋" w:hAnsi="仿宋" w:eastAsia="仿宋" w:cs="仿宋"/>
          <w:b/>
          <w:sz w:val="32"/>
          <w:szCs w:val="32"/>
        </w:rPr>
        <w:t>收入支出与预算对比分析。</w:t>
      </w:r>
    </w:p>
    <w:p>
      <w:pPr>
        <w:keepNext w:val="0"/>
        <w:keepLines w:val="0"/>
        <w:pageBreakBefore w:val="0"/>
        <w:widowControl w:val="0"/>
        <w:numPr>
          <w:ilvl w:val="0"/>
          <w:numId w:val="0"/>
        </w:numPr>
        <w:pBdr>
          <w:top w:val="none" w:color="000000" w:sz="0" w:space="0"/>
          <w:left w:val="none" w:color="000000" w:sz="0" w:space="0"/>
          <w:bottom w:val="none" w:color="000000" w:sz="0" w:space="23"/>
          <w:right w:val="none" w:color="000000" w:sz="0" w:space="0"/>
        </w:pBdr>
        <w:tabs>
          <w:tab w:val="left" w:pos="0"/>
        </w:tabs>
        <w:kinsoku/>
        <w:wordWrap/>
        <w:overflowPunct/>
        <w:topLinePunct w:val="0"/>
        <w:autoSpaceDE/>
        <w:autoSpaceDN/>
        <w:bidi w:val="0"/>
        <w:adjustRightInd w:val="0"/>
        <w:snapToGrid w:val="0"/>
        <w:spacing w:beforeAutospacing="0" w:afterAutospacing="0" w:line="560" w:lineRule="exact"/>
        <w:ind w:left="0" w:leftChars="0" w:right="0" w:rightChars="0" w:firstLine="640" w:firstLineChars="200"/>
        <w:jc w:val="both"/>
        <w:textAlignment w:val="auto"/>
        <w:rPr>
          <w:rFonts w:hint="eastAsia" w:ascii="仿宋" w:hAnsi="仿宋" w:eastAsia="仿宋" w:cs="仿宋"/>
          <w:bCs/>
          <w:kern w:val="2"/>
          <w:sz w:val="32"/>
          <w:szCs w:val="32"/>
          <w:lang w:val="en-US" w:eastAsia="zh-CN"/>
        </w:rPr>
      </w:pPr>
      <w:r>
        <w:rPr>
          <w:rFonts w:hint="eastAsia" w:ascii="仿宋" w:hAnsi="仿宋" w:eastAsia="仿宋" w:cs="仿宋"/>
          <w:sz w:val="32"/>
          <w:szCs w:val="32"/>
        </w:rPr>
        <w:t>202</w:t>
      </w:r>
      <w:r>
        <w:rPr>
          <w:rFonts w:hint="eastAsia" w:ascii="仿宋" w:hAnsi="仿宋" w:eastAsia="仿宋" w:cs="仿宋"/>
          <w:sz w:val="32"/>
          <w:szCs w:val="32"/>
          <w:lang w:val="en-US" w:eastAsia="zh-CN"/>
        </w:rPr>
        <w:t>2</w:t>
      </w:r>
      <w:r>
        <w:rPr>
          <w:rFonts w:hint="eastAsia" w:ascii="仿宋" w:hAnsi="仿宋" w:eastAsia="仿宋" w:cs="仿宋"/>
          <w:sz w:val="32"/>
          <w:szCs w:val="32"/>
        </w:rPr>
        <w:t>年决算</w:t>
      </w:r>
      <w:r>
        <w:rPr>
          <w:rFonts w:hint="eastAsia" w:ascii="仿宋" w:hAnsi="仿宋" w:eastAsia="仿宋" w:cs="仿宋"/>
          <w:sz w:val="32"/>
          <w:szCs w:val="32"/>
          <w:lang w:eastAsia="zh-CN"/>
        </w:rPr>
        <w:t>收入104472116.75</w:t>
      </w:r>
      <w:r>
        <w:rPr>
          <w:rFonts w:hint="eastAsia" w:ascii="仿宋" w:hAnsi="仿宋" w:eastAsia="仿宋" w:cs="仿宋"/>
          <w:sz w:val="32"/>
          <w:szCs w:val="32"/>
          <w:lang w:val="en-US" w:eastAsia="zh-CN"/>
        </w:rPr>
        <w:t>元，</w:t>
      </w:r>
      <w:r>
        <w:rPr>
          <w:rFonts w:hint="eastAsia" w:ascii="仿宋" w:hAnsi="仿宋" w:eastAsia="仿宋" w:cs="仿宋"/>
          <w:bCs/>
          <w:kern w:val="2"/>
          <w:sz w:val="32"/>
          <w:szCs w:val="32"/>
          <w:lang w:val="en-US" w:eastAsia="zh-CN"/>
        </w:rPr>
        <w:t>年初预算收入84548707.26元，完成年初预算的124%。原因为人员工资调整，就业扶持力度增加。</w:t>
      </w:r>
    </w:p>
    <w:p>
      <w:pPr>
        <w:keepNext w:val="0"/>
        <w:keepLines w:val="0"/>
        <w:pageBreakBefore w:val="0"/>
        <w:widowControl w:val="0"/>
        <w:numPr>
          <w:ilvl w:val="0"/>
          <w:numId w:val="0"/>
        </w:numPr>
        <w:pBdr>
          <w:top w:val="none" w:color="000000" w:sz="0" w:space="0"/>
          <w:left w:val="none" w:color="000000" w:sz="0" w:space="0"/>
          <w:bottom w:val="none" w:color="000000" w:sz="0" w:space="23"/>
          <w:right w:val="none" w:color="000000" w:sz="0" w:space="0"/>
        </w:pBdr>
        <w:tabs>
          <w:tab w:val="left" w:pos="0"/>
        </w:tabs>
        <w:kinsoku/>
        <w:wordWrap/>
        <w:overflowPunct/>
        <w:topLinePunct w:val="0"/>
        <w:autoSpaceDE/>
        <w:autoSpaceDN/>
        <w:bidi w:val="0"/>
        <w:adjustRightInd w:val="0"/>
        <w:snapToGrid w:val="0"/>
        <w:spacing w:beforeAutospacing="0" w:afterAutospacing="0" w:line="560" w:lineRule="exact"/>
        <w:ind w:left="0" w:leftChars="0" w:right="0" w:rightChars="0" w:firstLine="643" w:firstLineChars="200"/>
        <w:jc w:val="both"/>
        <w:textAlignment w:val="auto"/>
        <w:rPr>
          <w:rFonts w:hint="eastAsia" w:ascii="仿宋" w:hAnsi="仿宋" w:eastAsia="仿宋" w:cs="仿宋"/>
          <w:b/>
          <w:sz w:val="32"/>
          <w:szCs w:val="32"/>
        </w:rPr>
      </w:pPr>
      <w:r>
        <w:rPr>
          <w:rFonts w:hint="eastAsia" w:ascii="仿宋" w:hAnsi="仿宋" w:eastAsia="仿宋" w:cs="仿宋"/>
          <w:b/>
          <w:sz w:val="32"/>
          <w:szCs w:val="32"/>
        </w:rPr>
        <w:t>收入支出结构分析。</w:t>
      </w:r>
    </w:p>
    <w:p>
      <w:pPr>
        <w:keepNext w:val="0"/>
        <w:keepLines w:val="0"/>
        <w:pageBreakBefore w:val="0"/>
        <w:widowControl w:val="0"/>
        <w:numPr>
          <w:ilvl w:val="0"/>
          <w:numId w:val="0"/>
        </w:numPr>
        <w:pBdr>
          <w:top w:val="none" w:color="000000" w:sz="0" w:space="0"/>
          <w:left w:val="none" w:color="000000" w:sz="0" w:space="0"/>
          <w:bottom w:val="none" w:color="000000" w:sz="0" w:space="23"/>
          <w:right w:val="none" w:color="000000" w:sz="0" w:space="0"/>
        </w:pBdr>
        <w:tabs>
          <w:tab w:val="left" w:pos="0"/>
        </w:tabs>
        <w:kinsoku/>
        <w:wordWrap/>
        <w:overflowPunct/>
        <w:topLinePunct w:val="0"/>
        <w:autoSpaceDE/>
        <w:autoSpaceDN/>
        <w:bidi w:val="0"/>
        <w:adjustRightInd w:val="0"/>
        <w:snapToGrid w:val="0"/>
        <w:spacing w:beforeAutospacing="0" w:afterAutospacing="0" w:line="560" w:lineRule="exact"/>
        <w:ind w:left="0" w:leftChars="0" w:right="0" w:rightChars="0"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rPr>
        <w:t>202</w:t>
      </w:r>
      <w:r>
        <w:rPr>
          <w:rFonts w:hint="eastAsia" w:ascii="仿宋" w:hAnsi="仿宋" w:eastAsia="仿宋" w:cs="仿宋"/>
          <w:sz w:val="32"/>
          <w:szCs w:val="32"/>
          <w:lang w:val="en-US" w:eastAsia="zh-CN"/>
        </w:rPr>
        <w:t>2</w:t>
      </w:r>
      <w:r>
        <w:rPr>
          <w:rFonts w:hint="eastAsia" w:ascii="仿宋" w:hAnsi="仿宋" w:eastAsia="仿宋" w:cs="仿宋"/>
          <w:sz w:val="32"/>
          <w:szCs w:val="32"/>
        </w:rPr>
        <w:t>年决算</w:t>
      </w:r>
      <w:r>
        <w:rPr>
          <w:rFonts w:hint="eastAsia" w:ascii="仿宋" w:hAnsi="仿宋" w:eastAsia="仿宋" w:cs="仿宋"/>
          <w:sz w:val="32"/>
          <w:szCs w:val="32"/>
          <w:lang w:eastAsia="zh-CN"/>
        </w:rPr>
        <w:t>收入</w:t>
      </w:r>
      <w:r>
        <w:rPr>
          <w:rFonts w:hint="eastAsia" w:ascii="仿宋" w:hAnsi="仿宋" w:eastAsia="仿宋" w:cs="仿宋"/>
          <w:sz w:val="32"/>
          <w:szCs w:val="32"/>
          <w:lang w:val="en-US" w:eastAsia="zh-CN"/>
        </w:rPr>
        <w:t>104472116.75元，其中一般公共预算财政拨款82013638.75元，占总收入的79%；其他收入78500元，占总收入的0.0%。政府性基金预算财政拨款收入22289978元，占总收入21%，国有资本经营预算财政拨款收入90000元，占总收入0%。</w:t>
      </w:r>
    </w:p>
    <w:p>
      <w:pPr>
        <w:keepNext w:val="0"/>
        <w:keepLines w:val="0"/>
        <w:pageBreakBefore w:val="0"/>
        <w:widowControl w:val="0"/>
        <w:numPr>
          <w:ilvl w:val="0"/>
          <w:numId w:val="0"/>
        </w:numPr>
        <w:pBdr>
          <w:top w:val="none" w:color="000000" w:sz="0" w:space="0"/>
          <w:left w:val="none" w:color="000000" w:sz="0" w:space="0"/>
          <w:bottom w:val="none" w:color="000000" w:sz="0" w:space="23"/>
          <w:right w:val="none" w:color="000000" w:sz="0" w:space="0"/>
        </w:pBdr>
        <w:tabs>
          <w:tab w:val="left" w:pos="0"/>
        </w:tabs>
        <w:kinsoku/>
        <w:wordWrap/>
        <w:overflowPunct/>
        <w:topLinePunct w:val="0"/>
        <w:autoSpaceDE/>
        <w:autoSpaceDN/>
        <w:bidi w:val="0"/>
        <w:adjustRightInd w:val="0"/>
        <w:snapToGrid w:val="0"/>
        <w:spacing w:beforeAutospacing="0" w:afterAutospacing="0" w:line="560" w:lineRule="exact"/>
        <w:ind w:left="0" w:leftChars="0" w:right="0" w:rightChars="0"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rPr>
        <w:t>202</w:t>
      </w:r>
      <w:r>
        <w:rPr>
          <w:rFonts w:hint="eastAsia" w:ascii="仿宋" w:hAnsi="仿宋" w:eastAsia="仿宋" w:cs="仿宋"/>
          <w:sz w:val="32"/>
          <w:szCs w:val="32"/>
          <w:lang w:val="en-US" w:eastAsia="zh-CN"/>
        </w:rPr>
        <w:t>2</w:t>
      </w:r>
      <w:r>
        <w:rPr>
          <w:rFonts w:hint="eastAsia" w:ascii="仿宋" w:hAnsi="仿宋" w:eastAsia="仿宋" w:cs="仿宋"/>
          <w:sz w:val="32"/>
          <w:szCs w:val="32"/>
        </w:rPr>
        <w:t>年决算</w:t>
      </w:r>
      <w:r>
        <w:rPr>
          <w:rFonts w:hint="eastAsia" w:ascii="仿宋" w:hAnsi="仿宋" w:eastAsia="仿宋" w:cs="仿宋"/>
          <w:sz w:val="32"/>
          <w:szCs w:val="32"/>
          <w:lang w:eastAsia="zh-CN"/>
        </w:rPr>
        <w:t>支出</w:t>
      </w:r>
      <w:r>
        <w:rPr>
          <w:rFonts w:hint="eastAsia" w:ascii="仿宋" w:hAnsi="仿宋" w:eastAsia="仿宋" w:cs="仿宋"/>
          <w:sz w:val="32"/>
          <w:szCs w:val="32"/>
          <w:lang w:val="en-US" w:eastAsia="zh-CN"/>
        </w:rPr>
        <w:t>104472116.75元，其中基本支出16017904.85元，占总支出的16%；项目支出88454211.9元，占总支出的84%。</w:t>
      </w:r>
    </w:p>
    <w:p>
      <w:pPr>
        <w:keepNext w:val="0"/>
        <w:keepLines w:val="0"/>
        <w:pageBreakBefore w:val="0"/>
        <w:widowControl w:val="0"/>
        <w:numPr>
          <w:ilvl w:val="0"/>
          <w:numId w:val="2"/>
        </w:numPr>
        <w:pBdr>
          <w:top w:val="none" w:color="000000" w:sz="0" w:space="0"/>
          <w:left w:val="none" w:color="000000" w:sz="0" w:space="0"/>
          <w:bottom w:val="none" w:color="000000" w:sz="0" w:space="23"/>
          <w:right w:val="none" w:color="000000" w:sz="0" w:space="0"/>
        </w:pBdr>
        <w:tabs>
          <w:tab w:val="left" w:pos="0"/>
        </w:tabs>
        <w:kinsoku/>
        <w:wordWrap/>
        <w:overflowPunct/>
        <w:topLinePunct w:val="0"/>
        <w:autoSpaceDE/>
        <w:autoSpaceDN/>
        <w:bidi w:val="0"/>
        <w:adjustRightInd w:val="0"/>
        <w:snapToGrid w:val="0"/>
        <w:spacing w:beforeAutospacing="0" w:afterAutospacing="0" w:line="560" w:lineRule="exact"/>
        <w:ind w:left="0" w:leftChars="0" w:right="0" w:rightChars="0" w:firstLine="643" w:firstLineChars="200"/>
        <w:jc w:val="both"/>
        <w:textAlignment w:val="auto"/>
        <w:rPr>
          <w:rFonts w:hint="eastAsia" w:ascii="仿宋" w:hAnsi="仿宋" w:eastAsia="仿宋" w:cs="仿宋"/>
          <w:b/>
          <w:sz w:val="32"/>
          <w:szCs w:val="32"/>
        </w:rPr>
      </w:pPr>
      <w:r>
        <w:rPr>
          <w:rFonts w:hint="eastAsia" w:ascii="仿宋" w:hAnsi="仿宋" w:eastAsia="仿宋" w:cs="仿宋"/>
          <w:b/>
          <w:sz w:val="32"/>
          <w:szCs w:val="32"/>
        </w:rPr>
        <w:t>支出按经济分类科目分析。</w:t>
      </w:r>
    </w:p>
    <w:p>
      <w:pPr>
        <w:keepNext w:val="0"/>
        <w:keepLines w:val="0"/>
        <w:pageBreakBefore w:val="0"/>
        <w:widowControl w:val="0"/>
        <w:numPr>
          <w:ilvl w:val="0"/>
          <w:numId w:val="0"/>
        </w:numPr>
        <w:pBdr>
          <w:top w:val="none" w:color="000000" w:sz="0" w:space="0"/>
          <w:left w:val="none" w:color="000000" w:sz="0" w:space="0"/>
          <w:bottom w:val="none" w:color="000000" w:sz="0" w:space="23"/>
          <w:right w:val="none" w:color="000000" w:sz="0" w:space="0"/>
        </w:pBdr>
        <w:tabs>
          <w:tab w:val="left" w:pos="0"/>
        </w:tabs>
        <w:kinsoku/>
        <w:wordWrap/>
        <w:overflowPunct/>
        <w:topLinePunct w:val="0"/>
        <w:autoSpaceDE/>
        <w:autoSpaceDN/>
        <w:bidi w:val="0"/>
        <w:adjustRightInd w:val="0"/>
        <w:snapToGrid w:val="0"/>
        <w:spacing w:beforeAutospacing="0" w:afterAutospacing="0" w:line="560" w:lineRule="exact"/>
        <w:ind w:leftChars="200" w:right="0" w:rightChars="0"/>
        <w:jc w:val="both"/>
        <w:textAlignment w:val="auto"/>
        <w:rPr>
          <w:rFonts w:hint="eastAsia" w:ascii="仿宋" w:hAnsi="仿宋" w:eastAsia="仿宋" w:cs="仿宋"/>
          <w:sz w:val="32"/>
          <w:szCs w:val="32"/>
          <w:lang w:val="en-US" w:eastAsia="zh-CN"/>
        </w:rPr>
      </w:pPr>
      <w:r>
        <w:rPr>
          <w:rFonts w:hint="eastAsia" w:ascii="仿宋" w:hAnsi="仿宋" w:eastAsia="仿宋" w:cs="仿宋"/>
          <w:b/>
          <w:sz w:val="32"/>
          <w:szCs w:val="32"/>
          <w:lang w:eastAsia="zh-CN"/>
        </w:rPr>
        <w:t>（</w:t>
      </w:r>
      <w:r>
        <w:rPr>
          <w:rFonts w:hint="eastAsia" w:ascii="仿宋" w:hAnsi="仿宋" w:eastAsia="仿宋" w:cs="仿宋"/>
          <w:sz w:val="32"/>
          <w:szCs w:val="32"/>
        </w:rPr>
        <w:t>1）“三公”经费支出情况：“三公”经费支出情况：</w:t>
      </w:r>
      <w:r>
        <w:rPr>
          <w:rFonts w:hint="eastAsia" w:ascii="仿宋" w:hAnsi="仿宋" w:eastAsia="仿宋" w:cs="仿宋"/>
          <w:sz w:val="32"/>
          <w:szCs w:val="32"/>
          <w:lang w:val="en-US" w:eastAsia="zh-CN"/>
        </w:rPr>
        <w:t>2022年“三公”经费支出5000元，</w:t>
      </w:r>
      <w:r>
        <w:rPr>
          <w:rFonts w:hint="eastAsia" w:ascii="仿宋" w:hAnsi="仿宋" w:eastAsia="仿宋" w:cs="仿宋"/>
          <w:sz w:val="32"/>
          <w:szCs w:val="32"/>
        </w:rPr>
        <w:t>其中公务用车运行费</w:t>
      </w:r>
      <w:r>
        <w:rPr>
          <w:rFonts w:hint="eastAsia" w:ascii="仿宋" w:hAnsi="仿宋" w:eastAsia="仿宋" w:cs="仿宋"/>
          <w:sz w:val="32"/>
          <w:szCs w:val="32"/>
          <w:lang w:val="en-US" w:eastAsia="zh-CN"/>
        </w:rPr>
        <w:t>5000</w:t>
      </w:r>
      <w:r>
        <w:rPr>
          <w:rFonts w:hint="eastAsia" w:ascii="仿宋" w:hAnsi="仿宋" w:eastAsia="仿宋" w:cs="仿宋"/>
          <w:sz w:val="32"/>
          <w:szCs w:val="32"/>
        </w:rPr>
        <w:t>元，公务接待费0元</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较</w:t>
      </w:r>
      <w:r>
        <w:rPr>
          <w:rFonts w:hint="eastAsia" w:ascii="仿宋" w:hAnsi="仿宋" w:eastAsia="仿宋" w:cs="仿宋"/>
          <w:sz w:val="32"/>
          <w:szCs w:val="32"/>
        </w:rPr>
        <w:t>202</w:t>
      </w:r>
      <w:r>
        <w:rPr>
          <w:rFonts w:hint="eastAsia" w:ascii="仿宋" w:hAnsi="仿宋" w:eastAsia="仿宋" w:cs="仿宋"/>
          <w:sz w:val="32"/>
          <w:szCs w:val="32"/>
          <w:lang w:val="en-US" w:eastAsia="zh-CN"/>
        </w:rPr>
        <w:t>1</w:t>
      </w:r>
      <w:r>
        <w:rPr>
          <w:rFonts w:hint="eastAsia" w:ascii="仿宋" w:hAnsi="仿宋" w:eastAsia="仿宋" w:cs="仿宋"/>
          <w:sz w:val="32"/>
          <w:szCs w:val="32"/>
        </w:rPr>
        <w:t>年“三公”经费支出</w:t>
      </w:r>
      <w:r>
        <w:rPr>
          <w:rFonts w:hint="eastAsia" w:ascii="仿宋" w:hAnsi="仿宋" w:eastAsia="仿宋" w:cs="仿宋"/>
          <w:sz w:val="32"/>
          <w:szCs w:val="32"/>
          <w:lang w:eastAsia="zh-CN"/>
        </w:rPr>
        <w:t>增加</w:t>
      </w:r>
      <w:r>
        <w:rPr>
          <w:rFonts w:hint="eastAsia" w:ascii="仿宋" w:hAnsi="仿宋" w:eastAsia="仿宋" w:cs="仿宋"/>
          <w:sz w:val="32"/>
          <w:szCs w:val="32"/>
          <w:lang w:val="en-US" w:eastAsia="zh-CN"/>
        </w:rPr>
        <w:t>5000元。</w:t>
      </w:r>
    </w:p>
    <w:p>
      <w:pPr>
        <w:keepNext w:val="0"/>
        <w:keepLines w:val="0"/>
        <w:pageBreakBefore w:val="0"/>
        <w:kinsoku/>
        <w:wordWrap/>
        <w:overflowPunct/>
        <w:topLinePunct w:val="0"/>
        <w:autoSpaceDE/>
        <w:autoSpaceDN/>
        <w:bidi w:val="0"/>
        <w:snapToGrid w:val="0"/>
        <w:spacing w:beforeAutospacing="0" w:afterAutospacing="0" w:line="560" w:lineRule="exact"/>
        <w:ind w:left="0" w:leftChars="0"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rPr>
        <w:t>（2）会议费支出情况：</w:t>
      </w:r>
      <w:r>
        <w:rPr>
          <w:rFonts w:hint="eastAsia" w:ascii="仿宋" w:hAnsi="仿宋" w:eastAsia="仿宋" w:cs="仿宋"/>
          <w:sz w:val="32"/>
          <w:szCs w:val="32"/>
          <w:lang w:eastAsia="zh-CN"/>
        </w:rPr>
        <w:t>会议费支出</w:t>
      </w:r>
      <w:r>
        <w:rPr>
          <w:rFonts w:hint="eastAsia" w:ascii="仿宋" w:hAnsi="仿宋" w:eastAsia="仿宋" w:cs="仿宋"/>
          <w:sz w:val="32"/>
          <w:szCs w:val="32"/>
          <w:lang w:val="en-US" w:eastAsia="zh-CN"/>
        </w:rPr>
        <w:t>0元，人均支出数为0，与上年支出数持平。</w:t>
      </w:r>
    </w:p>
    <w:p>
      <w:pPr>
        <w:keepNext w:val="0"/>
        <w:keepLines w:val="0"/>
        <w:pageBreakBefore w:val="0"/>
        <w:widowControl w:val="0"/>
        <w:kinsoku/>
        <w:wordWrap/>
        <w:overflowPunct/>
        <w:topLinePunct w:val="0"/>
        <w:autoSpaceDE/>
        <w:autoSpaceDN/>
        <w:bidi w:val="0"/>
        <w:adjustRightInd/>
        <w:snapToGrid w:val="0"/>
        <w:spacing w:beforeAutospacing="0" w:afterAutospacing="0" w:line="560" w:lineRule="exact"/>
        <w:ind w:left="0" w:leftChars="0"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rPr>
        <w:t>（3）培训费支出情况：</w:t>
      </w:r>
      <w:r>
        <w:rPr>
          <w:rFonts w:hint="eastAsia" w:ascii="仿宋" w:hAnsi="仿宋" w:eastAsia="仿宋" w:cs="仿宋"/>
          <w:sz w:val="32"/>
          <w:szCs w:val="32"/>
          <w:lang w:eastAsia="zh-CN"/>
        </w:rPr>
        <w:t>培训费支出</w:t>
      </w:r>
      <w:r>
        <w:rPr>
          <w:rFonts w:hint="eastAsia" w:ascii="仿宋" w:hAnsi="仿宋" w:eastAsia="仿宋" w:cs="仿宋"/>
          <w:sz w:val="32"/>
          <w:szCs w:val="32"/>
          <w:lang w:val="en-US" w:eastAsia="zh-CN"/>
        </w:rPr>
        <w:t>0元，人均支出数为0，与上年支出数持平。</w:t>
      </w:r>
    </w:p>
    <w:p>
      <w:pPr>
        <w:keepNext w:val="0"/>
        <w:keepLines w:val="0"/>
        <w:pageBreakBefore w:val="0"/>
        <w:widowControl w:val="0"/>
        <w:kinsoku/>
        <w:wordWrap/>
        <w:overflowPunct/>
        <w:topLinePunct w:val="0"/>
        <w:autoSpaceDE/>
        <w:autoSpaceDN/>
        <w:bidi w:val="0"/>
        <w:adjustRightInd/>
        <w:snapToGrid w:val="0"/>
        <w:spacing w:beforeAutospacing="0" w:afterAutospacing="0" w:line="560" w:lineRule="exact"/>
        <w:ind w:left="0" w:leftChars="0"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（4）其他对单位影响较大的支出情况。</w:t>
      </w:r>
    </w:p>
    <w:p>
      <w:pPr>
        <w:pStyle w:val="2"/>
        <w:keepNext w:val="0"/>
        <w:keepLines w:val="0"/>
        <w:pageBreakBefore w:val="0"/>
        <w:widowControl w:val="0"/>
        <w:kinsoku/>
        <w:wordWrap/>
        <w:overflowPunct/>
        <w:topLinePunct w:val="0"/>
        <w:autoSpaceDE/>
        <w:autoSpaceDN/>
        <w:bidi w:val="0"/>
        <w:adjustRightInd/>
        <w:spacing w:beforeAutospacing="0" w:after="0" w:afterAutospacing="0" w:line="560" w:lineRule="exact"/>
        <w:ind w:left="0" w:leftChars="0"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lang w:eastAsia="zh-CN"/>
        </w:rPr>
        <w:t>无</w:t>
      </w:r>
    </w:p>
    <w:p>
      <w:pPr>
        <w:keepNext w:val="0"/>
        <w:keepLines w:val="0"/>
        <w:pageBreakBefore w:val="0"/>
        <w:widowControl w:val="0"/>
        <w:numPr>
          <w:ilvl w:val="0"/>
          <w:numId w:val="3"/>
        </w:numPr>
        <w:kinsoku/>
        <w:wordWrap/>
        <w:overflowPunct/>
        <w:topLinePunct w:val="0"/>
        <w:autoSpaceDE/>
        <w:autoSpaceDN/>
        <w:bidi w:val="0"/>
        <w:adjustRightInd/>
        <w:snapToGrid w:val="0"/>
        <w:spacing w:beforeAutospacing="0" w:afterAutospacing="0" w:line="560" w:lineRule="exact"/>
        <w:ind w:left="0" w:leftChars="0"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重点经济分类支出中存在的问题及改进措施。</w:t>
      </w:r>
    </w:p>
    <w:p>
      <w:pPr>
        <w:pStyle w:val="2"/>
        <w:keepNext w:val="0"/>
        <w:keepLines w:val="0"/>
        <w:pageBreakBefore w:val="0"/>
        <w:widowControl w:val="0"/>
        <w:numPr>
          <w:ilvl w:val="0"/>
          <w:numId w:val="0"/>
        </w:numPr>
        <w:kinsoku/>
        <w:wordWrap/>
        <w:overflowPunct/>
        <w:topLinePunct w:val="0"/>
        <w:autoSpaceDE/>
        <w:autoSpaceDN/>
        <w:bidi w:val="0"/>
        <w:adjustRightInd/>
        <w:spacing w:beforeAutospacing="0" w:after="0" w:afterAutospacing="0" w:line="560" w:lineRule="exact"/>
        <w:ind w:left="0" w:leftChars="0"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lang w:eastAsia="zh-CN"/>
        </w:rPr>
        <w:t>无</w:t>
      </w:r>
    </w:p>
    <w:p>
      <w:pPr>
        <w:keepNext w:val="0"/>
        <w:keepLines w:val="0"/>
        <w:pageBreakBefore w:val="0"/>
        <w:numPr>
          <w:ilvl w:val="0"/>
          <w:numId w:val="1"/>
        </w:numPr>
        <w:kinsoku/>
        <w:wordWrap/>
        <w:overflowPunct/>
        <w:topLinePunct w:val="0"/>
        <w:autoSpaceDE/>
        <w:autoSpaceDN/>
        <w:bidi w:val="0"/>
        <w:adjustRightInd w:val="0"/>
        <w:snapToGrid w:val="0"/>
        <w:spacing w:beforeAutospacing="0" w:afterAutospacing="0" w:line="560" w:lineRule="exact"/>
        <w:ind w:left="0" w:leftChars="0" w:firstLine="643" w:firstLineChars="200"/>
        <w:textAlignment w:val="auto"/>
        <w:rPr>
          <w:rFonts w:hint="eastAsia" w:ascii="仿宋" w:hAnsi="仿宋" w:eastAsia="仿宋" w:cs="仿宋"/>
          <w:b/>
          <w:bCs w:val="0"/>
          <w:sz w:val="32"/>
          <w:szCs w:val="32"/>
        </w:rPr>
      </w:pPr>
      <w:r>
        <w:rPr>
          <w:rFonts w:hint="eastAsia" w:ascii="仿宋" w:hAnsi="仿宋" w:eastAsia="仿宋" w:cs="仿宋"/>
          <w:b/>
          <w:bCs w:val="0"/>
          <w:sz w:val="32"/>
          <w:szCs w:val="32"/>
        </w:rPr>
        <w:t>部门整体支出绩效目标、指标</w:t>
      </w:r>
    </w:p>
    <w:p>
      <w:pPr>
        <w:keepNext w:val="0"/>
        <w:keepLines w:val="0"/>
        <w:pageBreakBefore w:val="0"/>
        <w:kinsoku/>
        <w:wordWrap/>
        <w:overflowPunct/>
        <w:topLinePunct w:val="0"/>
        <w:autoSpaceDE/>
        <w:autoSpaceDN/>
        <w:bidi w:val="0"/>
        <w:spacing w:beforeAutospacing="0" w:afterAutospacing="0" w:line="560" w:lineRule="exact"/>
        <w:ind w:left="0" w:leftChars="0"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通过绩效自评结果对比倒查的年初绩效目标，严格了项目资金审批手续，每一笔项目资金都经审核方可拨付，加强基金管理，确保基金零差错。绩效目标设定清晰准确，绩效指标全面完整、科学合理，绩效标准恰当适宜、易于评价。</w:t>
      </w:r>
    </w:p>
    <w:p>
      <w:pPr>
        <w:keepNext w:val="0"/>
        <w:keepLines w:val="0"/>
        <w:pageBreakBefore w:val="0"/>
        <w:kinsoku/>
        <w:wordWrap/>
        <w:overflowPunct/>
        <w:topLinePunct w:val="0"/>
        <w:autoSpaceDE/>
        <w:autoSpaceDN/>
        <w:bidi w:val="0"/>
        <w:adjustRightInd w:val="0"/>
        <w:snapToGrid w:val="0"/>
        <w:spacing w:beforeAutospacing="0" w:afterAutospacing="0" w:line="560" w:lineRule="exact"/>
        <w:ind w:left="0" w:leftChars="0" w:firstLine="643" w:firstLineChars="200"/>
        <w:textAlignment w:val="auto"/>
        <w:rPr>
          <w:rFonts w:hint="eastAsia" w:ascii="仿宋" w:hAnsi="仿宋" w:eastAsia="仿宋" w:cs="仿宋"/>
          <w:b/>
          <w:bCs/>
          <w:sz w:val="32"/>
          <w:szCs w:val="32"/>
        </w:rPr>
      </w:pPr>
      <w:r>
        <w:rPr>
          <w:rFonts w:hint="eastAsia" w:ascii="仿宋" w:hAnsi="仿宋" w:eastAsia="仿宋" w:cs="仿宋"/>
          <w:b/>
          <w:bCs/>
          <w:sz w:val="32"/>
          <w:szCs w:val="32"/>
        </w:rPr>
        <w:t>二、自评工作开展情况</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leftChars="0" w:firstLine="640" w:firstLineChars="200"/>
        <w:textAlignment w:val="auto"/>
        <w:rPr>
          <w:rFonts w:hint="eastAsia" w:ascii="仿宋" w:hAnsi="仿宋" w:eastAsia="仿宋" w:cs="仿宋"/>
          <w:sz w:val="32"/>
          <w:szCs w:val="32"/>
        </w:rPr>
      </w:pPr>
      <w:r>
        <w:rPr>
          <w:rFonts w:hint="eastAsia" w:ascii="仿宋" w:hAnsi="仿宋" w:eastAsia="仿宋" w:cs="仿宋"/>
          <w:bCs/>
          <w:sz w:val="32"/>
          <w:szCs w:val="32"/>
        </w:rPr>
        <w:t>（一）自评的组织工作</w:t>
      </w:r>
    </w:p>
    <w:p>
      <w:pPr>
        <w:pStyle w:val="2"/>
        <w:keepNext w:val="0"/>
        <w:keepLines w:val="0"/>
        <w:pageBreakBefore w:val="0"/>
        <w:widowControl w:val="0"/>
        <w:kinsoku/>
        <w:wordWrap/>
        <w:overflowPunct/>
        <w:topLinePunct w:val="0"/>
        <w:autoSpaceDE/>
        <w:autoSpaceDN/>
        <w:bidi w:val="0"/>
        <w:adjustRightInd/>
        <w:snapToGrid/>
        <w:spacing w:after="0" w:line="560" w:lineRule="exact"/>
        <w:ind w:left="0" w:leftChars="0" w:firstLine="31680"/>
        <w:textAlignment w:val="auto"/>
        <w:rPr>
          <w:rFonts w:ascii="仿宋_GB2312" w:hAnsi="仿宋" w:eastAsia="仿宋_GB2312" w:cs="仿宋"/>
          <w:sz w:val="32"/>
          <w:szCs w:val="32"/>
        </w:rPr>
      </w:pPr>
      <w:r>
        <w:rPr>
          <w:rFonts w:hint="eastAsia" w:ascii="仿宋_GB2312" w:hAnsi="仿宋" w:eastAsia="仿宋_GB2312" w:cs="仿宋"/>
          <w:sz w:val="32"/>
          <w:szCs w:val="32"/>
        </w:rPr>
        <w:t>由办公室牵头组织开展评价工作，按照相关管理制度执行，建立了工作有计划、实施有方案、日常有监督的管理机制。</w:t>
      </w:r>
    </w:p>
    <w:p>
      <w:pPr>
        <w:keepNext w:val="0"/>
        <w:keepLines w:val="0"/>
        <w:pageBreakBefore w:val="0"/>
        <w:widowControl w:val="0"/>
        <w:numPr>
          <w:ilvl w:val="0"/>
          <w:numId w:val="4"/>
        </w:numPr>
        <w:kinsoku/>
        <w:wordWrap/>
        <w:overflowPunct/>
        <w:topLinePunct w:val="0"/>
        <w:autoSpaceDE/>
        <w:autoSpaceDN/>
        <w:bidi w:val="0"/>
        <w:adjustRightInd/>
        <w:snapToGrid/>
        <w:spacing w:beforeAutospacing="0" w:afterAutospacing="0" w:line="560" w:lineRule="exact"/>
        <w:ind w:left="0" w:leftChars="0" w:firstLine="640" w:firstLineChars="200"/>
        <w:textAlignment w:val="auto"/>
        <w:rPr>
          <w:rFonts w:hint="eastAsia" w:ascii="仿宋" w:hAnsi="仿宋" w:eastAsia="仿宋" w:cs="仿宋"/>
          <w:bCs/>
          <w:sz w:val="32"/>
          <w:szCs w:val="32"/>
        </w:rPr>
      </w:pPr>
      <w:r>
        <w:rPr>
          <w:rFonts w:hint="eastAsia" w:ascii="仿宋" w:hAnsi="仿宋" w:eastAsia="仿宋" w:cs="仿宋"/>
          <w:bCs/>
          <w:sz w:val="32"/>
          <w:szCs w:val="32"/>
        </w:rPr>
        <w:t>自评的方法和过程</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hAnsi="仿宋" w:eastAsia="仿宋_GB2312" w:cs="仿宋"/>
          <w:sz w:val="32"/>
          <w:szCs w:val="32"/>
        </w:rPr>
      </w:pPr>
      <w:r>
        <w:rPr>
          <w:rFonts w:hint="eastAsia" w:ascii="仿宋_GB2312" w:hAnsi="仿宋" w:eastAsia="仿宋_GB2312" w:cs="仿宋"/>
          <w:sz w:val="32"/>
          <w:szCs w:val="32"/>
        </w:rPr>
        <w:t>自评工作小组要单位提交年初的预算文本和年终的工作报告，并根据项目支出的有关绩效情况，填写《绩效目标自评表》，初步形成自评报告，在单位自评报告的基础上，结合会议实施情况展开评价，最后分析原因，提出建议，形成最终的自评价报告。</w:t>
      </w:r>
    </w:p>
    <w:p>
      <w:pPr>
        <w:keepNext w:val="0"/>
        <w:keepLines w:val="0"/>
        <w:pageBreakBefore w:val="0"/>
        <w:numPr>
          <w:ilvl w:val="0"/>
          <w:numId w:val="5"/>
        </w:numPr>
        <w:kinsoku/>
        <w:wordWrap/>
        <w:overflowPunct/>
        <w:topLinePunct w:val="0"/>
        <w:autoSpaceDE/>
        <w:autoSpaceDN/>
        <w:bidi w:val="0"/>
        <w:spacing w:beforeAutospacing="0" w:afterAutospacing="0" w:line="560" w:lineRule="exact"/>
        <w:ind w:left="0" w:leftChars="0" w:firstLine="643" w:firstLineChars="200"/>
        <w:textAlignment w:val="auto"/>
        <w:rPr>
          <w:rFonts w:hint="eastAsia" w:ascii="仿宋" w:hAnsi="仿宋" w:eastAsia="仿宋" w:cs="仿宋"/>
          <w:b/>
          <w:bCs/>
          <w:sz w:val="32"/>
          <w:szCs w:val="32"/>
        </w:rPr>
      </w:pPr>
      <w:r>
        <w:rPr>
          <w:rFonts w:hint="eastAsia" w:ascii="仿宋" w:hAnsi="仿宋" w:eastAsia="仿宋" w:cs="仿宋"/>
          <w:b/>
          <w:bCs/>
          <w:sz w:val="32"/>
          <w:szCs w:val="32"/>
        </w:rPr>
        <w:t>部门整体支出绩效目标实现情况及指标分析</w:t>
      </w:r>
    </w:p>
    <w:p>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60" w:lineRule="exact"/>
        <w:ind w:left="0" w:leftChars="0" w:firstLine="643" w:firstLineChars="200"/>
        <w:jc w:val="both"/>
        <w:textAlignment w:val="auto"/>
        <w:rPr>
          <w:rFonts w:hint="eastAsia" w:ascii="仿宋" w:hAnsi="仿宋" w:eastAsia="仿宋" w:cs="仿宋"/>
          <w:color w:val="000000"/>
          <w:sz w:val="32"/>
          <w:szCs w:val="32"/>
          <w:lang w:eastAsia="zh-CN"/>
        </w:rPr>
      </w:pPr>
      <w:r>
        <w:rPr>
          <w:rFonts w:hint="eastAsia" w:ascii="仿宋" w:hAnsi="仿宋" w:eastAsia="仿宋" w:cs="仿宋"/>
          <w:b/>
          <w:bCs/>
          <w:color w:val="000000"/>
          <w:sz w:val="32"/>
          <w:szCs w:val="32"/>
          <w:lang w:val="en-US" w:eastAsia="zh-CN"/>
        </w:rPr>
        <w:t>1.不断扩大就业，稳住就业基本面。一是</w:t>
      </w:r>
      <w:r>
        <w:rPr>
          <w:rFonts w:hint="eastAsia" w:ascii="仿宋" w:hAnsi="仿宋" w:eastAsia="仿宋" w:cs="仿宋"/>
          <w:b w:val="0"/>
          <w:bCs w:val="0"/>
          <w:color w:val="000000"/>
          <w:sz w:val="32"/>
          <w:szCs w:val="32"/>
          <w:lang w:val="en-US" w:eastAsia="zh-CN"/>
        </w:rPr>
        <w:t>就业指标逐步推进，</w:t>
      </w:r>
      <w:r>
        <w:rPr>
          <w:rFonts w:hint="eastAsia" w:ascii="仿宋" w:hAnsi="仿宋" w:eastAsia="仿宋" w:cs="仿宋"/>
          <w:color w:val="auto"/>
          <w:sz w:val="32"/>
          <w:szCs w:val="32"/>
          <w:lang w:val="en-US" w:eastAsia="zh-CN"/>
        </w:rPr>
        <w:t>城镇新增就业任务1500人，目前完成1530人，占全年任务的102%；农村转移劳动力2001人，已完成全年任务的100%；职业技能培训任务1700人，已完成1725人，占全年任务的101.47%。</w:t>
      </w:r>
      <w:r>
        <w:rPr>
          <w:rFonts w:hint="eastAsia" w:ascii="仿宋" w:hAnsi="仿宋" w:eastAsia="仿宋" w:cs="仿宋"/>
          <w:b/>
          <w:bCs/>
          <w:color w:val="000000"/>
          <w:sz w:val="32"/>
          <w:szCs w:val="32"/>
          <w:lang w:val="en-US" w:eastAsia="zh-CN"/>
        </w:rPr>
        <w:t>二是</w:t>
      </w:r>
      <w:r>
        <w:rPr>
          <w:rFonts w:hint="eastAsia" w:ascii="仿宋" w:hAnsi="仿宋" w:eastAsia="仿宋" w:cs="仿宋"/>
          <w:color w:val="000000"/>
          <w:sz w:val="32"/>
          <w:szCs w:val="32"/>
          <w:lang w:val="en-US" w:eastAsia="zh-CN"/>
        </w:rPr>
        <w:t>支持个人创业，审批发放45人创业担保贷款885万元，支持创业孵化基地建设，拨付3家创业孵化基地补贴540.76万元。三</w:t>
      </w:r>
      <w:r>
        <w:rPr>
          <w:rFonts w:hint="eastAsia" w:ascii="仿宋" w:hAnsi="仿宋" w:eastAsia="仿宋" w:cs="仿宋"/>
          <w:b/>
          <w:bCs/>
          <w:color w:val="000000"/>
          <w:sz w:val="32"/>
          <w:szCs w:val="32"/>
          <w:lang w:val="en-US" w:eastAsia="zh-CN"/>
        </w:rPr>
        <w:t>是</w:t>
      </w:r>
      <w:r>
        <w:rPr>
          <w:rFonts w:hint="eastAsia" w:ascii="仿宋" w:hAnsi="仿宋" w:eastAsia="仿宋" w:cs="仿宋"/>
          <w:color w:val="000000"/>
          <w:sz w:val="32"/>
          <w:szCs w:val="32"/>
          <w:lang w:eastAsia="zh-CN"/>
        </w:rPr>
        <w:t>对全县229户622人进行防贫返贫就业监测，对未就业的</w:t>
      </w:r>
      <w:r>
        <w:rPr>
          <w:rFonts w:hint="eastAsia" w:ascii="仿宋" w:hAnsi="仿宋" w:eastAsia="仿宋" w:cs="仿宋"/>
          <w:color w:val="000000"/>
          <w:sz w:val="32"/>
          <w:szCs w:val="32"/>
          <w:lang w:val="en-US" w:eastAsia="zh-CN"/>
        </w:rPr>
        <w:t>101人，</w:t>
      </w:r>
      <w:r>
        <w:rPr>
          <w:rFonts w:hint="eastAsia" w:ascii="仿宋" w:hAnsi="仿宋" w:eastAsia="仿宋" w:cs="仿宋"/>
          <w:color w:val="000000"/>
          <w:sz w:val="32"/>
          <w:szCs w:val="32"/>
          <w:lang w:eastAsia="zh-CN"/>
        </w:rPr>
        <w:t>给予就业帮扶</w:t>
      </w:r>
      <w:r>
        <w:rPr>
          <w:rFonts w:hint="eastAsia" w:ascii="仿宋" w:hAnsi="仿宋" w:eastAsia="仿宋" w:cs="仿宋"/>
          <w:color w:val="000000"/>
          <w:sz w:val="32"/>
          <w:szCs w:val="32"/>
        </w:rPr>
        <w:t>。目前</w:t>
      </w:r>
      <w:r>
        <w:rPr>
          <w:rFonts w:hint="eastAsia" w:ascii="仿宋" w:hAnsi="仿宋" w:eastAsia="仿宋" w:cs="仿宋"/>
          <w:color w:val="000000"/>
          <w:sz w:val="32"/>
          <w:szCs w:val="32"/>
          <w:lang w:eastAsia="zh-CN"/>
        </w:rPr>
        <w:t>全县农村脱贫劳动力</w:t>
      </w:r>
      <w:r>
        <w:rPr>
          <w:rFonts w:hint="eastAsia" w:ascii="仿宋" w:hAnsi="仿宋" w:eastAsia="仿宋" w:cs="仿宋"/>
          <w:color w:val="000000"/>
          <w:sz w:val="32"/>
          <w:szCs w:val="32"/>
        </w:rPr>
        <w:t>已就业7254人，务工规模高于去年</w:t>
      </w:r>
      <w:r>
        <w:rPr>
          <w:rFonts w:hint="eastAsia" w:ascii="仿宋" w:hAnsi="仿宋" w:eastAsia="仿宋" w:cs="仿宋"/>
          <w:color w:val="00000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60" w:lineRule="exact"/>
        <w:ind w:left="0" w:leftChars="0" w:right="0" w:rightChars="0" w:firstLine="643" w:firstLineChars="200"/>
        <w:jc w:val="both"/>
        <w:textAlignment w:val="auto"/>
        <w:rPr>
          <w:rFonts w:hint="eastAsia" w:ascii="仿宋" w:hAnsi="仿宋" w:eastAsia="仿宋" w:cs="仿宋"/>
          <w:color w:val="000000"/>
          <w:sz w:val="32"/>
          <w:szCs w:val="32"/>
          <w:lang w:val="en-US" w:eastAsia="zh-CN"/>
        </w:rPr>
      </w:pPr>
      <w:r>
        <w:rPr>
          <w:rFonts w:hint="eastAsia" w:ascii="仿宋" w:hAnsi="仿宋" w:eastAsia="仿宋" w:cs="仿宋"/>
          <w:b/>
          <w:bCs/>
          <w:color w:val="000000"/>
          <w:sz w:val="32"/>
          <w:szCs w:val="32"/>
          <w:lang w:val="en-US" w:eastAsia="zh-CN"/>
        </w:rPr>
        <w:t>2.推进全民参保，调整养老待遇。一</w:t>
      </w:r>
      <w:r>
        <w:rPr>
          <w:rFonts w:hint="eastAsia" w:ascii="仿宋" w:hAnsi="仿宋" w:eastAsia="仿宋" w:cs="仿宋"/>
          <w:b/>
          <w:bCs/>
          <w:snapToGrid w:val="0"/>
          <w:color w:val="000000"/>
          <w:kern w:val="0"/>
          <w:sz w:val="32"/>
          <w:szCs w:val="32"/>
          <w:lang w:val="en-US" w:eastAsia="zh-CN"/>
        </w:rPr>
        <w:t>是</w:t>
      </w:r>
      <w:r>
        <w:rPr>
          <w:rFonts w:hint="eastAsia" w:ascii="仿宋" w:hAnsi="仿宋" w:eastAsia="仿宋" w:cs="仿宋"/>
          <w:snapToGrid w:val="0"/>
          <w:color w:val="000000"/>
          <w:kern w:val="0"/>
          <w:sz w:val="32"/>
          <w:szCs w:val="32"/>
          <w:lang w:val="en-US" w:eastAsia="zh-CN"/>
        </w:rPr>
        <w:t>通过积极的宣传引导和督导检查，实行“三险合一”整体参保制度，</w:t>
      </w:r>
      <w:r>
        <w:rPr>
          <w:rFonts w:hint="eastAsia" w:ascii="仿宋" w:hAnsi="仿宋" w:eastAsia="仿宋" w:cs="仿宋"/>
          <w:sz w:val="32"/>
          <w:szCs w:val="32"/>
          <w:lang w:eastAsia="zh-CN"/>
        </w:rPr>
        <w:t>截至目前，</w:t>
      </w:r>
      <w:r>
        <w:rPr>
          <w:rFonts w:hint="eastAsia" w:ascii="仿宋" w:hAnsi="仿宋" w:eastAsia="仿宋" w:cs="仿宋"/>
          <w:sz w:val="32"/>
          <w:szCs w:val="32"/>
          <w:lang w:val="en-US" w:eastAsia="zh-CN"/>
        </w:rPr>
        <w:t>企业养老保险扩面任务1466人，完成1673人</w:t>
      </w:r>
      <w:r>
        <w:rPr>
          <w:rFonts w:hint="eastAsia" w:ascii="仿宋" w:hAnsi="仿宋" w:eastAsia="仿宋" w:cs="仿宋"/>
          <w:color w:val="000000"/>
          <w:sz w:val="32"/>
          <w:szCs w:val="32"/>
          <w:lang w:val="en-US" w:eastAsia="zh-CN"/>
        </w:rPr>
        <w:t>；完成率1</w:t>
      </w:r>
      <w:r>
        <w:rPr>
          <w:rFonts w:hint="eastAsia" w:ascii="仿宋" w:hAnsi="仿宋" w:eastAsia="仿宋" w:cs="仿宋"/>
          <w:sz w:val="32"/>
          <w:szCs w:val="32"/>
          <w:lang w:val="en-US" w:eastAsia="zh-CN"/>
        </w:rPr>
        <w:t>14%；</w:t>
      </w:r>
      <w:r>
        <w:rPr>
          <w:rFonts w:hint="eastAsia" w:ascii="仿宋" w:hAnsi="仿宋" w:eastAsia="仿宋" w:cs="仿宋"/>
          <w:sz w:val="32"/>
          <w:szCs w:val="32"/>
        </w:rPr>
        <w:t>工伤</w:t>
      </w:r>
      <w:r>
        <w:rPr>
          <w:rFonts w:hint="eastAsia" w:ascii="仿宋" w:hAnsi="仿宋" w:eastAsia="仿宋" w:cs="仿宋"/>
          <w:sz w:val="32"/>
          <w:szCs w:val="32"/>
          <w:lang w:val="en-US" w:eastAsia="zh-CN"/>
        </w:rPr>
        <w:t>扩面1318</w:t>
      </w:r>
      <w:r>
        <w:rPr>
          <w:rFonts w:hint="eastAsia" w:ascii="仿宋" w:hAnsi="仿宋" w:eastAsia="仿宋" w:cs="仿宋"/>
          <w:color w:val="000000"/>
          <w:sz w:val="32"/>
          <w:szCs w:val="32"/>
          <w:lang w:val="en-US" w:eastAsia="zh-CN"/>
        </w:rPr>
        <w:t>人</w:t>
      </w:r>
      <w:r>
        <w:rPr>
          <w:rFonts w:hint="eastAsia" w:ascii="仿宋" w:hAnsi="仿宋" w:eastAsia="仿宋" w:cs="仿宋"/>
          <w:color w:val="000000"/>
          <w:sz w:val="32"/>
          <w:szCs w:val="32"/>
        </w:rPr>
        <w:t>，</w:t>
      </w:r>
      <w:r>
        <w:rPr>
          <w:rFonts w:hint="eastAsia" w:ascii="仿宋" w:hAnsi="仿宋" w:eastAsia="仿宋" w:cs="仿宋"/>
          <w:color w:val="000000"/>
          <w:sz w:val="32"/>
          <w:szCs w:val="32"/>
          <w:lang w:val="en-US" w:eastAsia="zh-CN"/>
        </w:rPr>
        <w:t>完成5918</w:t>
      </w:r>
      <w:r>
        <w:rPr>
          <w:rFonts w:hint="eastAsia" w:ascii="仿宋" w:hAnsi="仿宋" w:eastAsia="仿宋" w:cs="仿宋"/>
          <w:color w:val="000000"/>
          <w:sz w:val="32"/>
          <w:szCs w:val="32"/>
        </w:rPr>
        <w:t>人</w:t>
      </w:r>
      <w:r>
        <w:rPr>
          <w:rFonts w:hint="eastAsia" w:ascii="仿宋" w:hAnsi="仿宋" w:eastAsia="仿宋" w:cs="仿宋"/>
          <w:color w:val="000000"/>
          <w:sz w:val="32"/>
          <w:szCs w:val="32"/>
          <w:lang w:eastAsia="zh-CN"/>
        </w:rPr>
        <w:t>，完成率</w:t>
      </w:r>
      <w:r>
        <w:rPr>
          <w:rFonts w:hint="eastAsia" w:ascii="仿宋" w:hAnsi="仿宋" w:eastAsia="仿宋" w:cs="仿宋"/>
          <w:color w:val="000000"/>
          <w:sz w:val="32"/>
          <w:szCs w:val="32"/>
          <w:lang w:val="en-US" w:eastAsia="zh-CN"/>
        </w:rPr>
        <w:t>449%；</w:t>
      </w:r>
      <w:r>
        <w:rPr>
          <w:rFonts w:hint="eastAsia" w:ascii="仿宋" w:hAnsi="仿宋" w:eastAsia="仿宋" w:cs="仿宋"/>
          <w:sz w:val="32"/>
          <w:szCs w:val="32"/>
          <w:lang w:val="en-US" w:eastAsia="zh-CN"/>
        </w:rPr>
        <w:t>失业保险扩面945人，完成1200人、完成率127%；</w:t>
      </w:r>
      <w:r>
        <w:rPr>
          <w:rFonts w:hint="eastAsia" w:ascii="仿宋" w:hAnsi="仿宋" w:eastAsia="仿宋" w:cs="仿宋"/>
          <w:color w:val="000000"/>
          <w:sz w:val="32"/>
          <w:szCs w:val="32"/>
          <w:lang w:val="en-US" w:eastAsia="zh-CN"/>
        </w:rPr>
        <w:t>城乡居民养老保险扩面任务1900人，目前完成2509人，完成率132%；参保率95.3%，</w:t>
      </w:r>
      <w:r>
        <w:rPr>
          <w:rFonts w:hint="eastAsia" w:ascii="仿宋" w:hAnsi="仿宋" w:eastAsia="仿宋" w:cs="仿宋"/>
          <w:sz w:val="32"/>
          <w:szCs w:val="32"/>
          <w:lang w:val="en-US" w:eastAsia="zh-CN"/>
        </w:rPr>
        <w:t>均已超额完成任务。二</w:t>
      </w:r>
      <w:r>
        <w:rPr>
          <w:rFonts w:hint="eastAsia" w:ascii="仿宋" w:hAnsi="仿宋" w:eastAsia="仿宋" w:cs="仿宋"/>
          <w:b/>
          <w:bCs/>
          <w:color w:val="000000"/>
          <w:sz w:val="32"/>
          <w:szCs w:val="32"/>
          <w:lang w:val="en-US" w:eastAsia="zh-CN"/>
        </w:rPr>
        <w:t>是</w:t>
      </w:r>
      <w:r>
        <w:rPr>
          <w:rFonts w:hint="eastAsia" w:ascii="仿宋" w:hAnsi="仿宋" w:eastAsia="仿宋" w:cs="仿宋"/>
          <w:color w:val="000000"/>
          <w:sz w:val="32"/>
          <w:szCs w:val="32"/>
          <w:lang w:val="en-US" w:eastAsia="zh-CN"/>
        </w:rPr>
        <w:t>按时调整退休人员养老待遇。按照全省统一部署，7月份完成退休人员养老金待遇调整工作，人均养老金上调4.4%，调整后机关事业退休人员平均养老金达到3472.59元，企业退休人员平均养老金达到2877.35元；调整了居民养老保险待遇的基础养老金，每人每月增长10元（中央5元、省2.5元、县2.5元）达到123元，从7月份开始执行。</w:t>
      </w:r>
    </w:p>
    <w:p>
      <w:pPr>
        <w:keepNext w:val="0"/>
        <w:keepLines w:val="0"/>
        <w:pageBreakBefore w:val="0"/>
        <w:widowControl w:val="0"/>
        <w:numPr>
          <w:ilvl w:val="0"/>
          <w:numId w:val="0"/>
        </w:numPr>
        <w:pBdr>
          <w:top w:val="none" w:color="000000" w:sz="0" w:space="0"/>
          <w:left w:val="none" w:color="000000" w:sz="0" w:space="0"/>
          <w:bottom w:val="none" w:color="000000" w:sz="0" w:space="23"/>
          <w:right w:val="none" w:color="000000" w:sz="0" w:space="0"/>
        </w:pBdr>
        <w:tabs>
          <w:tab w:val="left" w:pos="0"/>
        </w:tabs>
        <w:kinsoku/>
        <w:wordWrap/>
        <w:overflowPunct/>
        <w:topLinePunct w:val="0"/>
        <w:autoSpaceDE/>
        <w:autoSpaceDN/>
        <w:bidi w:val="0"/>
        <w:adjustRightInd w:val="0"/>
        <w:snapToGrid w:val="0"/>
        <w:spacing w:beforeAutospacing="0" w:afterAutospacing="0" w:line="560" w:lineRule="exact"/>
        <w:ind w:left="0" w:leftChars="0" w:right="0" w:rightChars="0" w:firstLine="643" w:firstLineChars="200"/>
        <w:jc w:val="both"/>
        <w:textAlignment w:val="auto"/>
        <w:rPr>
          <w:rFonts w:hint="eastAsia" w:ascii="仿宋" w:hAnsi="仿宋" w:eastAsia="仿宋" w:cs="仿宋"/>
          <w:color w:val="000000"/>
          <w:sz w:val="32"/>
          <w:szCs w:val="32"/>
          <w:lang w:val="en-US" w:eastAsia="zh-CN"/>
        </w:rPr>
      </w:pPr>
      <w:r>
        <w:rPr>
          <w:rFonts w:hint="eastAsia" w:ascii="仿宋" w:hAnsi="仿宋" w:eastAsia="仿宋" w:cs="仿宋"/>
          <w:b/>
          <w:bCs/>
          <w:color w:val="000000"/>
          <w:sz w:val="32"/>
          <w:szCs w:val="32"/>
          <w:lang w:val="en-US" w:eastAsia="zh-CN"/>
        </w:rPr>
        <w:t>3.大力引进培育人才。</w:t>
      </w:r>
      <w:r>
        <w:rPr>
          <w:rFonts w:hint="eastAsia" w:ascii="仿宋" w:hAnsi="仿宋" w:eastAsia="仿宋" w:cs="仿宋"/>
          <w:b/>
          <w:bCs/>
          <w:color w:val="000000"/>
          <w:sz w:val="32"/>
          <w:szCs w:val="32"/>
          <w:lang w:eastAsia="zh-CN"/>
        </w:rPr>
        <w:t>一是</w:t>
      </w:r>
      <w:r>
        <w:rPr>
          <w:rFonts w:hint="eastAsia" w:ascii="仿宋" w:hAnsi="仿宋" w:eastAsia="仿宋" w:cs="仿宋"/>
          <w:color w:val="000000"/>
          <w:sz w:val="32"/>
          <w:szCs w:val="32"/>
          <w:lang w:eastAsia="zh-CN"/>
        </w:rPr>
        <w:t>引进人才方面，</w:t>
      </w:r>
      <w:r>
        <w:rPr>
          <w:rFonts w:hint="eastAsia" w:ascii="仿宋" w:hAnsi="仿宋" w:eastAsia="仿宋" w:cs="仿宋"/>
          <w:color w:val="000000"/>
          <w:sz w:val="32"/>
          <w:szCs w:val="32"/>
          <w:lang w:val="en-US" w:eastAsia="zh-CN"/>
        </w:rPr>
        <w:t>2月份配合教育局公开选调赞皇籍在县外工作的优秀教师4名；上报事业单位招聘计划37人，</w:t>
      </w:r>
      <w:r>
        <w:rPr>
          <w:rFonts w:hint="eastAsia" w:ascii="仿宋" w:hAnsi="仿宋" w:eastAsia="仿宋" w:cs="仿宋"/>
          <w:b w:val="0"/>
          <w:bCs w:val="0"/>
          <w:color w:val="000000"/>
          <w:sz w:val="32"/>
          <w:szCs w:val="32"/>
          <w:lang w:val="en-US" w:eastAsia="zh-CN"/>
        </w:rPr>
        <w:t>“三支一扶”招聘计划10人；</w:t>
      </w:r>
      <w:r>
        <w:rPr>
          <w:rFonts w:hint="eastAsia" w:ascii="仿宋" w:hAnsi="仿宋" w:eastAsia="仿宋" w:cs="仿宋"/>
          <w:color w:val="000000"/>
          <w:sz w:val="32"/>
          <w:szCs w:val="32"/>
          <w:lang w:eastAsia="zh-CN"/>
        </w:rPr>
        <w:t>依托人力资源工作站</w:t>
      </w:r>
      <w:r>
        <w:rPr>
          <w:rFonts w:hint="eastAsia" w:ascii="仿宋" w:hAnsi="仿宋" w:eastAsia="仿宋" w:cs="仿宋"/>
          <w:color w:val="000000"/>
          <w:sz w:val="32"/>
          <w:szCs w:val="32"/>
        </w:rPr>
        <w:t>举行公开招聘活动8次，引进本科人才18名。</w:t>
      </w:r>
      <w:r>
        <w:rPr>
          <w:rFonts w:hint="eastAsia" w:ascii="仿宋" w:hAnsi="仿宋" w:eastAsia="仿宋" w:cs="仿宋"/>
          <w:b/>
          <w:bCs/>
          <w:color w:val="000000"/>
          <w:sz w:val="32"/>
          <w:szCs w:val="32"/>
          <w:lang w:val="en-US" w:eastAsia="zh-CN"/>
        </w:rPr>
        <w:t>二是</w:t>
      </w:r>
      <w:r>
        <w:rPr>
          <w:rFonts w:hint="eastAsia" w:ascii="仿宋" w:hAnsi="仿宋" w:eastAsia="仿宋" w:cs="仿宋"/>
          <w:color w:val="000000"/>
          <w:kern w:val="2"/>
          <w:sz w:val="32"/>
          <w:szCs w:val="32"/>
          <w:lang w:val="en-US" w:eastAsia="zh-CN" w:bidi="ar-SA"/>
        </w:rPr>
        <w:t>服务人才方面，</w:t>
      </w:r>
      <w:r>
        <w:rPr>
          <w:rFonts w:hint="eastAsia" w:ascii="仿宋" w:hAnsi="仿宋" w:eastAsia="仿宋" w:cs="仿宋"/>
          <w:color w:val="000000"/>
          <w:sz w:val="32"/>
          <w:szCs w:val="32"/>
          <w:lang w:val="en-US" w:eastAsia="zh-CN"/>
        </w:rPr>
        <w:t>为流动人员提供档案管理服务，目前人才中心存有档案9163份；</w:t>
      </w:r>
      <w:r>
        <w:rPr>
          <w:rFonts w:hint="eastAsia" w:ascii="仿宋" w:hAnsi="仿宋" w:eastAsia="仿宋" w:cs="仿宋"/>
          <w:color w:val="000000"/>
          <w:kern w:val="2"/>
          <w:sz w:val="32"/>
          <w:szCs w:val="32"/>
          <w:lang w:val="en-US" w:eastAsia="zh-CN" w:bidi="ar-SA"/>
        </w:rPr>
        <w:t>先后两批次完成县以下事业单位管理岗位职员晋升工作，</w:t>
      </w:r>
      <w:r>
        <w:rPr>
          <w:rFonts w:hint="eastAsia" w:ascii="仿宋" w:hAnsi="仿宋" w:eastAsia="仿宋" w:cs="仿宋"/>
          <w:b w:val="0"/>
          <w:bCs w:val="0"/>
          <w:color w:val="000000"/>
          <w:sz w:val="32"/>
          <w:szCs w:val="32"/>
          <w:lang w:val="en-US" w:eastAsia="zh-CN"/>
        </w:rPr>
        <w:t>按人事管理权限，管理九级晋升八级209人，管理十级晋升九级12人；简化优化非公企业人才职称评审，</w:t>
      </w:r>
      <w:r>
        <w:rPr>
          <w:rFonts w:hint="eastAsia" w:ascii="仿宋" w:hAnsi="仿宋" w:eastAsia="仿宋" w:cs="仿宋"/>
          <w:color w:val="000000"/>
          <w:sz w:val="32"/>
          <w:szCs w:val="32"/>
        </w:rPr>
        <w:t>对非公企业专技人员申报评审时</w:t>
      </w:r>
      <w:r>
        <w:rPr>
          <w:rFonts w:hint="eastAsia" w:ascii="仿宋" w:hAnsi="仿宋" w:eastAsia="仿宋" w:cs="仿宋"/>
          <w:color w:val="000000"/>
          <w:sz w:val="32"/>
          <w:szCs w:val="32"/>
          <w:lang w:val="en-US" w:eastAsia="zh-CN"/>
        </w:rPr>
        <w:t>开辟绿色通道，符合评审条件的</w:t>
      </w:r>
      <w:r>
        <w:rPr>
          <w:rFonts w:hint="eastAsia" w:ascii="仿宋" w:hAnsi="仿宋" w:eastAsia="仿宋" w:cs="仿宋"/>
          <w:color w:val="000000"/>
          <w:sz w:val="32"/>
          <w:szCs w:val="32"/>
        </w:rPr>
        <w:t>一步到位</w:t>
      </w:r>
      <w:r>
        <w:rPr>
          <w:rFonts w:hint="eastAsia" w:ascii="仿宋" w:hAnsi="仿宋" w:eastAsia="仿宋" w:cs="仿宋"/>
          <w:color w:val="000000"/>
          <w:sz w:val="32"/>
          <w:szCs w:val="32"/>
          <w:lang w:eastAsia="zh-CN"/>
        </w:rPr>
        <w:t>，直接申报中高级职称，</w:t>
      </w:r>
      <w:r>
        <w:rPr>
          <w:rFonts w:hint="eastAsia" w:ascii="仿宋" w:hAnsi="仿宋" w:eastAsia="仿宋" w:cs="仿宋"/>
          <w:color w:val="000000"/>
          <w:sz w:val="32"/>
          <w:szCs w:val="32"/>
          <w:lang w:val="en-US" w:eastAsia="zh-CN"/>
        </w:rPr>
        <w:t>我县非公企业现有高级职称15人、中级159人。</w:t>
      </w:r>
    </w:p>
    <w:p>
      <w:pPr>
        <w:keepNext w:val="0"/>
        <w:keepLines w:val="0"/>
        <w:pageBreakBefore w:val="0"/>
        <w:widowControl w:val="0"/>
        <w:numPr>
          <w:ilvl w:val="0"/>
          <w:numId w:val="0"/>
        </w:numPr>
        <w:pBdr>
          <w:top w:val="none" w:color="000000" w:sz="0" w:space="0"/>
          <w:left w:val="none" w:color="000000" w:sz="0" w:space="0"/>
          <w:bottom w:val="none" w:color="000000" w:sz="0" w:space="23"/>
          <w:right w:val="none" w:color="000000" w:sz="0" w:space="0"/>
        </w:pBdr>
        <w:tabs>
          <w:tab w:val="left" w:pos="0"/>
        </w:tabs>
        <w:kinsoku/>
        <w:wordWrap/>
        <w:overflowPunct/>
        <w:topLinePunct w:val="0"/>
        <w:autoSpaceDE/>
        <w:autoSpaceDN/>
        <w:bidi w:val="0"/>
        <w:adjustRightInd w:val="0"/>
        <w:snapToGrid w:val="0"/>
        <w:spacing w:beforeAutospacing="0" w:afterAutospacing="0" w:line="560" w:lineRule="exact"/>
        <w:ind w:left="0" w:leftChars="0" w:right="0" w:rightChars="0" w:firstLine="643"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b/>
          <w:bCs/>
          <w:color w:val="000000"/>
          <w:sz w:val="32"/>
          <w:szCs w:val="32"/>
          <w:lang w:val="en-US" w:eastAsia="zh-CN"/>
        </w:rPr>
        <w:t>4.强力推进根治欠薪工作。</w:t>
      </w:r>
      <w:r>
        <w:rPr>
          <w:rFonts w:hint="eastAsia" w:ascii="仿宋" w:hAnsi="仿宋" w:eastAsia="仿宋" w:cs="仿宋"/>
          <w:sz w:val="32"/>
          <w:szCs w:val="32"/>
          <w:lang w:val="en-US" w:eastAsia="zh-CN"/>
        </w:rPr>
        <w:t>开展了根治欠薪“春季行动”、“夏季行动”，</w:t>
      </w:r>
      <w:r>
        <w:rPr>
          <w:rFonts w:hint="eastAsia" w:ascii="仿宋" w:hAnsi="仿宋" w:eastAsia="仿宋" w:cs="仿宋"/>
          <w:b w:val="0"/>
          <w:bCs w:val="0"/>
          <w:color w:val="000000"/>
          <w:sz w:val="32"/>
          <w:szCs w:val="32"/>
          <w:lang w:val="en-US" w:eastAsia="zh-CN"/>
        </w:rPr>
        <w:t>共处置56条欠薪线索，为274名农民工追回工资253万元。与</w:t>
      </w:r>
      <w:r>
        <w:rPr>
          <w:rFonts w:hint="eastAsia" w:ascii="仿宋" w:hAnsi="仿宋" w:eastAsia="仿宋" w:cs="仿宋"/>
          <w:sz w:val="32"/>
          <w:szCs w:val="32"/>
          <w:lang w:val="en-US" w:eastAsia="zh-CN"/>
        </w:rPr>
        <w:t>法院联合执法，强制执行3起欠薪案件共22.5万元，切实维护农民工合法权益。</w:t>
      </w:r>
    </w:p>
    <w:p>
      <w:pPr>
        <w:keepNext w:val="0"/>
        <w:keepLines w:val="0"/>
        <w:pageBreakBefore w:val="0"/>
        <w:widowControl w:val="0"/>
        <w:numPr>
          <w:ilvl w:val="0"/>
          <w:numId w:val="0"/>
        </w:numPr>
        <w:pBdr>
          <w:top w:val="none" w:color="000000" w:sz="0" w:space="0"/>
          <w:left w:val="none" w:color="000000" w:sz="0" w:space="0"/>
          <w:bottom w:val="none" w:color="000000" w:sz="0" w:space="23"/>
          <w:right w:val="none" w:color="000000" w:sz="0" w:space="0"/>
        </w:pBdr>
        <w:tabs>
          <w:tab w:val="left" w:pos="0"/>
        </w:tabs>
        <w:kinsoku/>
        <w:wordWrap/>
        <w:overflowPunct/>
        <w:topLinePunct w:val="0"/>
        <w:autoSpaceDE/>
        <w:autoSpaceDN/>
        <w:bidi w:val="0"/>
        <w:adjustRightInd w:val="0"/>
        <w:snapToGrid w:val="0"/>
        <w:spacing w:beforeAutospacing="0" w:afterAutospacing="0" w:line="560" w:lineRule="exact"/>
        <w:ind w:left="0" w:leftChars="0" w:right="0" w:rightChars="0" w:firstLine="643" w:firstLineChars="200"/>
        <w:jc w:val="both"/>
        <w:textAlignment w:val="auto"/>
        <w:rPr>
          <w:rFonts w:hint="eastAsia" w:ascii="仿宋" w:hAnsi="仿宋" w:eastAsia="仿宋" w:cs="仿宋"/>
          <w:sz w:val="32"/>
          <w:szCs w:val="32"/>
          <w:vertAlign w:val="baseline"/>
          <w:lang w:val="en-US" w:eastAsia="zh-CN"/>
        </w:rPr>
      </w:pPr>
      <w:r>
        <w:rPr>
          <w:rFonts w:hint="eastAsia" w:ascii="仿宋" w:hAnsi="仿宋" w:eastAsia="仿宋" w:cs="仿宋"/>
          <w:b/>
          <w:bCs/>
          <w:i w:val="0"/>
          <w:iCs w:val="0"/>
          <w:color w:val="000000"/>
          <w:sz w:val="32"/>
          <w:szCs w:val="32"/>
          <w:lang w:val="en-US" w:eastAsia="zh-CN"/>
        </w:rPr>
        <w:t>5.</w:t>
      </w:r>
      <w:r>
        <w:rPr>
          <w:rFonts w:hint="eastAsia" w:ascii="仿宋" w:hAnsi="仿宋" w:eastAsia="仿宋" w:cs="仿宋"/>
          <w:b/>
          <w:bCs/>
          <w:sz w:val="32"/>
          <w:szCs w:val="32"/>
          <w:lang w:val="en-US" w:eastAsia="zh-CN"/>
        </w:rPr>
        <w:t>社会保障服务体系建设。</w:t>
      </w:r>
      <w:r>
        <w:rPr>
          <w:rFonts w:hint="eastAsia" w:ascii="仿宋" w:hAnsi="仿宋" w:eastAsia="仿宋" w:cs="仿宋"/>
          <w:color w:val="000000"/>
          <w:sz w:val="32"/>
          <w:szCs w:val="32"/>
          <w:vertAlign w:val="baseline"/>
          <w:lang w:val="en-US" w:eastAsia="zh-CN"/>
        </w:rPr>
        <w:t>人社服务“市县乡村一体化”服务体系基本完成。整合县级平台窗口集中办公，简化优化服务事项流程，逐步实现人社综合柜员制办公模式，提高办事效率。</w:t>
      </w:r>
      <w:r>
        <w:rPr>
          <w:rFonts w:hint="eastAsia" w:ascii="仿宋" w:hAnsi="仿宋" w:eastAsia="仿宋" w:cs="仿宋"/>
          <w:sz w:val="32"/>
          <w:szCs w:val="32"/>
          <w:vertAlign w:val="baseline"/>
          <w:lang w:val="en-US" w:eastAsia="zh-CN"/>
        </w:rPr>
        <w:t>通过“一体化建设”，推进实现人社服务“一门办、就近办、马上办、网上办”，全面提高人社服务效能。</w:t>
      </w:r>
    </w:p>
    <w:p>
      <w:pPr>
        <w:keepNext w:val="0"/>
        <w:keepLines w:val="0"/>
        <w:pageBreakBefore w:val="0"/>
        <w:widowControl w:val="0"/>
        <w:numPr>
          <w:ilvl w:val="0"/>
          <w:numId w:val="0"/>
        </w:numPr>
        <w:pBdr>
          <w:top w:val="none" w:color="000000" w:sz="0" w:space="0"/>
          <w:left w:val="none" w:color="000000" w:sz="0" w:space="0"/>
          <w:bottom w:val="none" w:color="000000" w:sz="0" w:space="23"/>
          <w:right w:val="none" w:color="000000" w:sz="0" w:space="0"/>
        </w:pBdr>
        <w:tabs>
          <w:tab w:val="left" w:pos="0"/>
        </w:tabs>
        <w:kinsoku/>
        <w:wordWrap/>
        <w:overflowPunct/>
        <w:topLinePunct w:val="0"/>
        <w:autoSpaceDE/>
        <w:autoSpaceDN/>
        <w:bidi w:val="0"/>
        <w:adjustRightInd w:val="0"/>
        <w:snapToGrid w:val="0"/>
        <w:spacing w:beforeAutospacing="0" w:afterAutospacing="0" w:line="560" w:lineRule="exact"/>
        <w:ind w:left="0" w:leftChars="0" w:right="0" w:rightChars="0" w:firstLine="643" w:firstLineChars="200"/>
        <w:jc w:val="both"/>
        <w:textAlignment w:val="auto"/>
        <w:rPr>
          <w:rFonts w:hint="eastAsia" w:ascii="仿宋" w:hAnsi="仿宋" w:eastAsia="仿宋" w:cs="仿宋"/>
          <w:b/>
          <w:bCs/>
          <w:sz w:val="32"/>
          <w:szCs w:val="32"/>
        </w:rPr>
      </w:pPr>
      <w:r>
        <w:rPr>
          <w:rFonts w:hint="eastAsia" w:ascii="仿宋" w:hAnsi="仿宋" w:eastAsia="仿宋" w:cs="仿宋"/>
          <w:b/>
          <w:bCs/>
          <w:sz w:val="32"/>
          <w:szCs w:val="32"/>
        </w:rPr>
        <w:t>四、评价结论和评价等级</w:t>
      </w:r>
    </w:p>
    <w:p>
      <w:pPr>
        <w:keepNext w:val="0"/>
        <w:keepLines w:val="0"/>
        <w:pageBreakBefore w:val="0"/>
        <w:widowControl w:val="0"/>
        <w:numPr>
          <w:ilvl w:val="0"/>
          <w:numId w:val="0"/>
        </w:numPr>
        <w:pBdr>
          <w:top w:val="none" w:color="000000" w:sz="0" w:space="0"/>
          <w:left w:val="none" w:color="000000" w:sz="0" w:space="0"/>
          <w:bottom w:val="none" w:color="000000" w:sz="0" w:space="23"/>
          <w:right w:val="none" w:color="000000" w:sz="0" w:space="0"/>
        </w:pBdr>
        <w:tabs>
          <w:tab w:val="left" w:pos="0"/>
        </w:tabs>
        <w:kinsoku/>
        <w:wordWrap/>
        <w:overflowPunct/>
        <w:topLinePunct w:val="0"/>
        <w:autoSpaceDE/>
        <w:autoSpaceDN/>
        <w:bidi w:val="0"/>
        <w:adjustRightInd w:val="0"/>
        <w:snapToGrid w:val="0"/>
        <w:spacing w:beforeAutospacing="0" w:afterAutospacing="0" w:line="560" w:lineRule="exact"/>
        <w:ind w:left="0" w:leftChars="0" w:right="0" w:rightChars="0" w:firstLine="640" w:firstLineChars="200"/>
        <w:jc w:val="both"/>
        <w:textAlignment w:val="auto"/>
        <w:rPr>
          <w:rFonts w:hint="eastAsia" w:ascii="仿宋" w:hAnsi="仿宋" w:eastAsia="仿宋" w:cs="仿宋"/>
          <w:sz w:val="32"/>
          <w:szCs w:val="32"/>
          <w:lang w:eastAsia="zh-CN"/>
        </w:rPr>
      </w:pPr>
      <w:r>
        <w:rPr>
          <w:rFonts w:hint="eastAsia" w:ascii="仿宋" w:hAnsi="仿宋" w:eastAsia="仿宋" w:cs="仿宋"/>
          <w:sz w:val="32"/>
          <w:szCs w:val="32"/>
        </w:rPr>
        <w:t>根据部门职责定位和各项工作履职情况进行综合评价，给出总得分，满分100分，得出综合绩效评价等级。部门整体支出综合绩效评价分为4个等级：得分≥85分为优秀；75≤得分＜85分为良好；60≤得分＜75分为一般；得分＜60分为较差。</w:t>
      </w:r>
      <w:r>
        <w:rPr>
          <w:rFonts w:hint="eastAsia" w:ascii="仿宋" w:hAnsi="仿宋" w:eastAsia="仿宋" w:cs="仿宋"/>
          <w:sz w:val="32"/>
          <w:szCs w:val="32"/>
          <w:lang w:eastAsia="zh-CN"/>
        </w:rPr>
        <w:t>经评价，我部门整体绩效综合评价等级为优秀。</w:t>
      </w:r>
    </w:p>
    <w:p>
      <w:pPr>
        <w:keepNext w:val="0"/>
        <w:keepLines w:val="0"/>
        <w:pageBreakBefore w:val="0"/>
        <w:widowControl w:val="0"/>
        <w:numPr>
          <w:ilvl w:val="0"/>
          <w:numId w:val="0"/>
        </w:numPr>
        <w:pBdr>
          <w:top w:val="none" w:color="000000" w:sz="0" w:space="0"/>
          <w:left w:val="none" w:color="000000" w:sz="0" w:space="0"/>
          <w:bottom w:val="none" w:color="000000" w:sz="0" w:space="23"/>
          <w:right w:val="none" w:color="000000" w:sz="0" w:space="0"/>
        </w:pBdr>
        <w:tabs>
          <w:tab w:val="left" w:pos="0"/>
        </w:tabs>
        <w:kinsoku/>
        <w:wordWrap/>
        <w:overflowPunct/>
        <w:topLinePunct w:val="0"/>
        <w:autoSpaceDE/>
        <w:autoSpaceDN/>
        <w:bidi w:val="0"/>
        <w:adjustRightInd w:val="0"/>
        <w:snapToGrid w:val="0"/>
        <w:spacing w:beforeAutospacing="0" w:afterAutospacing="0" w:line="560" w:lineRule="exact"/>
        <w:ind w:left="0" w:leftChars="0" w:right="0" w:rightChars="0" w:firstLine="643" w:firstLineChars="200"/>
        <w:jc w:val="both"/>
        <w:textAlignment w:val="auto"/>
        <w:rPr>
          <w:rFonts w:hint="eastAsia" w:ascii="仿宋" w:hAnsi="仿宋" w:eastAsia="仿宋" w:cs="仿宋"/>
          <w:b/>
          <w:bCs/>
          <w:sz w:val="32"/>
          <w:szCs w:val="32"/>
        </w:rPr>
      </w:pPr>
      <w:r>
        <w:rPr>
          <w:rFonts w:hint="eastAsia" w:ascii="仿宋" w:hAnsi="仿宋" w:eastAsia="仿宋" w:cs="仿宋"/>
          <w:b/>
          <w:bCs/>
          <w:sz w:val="32"/>
          <w:szCs w:val="32"/>
        </w:rPr>
        <w:t>五、存在的问题及改进措施</w:t>
      </w:r>
    </w:p>
    <w:p>
      <w:pPr>
        <w:keepNext w:val="0"/>
        <w:keepLines w:val="0"/>
        <w:pageBreakBefore w:val="0"/>
        <w:widowControl w:val="0"/>
        <w:numPr>
          <w:ilvl w:val="0"/>
          <w:numId w:val="0"/>
        </w:numPr>
        <w:pBdr>
          <w:top w:val="none" w:color="000000" w:sz="0" w:space="0"/>
          <w:left w:val="none" w:color="000000" w:sz="0" w:space="0"/>
          <w:bottom w:val="none" w:color="000000" w:sz="0" w:space="23"/>
          <w:right w:val="none" w:color="000000" w:sz="0" w:space="0"/>
        </w:pBdr>
        <w:tabs>
          <w:tab w:val="left" w:pos="0"/>
        </w:tabs>
        <w:kinsoku/>
        <w:wordWrap/>
        <w:overflowPunct/>
        <w:topLinePunct w:val="0"/>
        <w:autoSpaceDE/>
        <w:autoSpaceDN/>
        <w:bidi w:val="0"/>
        <w:adjustRightInd w:val="0"/>
        <w:snapToGrid w:val="0"/>
        <w:spacing w:beforeAutospacing="0" w:afterAutospacing="0" w:line="560" w:lineRule="exact"/>
        <w:ind w:left="0" w:leftChars="0" w:right="0" w:rightChars="0" w:firstLine="640" w:firstLineChars="200"/>
        <w:jc w:val="both"/>
        <w:textAlignment w:val="auto"/>
        <w:rPr>
          <w:rFonts w:hint="eastAsia" w:ascii="仿宋" w:hAnsi="仿宋" w:eastAsia="仿宋" w:cs="仿宋"/>
          <w:color w:val="000000"/>
          <w:sz w:val="32"/>
          <w:szCs w:val="32"/>
          <w:shd w:val="clear" w:color="auto" w:fill="FFFFFF"/>
        </w:rPr>
      </w:pPr>
      <w:r>
        <w:rPr>
          <w:rFonts w:hint="eastAsia" w:ascii="仿宋" w:hAnsi="仿宋" w:eastAsia="仿宋" w:cs="仿宋"/>
          <w:sz w:val="32"/>
          <w:szCs w:val="32"/>
        </w:rPr>
        <w:t>一是</w:t>
      </w:r>
      <w:r>
        <w:rPr>
          <w:rFonts w:hint="eastAsia" w:ascii="仿宋" w:hAnsi="仿宋" w:eastAsia="仿宋" w:cs="仿宋"/>
          <w:color w:val="000000"/>
          <w:sz w:val="32"/>
          <w:szCs w:val="32"/>
          <w:shd w:val="clear" w:color="auto" w:fill="FFFFFF"/>
        </w:rPr>
        <w:t xml:space="preserve">我单位将加强对预算绩效工作的重视，认真做好财政资金预算，严格控制支出， </w:t>
      </w:r>
      <w:r>
        <w:rPr>
          <w:rFonts w:hint="eastAsia" w:ascii="仿宋" w:hAnsi="仿宋" w:eastAsia="仿宋" w:cs="仿宋"/>
          <w:sz w:val="32"/>
          <w:szCs w:val="32"/>
        </w:rPr>
        <w:t>参照并对比年初设置的绩效目标，强化支出分析，对实际支出预算过慢的情况，要及时纠正，确保全年绩效目标顺利完成</w:t>
      </w:r>
      <w:r>
        <w:rPr>
          <w:rFonts w:hint="eastAsia" w:ascii="仿宋" w:hAnsi="仿宋" w:eastAsia="仿宋" w:cs="仿宋"/>
          <w:color w:val="000000"/>
          <w:sz w:val="32"/>
          <w:szCs w:val="32"/>
          <w:shd w:val="clear" w:color="auto" w:fill="FFFFFF"/>
        </w:rPr>
        <w:t>。</w:t>
      </w:r>
    </w:p>
    <w:p>
      <w:pPr>
        <w:keepNext w:val="0"/>
        <w:keepLines w:val="0"/>
        <w:pageBreakBefore w:val="0"/>
        <w:kinsoku/>
        <w:wordWrap/>
        <w:overflowPunct/>
        <w:topLinePunct w:val="0"/>
        <w:autoSpaceDE/>
        <w:autoSpaceDN/>
        <w:bidi w:val="0"/>
        <w:spacing w:beforeAutospacing="0" w:afterAutospacing="0" w:line="560" w:lineRule="exact"/>
        <w:ind w:left="0" w:leftChars="0"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二是加强日常监控工作。</w:t>
      </w:r>
      <w:r>
        <w:rPr>
          <w:rFonts w:hint="eastAsia" w:ascii="仿宋" w:hAnsi="仿宋" w:eastAsia="仿宋" w:cs="仿宋"/>
          <w:color w:val="333333"/>
          <w:sz w:val="32"/>
          <w:szCs w:val="32"/>
        </w:rPr>
        <w:t>建立和完善绩效监控管理制度，增强绩效主体责任和绩效监控意识，重视资金监控，提高资金使用效率，逐步扩大项目执行绩效跟踪监控范围，为下一步绩效监控工作打下坚实基础。</w:t>
      </w:r>
    </w:p>
    <w:p>
      <w:pPr>
        <w:keepNext w:val="0"/>
        <w:keepLines w:val="0"/>
        <w:pageBreakBefore w:val="0"/>
        <w:numPr>
          <w:ilvl w:val="0"/>
          <w:numId w:val="6"/>
        </w:numPr>
        <w:kinsoku/>
        <w:wordWrap/>
        <w:overflowPunct/>
        <w:topLinePunct w:val="0"/>
        <w:autoSpaceDE/>
        <w:autoSpaceDN/>
        <w:bidi w:val="0"/>
        <w:adjustRightInd w:val="0"/>
        <w:snapToGrid w:val="0"/>
        <w:spacing w:beforeAutospacing="0" w:afterAutospacing="0" w:line="560" w:lineRule="exact"/>
        <w:ind w:left="0" w:leftChars="0" w:firstLine="643" w:firstLineChars="200"/>
        <w:textAlignment w:val="auto"/>
        <w:rPr>
          <w:rFonts w:hint="eastAsia" w:ascii="仿宋" w:hAnsi="仿宋" w:eastAsia="仿宋" w:cs="仿宋"/>
          <w:b/>
          <w:bCs/>
          <w:sz w:val="32"/>
          <w:szCs w:val="32"/>
        </w:rPr>
      </w:pPr>
      <w:r>
        <w:rPr>
          <w:rFonts w:hint="eastAsia" w:ascii="仿宋" w:hAnsi="仿宋" w:eastAsia="仿宋" w:cs="仿宋"/>
          <w:b/>
          <w:bCs/>
          <w:sz w:val="32"/>
          <w:szCs w:val="32"/>
        </w:rPr>
        <w:t>评价工作组人员名单及签字（姓名、工作单位、职务、职称）</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firstLine="64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组  长      李志江    人社局副局长</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firstLine="64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副组长      马凯飞    办公室主任</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firstLine="640" w:firstLineChars="200"/>
        <w:textAlignment w:val="auto"/>
      </w:pPr>
      <w:r>
        <w:rPr>
          <w:rFonts w:hint="eastAsia" w:ascii="仿宋" w:hAnsi="仿宋" w:eastAsia="仿宋"/>
          <w:sz w:val="32"/>
          <w:szCs w:val="32"/>
          <w:lang w:val="en-US" w:eastAsia="zh-CN"/>
        </w:rPr>
        <w:t>组  员      韩广魁    办公室科员</w:t>
      </w:r>
    </w:p>
    <w:p>
      <w:pPr>
        <w:pStyle w:val="2"/>
        <w:numPr>
          <w:ilvl w:val="0"/>
          <w:numId w:val="0"/>
        </w:numPr>
        <w:ind w:leftChars="400"/>
        <w:rPr>
          <w:rFonts w:hint="eastAsia"/>
        </w:rPr>
      </w:pPr>
    </w:p>
    <w:p>
      <w:pPr>
        <w:keepNext w:val="0"/>
        <w:keepLines w:val="0"/>
        <w:pageBreakBefore w:val="0"/>
        <w:kinsoku/>
        <w:wordWrap/>
        <w:overflowPunct/>
        <w:topLinePunct w:val="0"/>
        <w:autoSpaceDE/>
        <w:autoSpaceDN/>
        <w:bidi w:val="0"/>
        <w:spacing w:beforeAutospacing="0" w:afterAutospacing="0" w:line="560" w:lineRule="exact"/>
        <w:ind w:left="0" w:leftChars="0" w:firstLine="640" w:firstLineChars="200"/>
        <w:textAlignment w:val="auto"/>
        <w:rPr>
          <w:rFonts w:hint="eastAsia" w:ascii="仿宋" w:hAnsi="仿宋" w:eastAsia="仿宋" w:cs="仿宋"/>
          <w:sz w:val="32"/>
          <w:szCs w:val="32"/>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86"/>
    <w:family w:val="auto"/>
    <w:pitch w:val="default"/>
    <w:sig w:usb0="00000000" w:usb1="00000000" w:usb2="00000009" w:usb3="00000000" w:csb0="400001FF" w:csb1="FFFF0000"/>
  </w:font>
  <w:font w:name="宋体">
    <w:altName w:val="方正书宋_GBK"/>
    <w:panose1 w:val="02010600030101010101"/>
    <w:charset w:val="7A"/>
    <w:family w:val="auto"/>
    <w:pitch w:val="default"/>
    <w:sig w:usb0="00000000" w:usb1="0000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Cambria">
    <w:altName w:val="Noto Sans Syriac Eastern"/>
    <w:panose1 w:val="02040503050406030204"/>
    <w:charset w:val="00"/>
    <w:family w:val="roman"/>
    <w:pitch w:val="default"/>
    <w:sig w:usb0="00000000" w:usb1="00000000" w:usb2="00000000" w:usb3="00000000" w:csb0="2000019F" w:csb1="00000000"/>
  </w:font>
  <w:font w:name="方正仿宋_GBK">
    <w:panose1 w:val="02000000000000000000"/>
    <w:charset w:val="86"/>
    <w:family w:val="auto"/>
    <w:pitch w:val="default"/>
    <w:sig w:usb0="00000001" w:usb1="0800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华文楷体">
    <w:altName w:val="方正楷体_GBK"/>
    <w:panose1 w:val="02010600040101010101"/>
    <w:charset w:val="86"/>
    <w:family w:val="auto"/>
    <w:pitch w:val="default"/>
    <w:sig w:usb0="00000000" w:usb1="00000000" w:usb2="00000010" w:usb3="00000000" w:csb0="0004009F" w:csb1="00000000"/>
  </w:font>
  <w:font w:name="仿宋">
    <w:altName w:val="方正仿宋_GBK"/>
    <w:panose1 w:val="02010609060101010101"/>
    <w:charset w:val="86"/>
    <w:family w:val="modern"/>
    <w:pitch w:val="default"/>
    <w:sig w:usb0="00000000" w:usb1="00000000" w:usb2="00000016" w:usb3="00000000" w:csb0="00040001" w:csb1="00000000"/>
  </w:font>
  <w:font w:name="方正书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true">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WAAAAZHJzL1BLAQIUABQAAAAIAIdO&#10;4kDOqXm5zwAAAAUBAAAPAAAAAAAAAAEAIAAAADgAAABkcnMvZG93bnJldi54bWxQSwECFAAUAAAA&#10;CACHTuJA2PddNagBAABVAwAADgAAAAAAAAABACAAAAA0AQAAZHJzL2Uyb0RvYy54bWxQSwUGAAAA&#10;AAYABgBZAQAATgU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8104FAD"/>
    <w:multiLevelType w:val="singleLevel"/>
    <w:tmpl w:val="88104FAD"/>
    <w:lvl w:ilvl="0" w:tentative="0">
      <w:start w:val="3"/>
      <w:numFmt w:val="decimal"/>
      <w:suff w:val="nothing"/>
      <w:lvlText w:val="%1、"/>
      <w:lvlJc w:val="left"/>
    </w:lvl>
  </w:abstractNum>
  <w:abstractNum w:abstractNumId="1">
    <w:nsid w:val="96316940"/>
    <w:multiLevelType w:val="singleLevel"/>
    <w:tmpl w:val="96316940"/>
    <w:lvl w:ilvl="0" w:tentative="0">
      <w:start w:val="2"/>
      <w:numFmt w:val="chineseCounting"/>
      <w:suff w:val="nothing"/>
      <w:lvlText w:val="（%1）"/>
      <w:lvlJc w:val="left"/>
      <w:rPr>
        <w:rFonts w:hint="eastAsia"/>
      </w:rPr>
    </w:lvl>
  </w:abstractNum>
  <w:abstractNum w:abstractNumId="2">
    <w:nsid w:val="9A0A54E7"/>
    <w:multiLevelType w:val="singleLevel"/>
    <w:tmpl w:val="9A0A54E7"/>
    <w:lvl w:ilvl="0" w:tentative="0">
      <w:start w:val="3"/>
      <w:numFmt w:val="chineseCounting"/>
      <w:suff w:val="nothing"/>
      <w:lvlText w:val="%1、"/>
      <w:lvlJc w:val="left"/>
      <w:pPr>
        <w:ind w:left="640" w:leftChars="0" w:firstLine="0" w:firstLineChars="0"/>
      </w:pPr>
      <w:rPr>
        <w:rFonts w:hint="eastAsia"/>
      </w:rPr>
    </w:lvl>
  </w:abstractNum>
  <w:abstractNum w:abstractNumId="3">
    <w:nsid w:val="C62F5FC3"/>
    <w:multiLevelType w:val="singleLevel"/>
    <w:tmpl w:val="C62F5FC3"/>
    <w:lvl w:ilvl="0" w:tentative="0">
      <w:start w:val="5"/>
      <w:numFmt w:val="decimal"/>
      <w:suff w:val="nothing"/>
      <w:lvlText w:val="（%1）"/>
      <w:lvlJc w:val="left"/>
      <w:pPr>
        <w:ind w:left="-10"/>
      </w:pPr>
    </w:lvl>
  </w:abstractNum>
  <w:abstractNum w:abstractNumId="4">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5">
    <w:nsid w:val="1D34E1E3"/>
    <w:multiLevelType w:val="singleLevel"/>
    <w:tmpl w:val="1D34E1E3"/>
    <w:lvl w:ilvl="0" w:tentative="0">
      <w:start w:val="6"/>
      <w:numFmt w:val="chineseCounting"/>
      <w:suff w:val="nothing"/>
      <w:lvlText w:val="%1、"/>
      <w:lvlJc w:val="left"/>
      <w:rPr>
        <w:rFonts w:hint="eastAsia"/>
      </w:rPr>
    </w:lvl>
  </w:abstractNum>
  <w:num w:numId="1">
    <w:abstractNumId w:val="1"/>
  </w:num>
  <w:num w:numId="2">
    <w:abstractNumId w:val="0"/>
  </w:num>
  <w:num w:numId="3">
    <w:abstractNumId w:val="3"/>
  </w:num>
  <w:num w:numId="4">
    <w:abstractNumId w:val="4"/>
  </w:num>
  <w:num w:numId="5">
    <w:abstractNumId w:val="2"/>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true"/>
  <w:bordersDoNotSurroundFooter w:val="true"/>
  <w:doNotTrackMoves/>
  <w:documentProtection w:enforcement="0"/>
  <w:defaultTabStop w:val="420"/>
  <w:drawingGridVerticalSpacing w:val="156"/>
  <w:displayHorizontalDrawingGridEvery w:val="0"/>
  <w:displayVerticalDrawingGridEvery w:val="2"/>
  <w:noPunctuationKerning w:val="true"/>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kyNGUzMmNjZjlhYzQ1YjFjNmQ4NDc5OGVhNjhmNTQ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46F331E"/>
    <w:rsid w:val="07956271"/>
    <w:rsid w:val="09721397"/>
    <w:rsid w:val="0BB63BED"/>
    <w:rsid w:val="0C023906"/>
    <w:rsid w:val="0EB97A43"/>
    <w:rsid w:val="0EBD2122"/>
    <w:rsid w:val="0F214EAE"/>
    <w:rsid w:val="11B71E6A"/>
    <w:rsid w:val="1473518B"/>
    <w:rsid w:val="1AAF0063"/>
    <w:rsid w:val="1BE140DE"/>
    <w:rsid w:val="1DF61AEA"/>
    <w:rsid w:val="248C197D"/>
    <w:rsid w:val="252959AF"/>
    <w:rsid w:val="277A6671"/>
    <w:rsid w:val="292D35B7"/>
    <w:rsid w:val="2C11072D"/>
    <w:rsid w:val="33EB6CFF"/>
    <w:rsid w:val="35A12947"/>
    <w:rsid w:val="37387040"/>
    <w:rsid w:val="3B625C0A"/>
    <w:rsid w:val="3CEE1963"/>
    <w:rsid w:val="4C9C27FE"/>
    <w:rsid w:val="4D924F03"/>
    <w:rsid w:val="4FF9AD8B"/>
    <w:rsid w:val="512260B4"/>
    <w:rsid w:val="52BD6ACB"/>
    <w:rsid w:val="55537534"/>
    <w:rsid w:val="561A74F1"/>
    <w:rsid w:val="597244E8"/>
    <w:rsid w:val="5C390658"/>
    <w:rsid w:val="5EB71C30"/>
    <w:rsid w:val="5FC40D40"/>
    <w:rsid w:val="66AF0CE5"/>
    <w:rsid w:val="6AC537CF"/>
    <w:rsid w:val="6E5B14A6"/>
    <w:rsid w:val="711B255E"/>
    <w:rsid w:val="751112D5"/>
    <w:rsid w:val="7A6E2718"/>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14">
    <w:name w:val="Default Paragraph Font"/>
    <w:semiHidden/>
    <w:unhideWhenUsed/>
    <w:qFormat/>
    <w:uiPriority w:val="1"/>
  </w:style>
  <w:style w:type="table" w:default="1" w:styleId="13">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Times New Roman" w:hAnsi="Times New Roman" w:cs="Times New Roman"/>
      <w:sz w:val="20"/>
      <w:szCs w:val="20"/>
    </w:rPr>
    <w:tblPr>
      <w:tblCellMar>
        <w:top w:w="0" w:type="dxa"/>
        <w:left w:w="108" w:type="dxa"/>
        <w:bottom w:w="0" w:type="dxa"/>
        <w:right w:w="108" w:type="dxa"/>
      </w:tblCellMar>
    </w:tblPr>
  </w:style>
  <w:style w:type="paragraph" w:styleId="2">
    <w:name w:val="Body Text First Indent 2"/>
    <w:basedOn w:val="3"/>
    <w:next w:val="5"/>
    <w:qFormat/>
    <w:uiPriority w:val="99"/>
    <w:pPr>
      <w:ind w:firstLine="420" w:firstLineChars="200"/>
    </w:pPr>
  </w:style>
  <w:style w:type="paragraph" w:styleId="3">
    <w:name w:val="Body Text Indent"/>
    <w:basedOn w:val="1"/>
    <w:next w:val="4"/>
    <w:qFormat/>
    <w:uiPriority w:val="99"/>
    <w:pPr>
      <w:spacing w:after="120"/>
      <w:ind w:left="420" w:leftChars="200"/>
    </w:pPr>
  </w:style>
  <w:style w:type="paragraph" w:styleId="4">
    <w:name w:val="Subtitle"/>
    <w:basedOn w:val="1"/>
    <w:next w:val="1"/>
    <w:qFormat/>
    <w:uiPriority w:val="0"/>
    <w:pPr>
      <w:wordWrap w:val="0"/>
      <w:spacing w:after="60"/>
      <w:jc w:val="center"/>
    </w:pPr>
    <w:rPr>
      <w:rFonts w:ascii="Calibri" w:hAnsi="Calibri" w:cs="Calibri"/>
      <w:sz w:val="24"/>
      <w:szCs w:val="24"/>
    </w:rPr>
  </w:style>
  <w:style w:type="paragraph" w:styleId="5">
    <w:name w:val="Body Text Indent 2"/>
    <w:basedOn w:val="6"/>
    <w:qFormat/>
    <w:uiPriority w:val="0"/>
    <w:pPr>
      <w:snapToGrid/>
      <w:spacing w:line="240" w:lineRule="auto"/>
      <w:ind w:left="420" w:leftChars="200"/>
    </w:pPr>
    <w:rPr>
      <w:kern w:val="2"/>
      <w:szCs w:val="32"/>
      <w:lang w:val="en-US"/>
    </w:rPr>
  </w:style>
  <w:style w:type="paragraph" w:styleId="6">
    <w:name w:val="Body Text"/>
    <w:basedOn w:val="1"/>
    <w:next w:val="7"/>
    <w:qFormat/>
    <w:uiPriority w:val="0"/>
    <w:pPr>
      <w:widowControl/>
      <w:spacing w:before="100" w:beforeAutospacing="1" w:after="100" w:afterAutospacing="1"/>
      <w:jc w:val="left"/>
    </w:pPr>
    <w:rPr>
      <w:rFonts w:ascii="宋体" w:hAnsi="宋体" w:cs="宋体"/>
      <w:kern w:val="0"/>
      <w:sz w:val="24"/>
    </w:rPr>
  </w:style>
  <w:style w:type="paragraph" w:customStyle="1" w:styleId="7">
    <w:name w:val="正文部分 Char Char Char"/>
    <w:basedOn w:val="6"/>
    <w:next w:val="8"/>
    <w:qFormat/>
    <w:uiPriority w:val="0"/>
    <w:pPr>
      <w:adjustRightInd w:val="0"/>
      <w:spacing w:line="460" w:lineRule="exact"/>
      <w:textAlignment w:val="baseline"/>
    </w:pPr>
    <w:rPr>
      <w:rFonts w:hAnsi="Calibri"/>
      <w:sz w:val="24"/>
    </w:rPr>
  </w:style>
  <w:style w:type="paragraph" w:customStyle="1" w:styleId="8">
    <w:name w:val="章标题"/>
    <w:basedOn w:val="9"/>
    <w:qFormat/>
    <w:uiPriority w:val="0"/>
    <w:pPr>
      <w:spacing w:line="360" w:lineRule="auto"/>
    </w:pPr>
  </w:style>
  <w:style w:type="paragraph" w:styleId="9">
    <w:name w:val="Title"/>
    <w:basedOn w:val="1"/>
    <w:next w:val="1"/>
    <w:qFormat/>
    <w:uiPriority w:val="0"/>
    <w:pPr>
      <w:spacing w:before="240" w:beforeLines="0" w:after="60" w:afterLines="0"/>
      <w:jc w:val="center"/>
      <w:outlineLvl w:val="0"/>
    </w:pPr>
    <w:rPr>
      <w:rFonts w:ascii="Cambria" w:hAnsi="Cambria" w:cs="Times New Roman"/>
      <w:b/>
      <w:bCs/>
      <w:sz w:val="32"/>
      <w:szCs w:val="32"/>
    </w:rPr>
  </w:style>
  <w:style w:type="paragraph" w:styleId="10">
    <w:name w:val="footer"/>
    <w:basedOn w:val="1"/>
    <w:qFormat/>
    <w:uiPriority w:val="0"/>
    <w:pPr>
      <w:tabs>
        <w:tab w:val="center" w:pos="4153"/>
        <w:tab w:val="right" w:pos="8306"/>
      </w:tabs>
      <w:snapToGrid w:val="0"/>
      <w:jc w:val="left"/>
    </w:pPr>
    <w:rPr>
      <w:sz w:val="18"/>
    </w:rPr>
  </w:style>
  <w:style w:type="paragraph" w:styleId="11">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12">
    <w:name w:val="Normal (Web)"/>
    <w:basedOn w:val="1"/>
    <w:qFormat/>
    <w:uiPriority w:val="0"/>
    <w:pPr>
      <w:spacing w:before="0" w:beforeAutospacing="1" w:after="0" w:afterAutospacing="1"/>
      <w:ind w:left="0" w:right="0"/>
      <w:jc w:val="left"/>
    </w:pPr>
    <w:rPr>
      <w:rFonts w:hint="default" w:ascii="宋体" w:hAnsi="宋体" w:eastAsia="宋体" w:cs="宋体"/>
      <w:kern w:val="0"/>
      <w:sz w:val="24"/>
      <w:lang w:val="en-US" w:eastAsia="zh-CN" w:bidi="ar"/>
    </w:rPr>
  </w:style>
  <w:style w:type="paragraph" w:customStyle="1" w:styleId="15">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character" w:customStyle="1" w:styleId="16">
    <w:name w:val="10"/>
    <w:basedOn w:val="14"/>
    <w:qFormat/>
    <w:uiPriority w:val="0"/>
    <w:rPr>
      <w:rFonts w:hint="default" w:ascii="Times New Roman" w:hAnsi="Times New Roman" w:cs="Times New Roman"/>
    </w:rPr>
  </w:style>
  <w:style w:type="character" w:customStyle="1" w:styleId="17">
    <w:name w:val="15"/>
    <w:basedOn w:val="14"/>
    <w:qFormat/>
    <w:uiPriority w:val="0"/>
    <w:rPr>
      <w:rFonts w:hint="default" w:ascii="Times New Roman" w:hAnsi="Times New Roman" w:cs="Times New Roman"/>
      <w:b/>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2889</Words>
  <Characters>3332</Characters>
  <Lines>1</Lines>
  <Paragraphs>1</Paragraphs>
  <TotalTime>5</TotalTime>
  <ScaleCrop>false</ScaleCrop>
  <LinksUpToDate>false</LinksUpToDate>
  <CharactersWithSpaces>3355</CharactersWithSpaces>
  <Application>WPS Office_11.8.2.10554_F1E327BC-269C-435d-A152-05C5408002CA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2020-02-04T19:46:00Z</dcterms:created>
  <dc:creator>Administrator</dc:creator>
  <cp:lastModifiedBy>uos</cp:lastModifiedBy>
  <cp:lastPrinted>2022-01-19T23:24:00Z</cp:lastPrinted>
  <dcterms:modified xsi:type="dcterms:W3CDTF">2024-09-28T07:08:28Z</dcterms:modified>
  <dc:title>附件3：</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2052-11.8.2.10554</vt:lpwstr>
  </property>
  <property fmtid="{D5CDD505-2E9C-101B-9397-08002B2CF9AE}" pid="3" name="ICV">
    <vt:lpwstr>0ED284F87501472EA0CAB5A677DF10E1_13</vt:lpwstr>
  </property>
</Properties>
</file>