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">
                <o:lock v:ext="edit" aspectratio="f"/>
                <v:rect id="矩形 19" o:spid="_x0000_s1026" o:spt="1" style="position:absolute;left:-381;top:4387;height:2457;width:1834;v-text-anchor:middle;" fillcolor="#0176AB" filled="t" stroked="f" coordsize="21600,21600" o:gfxdata="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3/j978AAAADdAAAADwAAAAAAAAABACAAAAA4AAAAZHJzL2Rvd25y&#10;ZXYueG1sUEsBAhQAFAAAAAgAh07iQDMvBZ47AAAAOQAAABAAAAAAAAAAAQAgAAAAJQEAAGRycy9z&#10;aGFwZXhtbC54bWxQSwUGAAAAAAYABgBbAQAAzwMAAAAA&#10;">
                  <v:fill on="t" focussize="0,0"/>
                  <v:stroke on="f"/>
                  <v:imagedata o:title=""/>
                  <o:lock v:ext="edit" aspectratio="f"/>
                </v:rect>
                <v:shape id="矩形 24" o:spid="_x0000_s1026" o:spt="100" style="position:absolute;left:-3504;top:6953;height:150;width:11815;" fillcolor="#E5AA57" filled="t" stroked="f" coordsize="7501732,94593" o:gfxdata="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fHV+jsAAAADdAAAADwAAAAAAAAABACAAAAA4AAAAZHJzL2Rvd25y&#10;ZXYueG1sUEsBAhQAFAAAAAgAh07iQDMvBZ47AAAAOQAAABAAAAAAAAAAAQAgAAAAJQEAAGRycy9z&#10;aGFwZXhtbC54bWxQSwUGAAAAAAYABgBbAQAAzwM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fRoQduQAAAN0AAAAPAAAAAAAAAAEAIAAAADgAAABkcnMvZG93bnJldi54bWxQ&#10;SwECFAAUAAAACACHTuJAMy8FnjsAAAA5AAAAEAAAAAAAAAABACAAAAAeAQAAZHJzL3NoYXBleG1s&#10;LnhtbFBLBQYAAAAABgAGAFsBAADIAw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">
                <o:lock v:ext="edit" aspectratio="f"/>
                <v:shape id="文本框 32" o:spid="_x0000_s1026" o:spt="202" type="#_x0000_t202" style="position:absolute;left:13325;top:1831;height:1348;width:4462;" filled="f" stroked="f" coordsize="21600,21600" o:gfxdata="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qDuuy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">
                  <o:lock v:ext="edit" aspectratio="f"/>
                  <v:shape id="文本框 32" o:spid="_x0000_s1026" o:spt="202" type="#_x0000_t202" style="position:absolute;left:6119;top:2843;height:1421;width:9377;"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PtPjOe+AAAA2gAAAA8AAAAAAAAAAQAgAAAAOAAAAGRycy9kb3ducmV2&#10;LnhtbFBLAQIUABQAAAAIAIdO4kAzLwWeOwAAADkAAAAQAAAAAAAAAAEAIAAAACMBAABkcnMvc2hh&#10;cGV4bWwueG1sUEsFBgAAAAAGAAYAWwEAAM0DA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FmpZa/YAAAACwEAAA8AAAAAAAAAAQAgAAAA&#10;OAAAAGRycy9kb3ducmV2LnhtbFBLAQIUABQAAAAIAIdO4kBbvW5XvAEAAF8DAAAOAAAAAAAAAAEA&#10;IAAAAD0BAABkcnMvZTJvRG9jLnhtbFBLBQYAAAAABgAGAFkBAABrBQ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318005</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：赞皇县财政集中支付中心</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黑体" w:eastAsia="黑体" w:cs="黑体"/>
          <w:b/>
          <w:bCs/>
          <w:spacing w:val="-20"/>
          <w:sz w:val="72"/>
          <w:szCs w:val="96"/>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赞皇县财政集中支付中心</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 w:hAnsi="仿宋" w:eastAsia="仿宋" w:cs="仿宋"/>
          <w:color w:val="000000"/>
          <w:sz w:val="32"/>
          <w:szCs w:val="32"/>
          <w:lang w:val="en-US" w:eastAsia="zh-CN"/>
        </w:rPr>
      </w:pP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r>
        <w:rPr>
          <w:rFonts w:hint="eastAsia" w:ascii="仿宋" w:hAnsi="仿宋" w:eastAsia="仿宋" w:cs="仿宋"/>
          <w:color w:val="000000"/>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（1）建立完善国库单一账户体系，受理预算单位支付申请，办理财政集中收付业务，负责国库制度改革后财政各类资金的审核、支付和会计核算工作。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（2）具体办理财政国库支付业务。根据国库科批复的预算单位用款计划，审核预算单位的支付申请，及时办理单位财政支付业务。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（3）管理和使用国库单一账户体系有关账户，包括财政零余额账户、预算单位零余额账户、特设专户等；负责办理零余额账户的开设、变更和撤销等事宜；管理各预算单位支付预留印鉴卡。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（4） 按照国库科批复的单位用款计划，及时向代理银行发送用款额度，定期与代理银行核对用款额度余额。</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（5） 负责集中支付中心的账务核算；定期与国库科、代理银行、预算单位对账。</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320" w:firstLineChars="100"/>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（6） 负责支付中心零余额账户、预算单位零余额账户的资金清算工作。每日按规定填制支付汇总清算额度单，经国库科盖章后，送国库科实现清算。</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320" w:firstLineChars="100"/>
        <w:jc w:val="left"/>
        <w:outlineLvl w:val="1"/>
        <w:rPr>
          <w:rFonts w:hint="eastAsia" w:ascii="仿宋" w:hAnsi="仿宋" w:eastAsia="仿宋" w:cs="仿宋"/>
          <w:i w:val="0"/>
          <w:iCs w:val="0"/>
          <w:caps w:val="0"/>
          <w:color w:val="000000"/>
          <w:spacing w:val="0"/>
          <w:sz w:val="32"/>
          <w:szCs w:val="32"/>
          <w:highlight w:val="none"/>
        </w:rPr>
      </w:pPr>
      <w:r>
        <w:rPr>
          <w:rFonts w:hint="eastAsia" w:ascii="仿宋" w:hAnsi="仿宋" w:eastAsia="仿宋" w:cs="仿宋"/>
          <w:color w:val="000000"/>
          <w:sz w:val="32"/>
          <w:szCs w:val="32"/>
          <w:lang w:val="en-US" w:eastAsia="zh-CN"/>
        </w:rPr>
        <w:t>（7）集中管理集中支付制度使用的各种凭证。</w:t>
      </w:r>
      <w:r>
        <w:rPr>
          <w:rFonts w:hint="eastAsia" w:ascii="仿宋" w:hAnsi="仿宋" w:eastAsia="仿宋" w:cs="仿宋"/>
          <w:sz w:val="32"/>
          <w:szCs w:val="32"/>
        </w:rPr>
        <w:t xml:space="preserve">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赞皇县财政集中支付中心</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编制部门（单位）：赞皇县财政集中支付中心</w:t>
            </w:r>
          </w:p>
        </w:tc>
        <w:tc>
          <w:tcPr>
            <w:tcW w:w="2945"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编制部门（单位）：赞皇县财政集中支付中心                                                                                                         </w:t>
            </w:r>
          </w:p>
        </w:tc>
        <w:tc>
          <w:tcPr>
            <w:tcW w:w="3405"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67.39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67.39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2010650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9346" w:type="dxa"/>
            <w:gridSpan w:val="10"/>
            <w:tcBorders>
              <w:top w:val="nil"/>
              <w:left w:val="nil"/>
              <w:bottom w:val="nil"/>
              <w:right w:val="nil"/>
            </w:tcBorders>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9346"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3481" w:type="dxa"/>
            <w:gridSpan w:val="4"/>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编制部门（单位）：赞皇县财政集中支付中心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2010650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9346"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编制部门（单位）：赞皇县财政集中支付中心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5.03</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5.03</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2098" w:type="dxa"/>
            <w:gridSpan w:val="2"/>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67.39</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1709" w:type="dxa"/>
            <w:gridSpan w:val="11"/>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编制部门（单位）：赞皇县财政集中支付中心</w:t>
            </w:r>
          </w:p>
        </w:tc>
        <w:tc>
          <w:tcPr>
            <w:tcW w:w="2994" w:type="dxa"/>
            <w:gridSpan w:val="2"/>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67.39</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财政事务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2010650</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2.76</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0.40</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0.40</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24" w:hRule="atLeast"/>
        </w:trPr>
        <w:tc>
          <w:tcPr>
            <w:tcW w:w="11338"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11338"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90" w:hRule="atLeast"/>
        </w:trPr>
        <w:tc>
          <w:tcPr>
            <w:tcW w:w="5200" w:type="dxa"/>
            <w:gridSpan w:val="5"/>
            <w:tcBorders>
              <w:top w:val="nil"/>
              <w:left w:val="nil"/>
              <w:bottom w:val="single" w:color="auto" w:sz="4" w:space="0"/>
              <w:right w:val="nil"/>
            </w:tcBorders>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编制部门（单位）：赞皇县财政集中支付中心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62.33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25.25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9.87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7.70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6.25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65.09</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11338" w:type="dxa"/>
            <w:gridSpan w:val="11"/>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编制部门（单位）：赞皇县财政集中支付中心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lang w:eastAsia="zh-CN"/>
        </w:rPr>
      </w:pPr>
      <w:r>
        <w:rPr>
          <w:rFonts w:hint="eastAsia" w:ascii="仿宋_GB2312" w:hAnsi="宋体" w:eastAsia="仿宋_GB2312"/>
          <w:b/>
          <w:color w:val="auto"/>
          <w:kern w:val="0"/>
          <w:sz w:val="32"/>
          <w:szCs w:val="32"/>
          <w:highlight w:val="none"/>
          <w:lang w:eastAsia="zh-CN"/>
        </w:rPr>
        <w:t>说明</w:t>
      </w:r>
      <w:r>
        <w:rPr>
          <w:rFonts w:hint="eastAsia" w:ascii="仿宋_GB2312" w:hAnsi="宋体" w:eastAsia="仿宋_GB2312"/>
          <w:b/>
          <w:color w:val="auto"/>
          <w:kern w:val="0"/>
          <w:sz w:val="32"/>
          <w:szCs w:val="32"/>
          <w:highlight w:val="none"/>
          <w:lang w:val="en-US" w:eastAsia="zh-CN"/>
        </w:rPr>
        <w:t>:我单位没有政府性基金预算财政拨款收入支出决算表的安排支出，故表无数据，按要求空表列示。</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编制部门（单位）：赞皇县财政集中支付中心</w:t>
            </w:r>
          </w:p>
        </w:tc>
        <w:tc>
          <w:tcPr>
            <w:tcW w:w="2680" w:type="dxa"/>
            <w:gridSpan w:val="4"/>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w:t>
      </w:r>
      <w:r>
        <w:rPr>
          <w:rFonts w:hint="eastAsia" w:ascii="仿宋_GB2312" w:hAnsi="宋体" w:eastAsia="仿宋_GB2312"/>
          <w:b/>
          <w:color w:val="auto"/>
          <w:kern w:val="0"/>
          <w:sz w:val="32"/>
          <w:szCs w:val="32"/>
          <w:highlight w:val="none"/>
          <w:lang w:eastAsia="zh-CN"/>
        </w:rPr>
        <w:t>我单位没有国有资本经营预算财政拨款支出决算表预算财政拨款安排的支出，故表无数据，按要求空表列示。</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11596" w:type="dxa"/>
            <w:gridSpan w:val="14"/>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60" w:hRule="atLeast"/>
        </w:trPr>
        <w:tc>
          <w:tcPr>
            <w:tcW w:w="11596" w:type="dxa"/>
            <w:gridSpan w:val="14"/>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60" w:hRule="atLeast"/>
        </w:trPr>
        <w:tc>
          <w:tcPr>
            <w:tcW w:w="4492" w:type="dxa"/>
            <w:gridSpan w:val="5"/>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编制部门（单位）：赞皇县财政集中支付中心</w:t>
            </w:r>
          </w:p>
        </w:tc>
        <w:tc>
          <w:tcPr>
            <w:tcW w:w="2166"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22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77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33"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31" w:hRule="atLeast"/>
        </w:trPr>
        <w:tc>
          <w:tcPr>
            <w:tcW w:w="11596" w:type="dxa"/>
            <w:gridSpan w:val="14"/>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w:t>
      </w:r>
      <w:r>
        <w:rPr>
          <w:rFonts w:hint="eastAsia" w:ascii="仿宋_GB2312" w:hAnsi="宋体" w:eastAsia="仿宋_GB2312"/>
          <w:b/>
          <w:color w:val="auto"/>
          <w:kern w:val="0"/>
          <w:sz w:val="32"/>
          <w:szCs w:val="32"/>
          <w:highlight w:val="none"/>
          <w:lang w:eastAsia="zh-CN"/>
        </w:rPr>
        <w:t>我单位没有财政拨款“三公”经费支出决算表的预算安排，故表无数据，按要求空表列示。</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bookmarkStart w:id="0" w:name="_GoBack"/>
      <w:bookmarkEnd w:id="0"/>
      <w:r>
        <w:rPr>
          <w:rFonts w:hint="default" w:ascii="Times New Roman" w:hAnsi="Times New Roman" w:eastAsia="仿宋_GB2312" w:cs="Times New Roman"/>
          <w:kern w:val="2"/>
          <w:sz w:val="32"/>
          <w:szCs w:val="32"/>
          <w:lang w:val="zh-CN" w:eastAsia="zh-CN"/>
        </w:rPr>
        <w:t>67.39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增加7.09万元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增长11.77%，</w:t>
      </w:r>
      <w:r>
        <w:rPr>
          <w:rFonts w:hint="default" w:ascii="Times New Roman" w:hAnsi="Times New Roman" w:eastAsia="仿宋_GB2312" w:cs="Times New Roman"/>
          <w:kern w:val="2"/>
          <w:sz w:val="32"/>
          <w:szCs w:val="32"/>
        </w:rPr>
        <w:t>主要</w:t>
      </w:r>
      <w:r>
        <w:rPr>
          <w:rFonts w:hint="eastAsia" w:ascii="仿宋" w:hAnsi="仿宋" w:eastAsia="仿宋"/>
          <w:sz w:val="32"/>
          <w:szCs w:val="32"/>
        </w:rPr>
        <w:t>原因是工资数调整、补发调整工资及退休人员工资纳入养老发放</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jc w:val="left"/>
        <w:textAlignment w:val="auto"/>
        <w:rPr>
          <w:rFonts w:hint="default" w:ascii="Times New Roman" w:hAnsi="Times New Roman" w:eastAsia="仿宋_GB2312" w:cs="Times New Roman"/>
          <w:kern w:val="2"/>
          <w:sz w:val="32"/>
          <w:szCs w:val="32"/>
          <w:highlight w:val="yellow"/>
          <w:lang w:val="en-US" w:eastAsia="zh-CN" w:bidi="ar-SA"/>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67.39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67.39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adjustRightInd w:val="0"/>
        <w:snapToGrid w:val="0"/>
        <w:spacing w:line="580" w:lineRule="exact"/>
        <w:rPr>
          <w:rFonts w:hint="default" w:ascii="Times New Roman" w:hAnsi="Times New Roman" w:eastAsia="仿宋_GB2312" w:cs="Times New Roman"/>
          <w:kern w:val="2"/>
          <w:sz w:val="32"/>
          <w:szCs w:val="32"/>
          <w:highlight w:val="yellow"/>
          <w:lang w:val="zh-CN"/>
        </w:rPr>
      </w:pPr>
    </w:p>
    <w:p>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hint="eastAsia" w:ascii="Times New Roman" w:hAnsi="Times New Roman" w:eastAsia="仿宋_GB2312" w:cs="Times New Roman"/>
          <w:kern w:val="2"/>
          <w:sz w:val="32"/>
          <w:szCs w:val="32"/>
          <w:highlight w:val="yellow"/>
          <w:lang w:val="en-US" w:eastAsia="zh-CN"/>
        </w:rPr>
        <w:t xml:space="preserve">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67.39万元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67.39万元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占100%；</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年度财政拨款本年收入67.39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增加7.09万元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增长11.77%，</w:t>
      </w:r>
      <w:r>
        <w:rPr>
          <w:rFonts w:hint="default" w:ascii="Times New Roman" w:hAnsi="Times New Roman" w:eastAsia="仿宋_GB2312" w:cs="Times New Roman"/>
          <w:kern w:val="2"/>
          <w:sz w:val="32"/>
          <w:szCs w:val="32"/>
        </w:rPr>
        <w:t>主要</w:t>
      </w:r>
      <w:r>
        <w:rPr>
          <w:rFonts w:hint="eastAsia" w:ascii="仿宋" w:hAnsi="仿宋" w:eastAsia="仿宋"/>
          <w:sz w:val="32"/>
          <w:szCs w:val="32"/>
        </w:rPr>
        <w:t>原因是工资数调整、补发调整工资及退休人员工资纳入养老发放</w:t>
      </w:r>
      <w:r>
        <w:rPr>
          <w:rFonts w:hint="eastAsia" w:ascii="仿宋" w:hAnsi="仿宋" w:eastAsia="仿宋"/>
          <w:sz w:val="32"/>
          <w:szCs w:val="32"/>
          <w:lang w:eastAsia="zh-CN"/>
        </w:rPr>
        <w:t>。</w:t>
      </w:r>
      <w:r>
        <w:rPr>
          <w:rFonts w:hint="default" w:ascii="Times New Roman" w:hAnsi="Times New Roman" w:eastAsia="仿宋_GB2312" w:cs="Times New Roman"/>
          <w:color w:val="auto"/>
          <w:kern w:val="2"/>
          <w:sz w:val="32"/>
          <w:szCs w:val="32"/>
          <w:lang w:val="zh-CN" w:eastAsia="zh-CN" w:bidi="ar-SA"/>
        </w:rPr>
        <w:t>本年支出 67.39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增加7.09万元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增长11.77%，</w:t>
      </w:r>
      <w:r>
        <w:rPr>
          <w:rFonts w:hint="default" w:ascii="Times New Roman" w:hAnsi="Times New Roman" w:eastAsia="仿宋_GB2312" w:cs="Times New Roman"/>
          <w:color w:val="auto"/>
          <w:kern w:val="2"/>
          <w:sz w:val="32"/>
          <w:szCs w:val="32"/>
          <w:lang w:val="zh-CN" w:eastAsia="zh-CN" w:bidi="ar-SA"/>
        </w:rPr>
        <w:t>主要</w:t>
      </w:r>
      <w:r>
        <w:rPr>
          <w:rFonts w:hint="eastAsia" w:ascii="仿宋" w:hAnsi="仿宋" w:eastAsia="仿宋"/>
          <w:sz w:val="32"/>
          <w:szCs w:val="32"/>
        </w:rPr>
        <w:t>原因是工资数调整、补发调整工资及退休人员工资纳入养老发放</w:t>
      </w:r>
      <w:r>
        <w:rPr>
          <w:rFonts w:hint="eastAsia" w:ascii="仿宋" w:hAnsi="仿宋" w:eastAsia="仿宋"/>
          <w:sz w:val="32"/>
          <w:szCs w:val="32"/>
          <w:lang w:eastAsia="zh-CN"/>
        </w:rPr>
        <w:t>。</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一般公共预算财政拨款本年收入67.39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增加7.09万元，增长11.77%，</w:t>
      </w:r>
      <w:r>
        <w:rPr>
          <w:rFonts w:hint="default" w:ascii="Times New Roman" w:hAnsi="Times New Roman" w:eastAsia="仿宋_GB2312" w:cs="Times New Roman"/>
          <w:kern w:val="2"/>
          <w:sz w:val="32"/>
          <w:szCs w:val="32"/>
          <w:lang w:val="zh-CN"/>
        </w:rPr>
        <w:t>主要</w:t>
      </w:r>
      <w:r>
        <w:rPr>
          <w:rFonts w:hint="eastAsia" w:ascii="仿宋" w:hAnsi="仿宋" w:eastAsia="仿宋"/>
          <w:sz w:val="32"/>
          <w:szCs w:val="32"/>
        </w:rPr>
        <w:t>原因是工资数调整、补发调整工资及退休人员工资纳入养老发放</w:t>
      </w:r>
      <w:r>
        <w:rPr>
          <w:rFonts w:hint="eastAsia" w:ascii="仿宋" w:hAnsi="仿宋" w:eastAsia="仿宋"/>
          <w:sz w:val="32"/>
          <w:szCs w:val="32"/>
          <w:lang w:eastAsia="zh-CN"/>
        </w:rPr>
        <w:t>。</w:t>
      </w:r>
      <w:r>
        <w:rPr>
          <w:rFonts w:hint="default" w:ascii="Times New Roman" w:hAnsi="Times New Roman" w:eastAsia="仿宋_GB2312" w:cs="Times New Roman"/>
          <w:kern w:val="2"/>
          <w:sz w:val="32"/>
          <w:szCs w:val="32"/>
          <w:lang w:val="zh-CN"/>
        </w:rPr>
        <w:t>本年支出 67.39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增加7.09万元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增长11.77%，</w:t>
      </w:r>
      <w:r>
        <w:rPr>
          <w:rFonts w:hint="default" w:ascii="Times New Roman" w:hAnsi="Times New Roman" w:eastAsia="仿宋_GB2312" w:cs="Times New Roman"/>
          <w:kern w:val="2"/>
          <w:sz w:val="32"/>
          <w:szCs w:val="32"/>
          <w:lang w:val="zh-CN"/>
        </w:rPr>
        <w:t>主要</w:t>
      </w:r>
      <w:r>
        <w:rPr>
          <w:rFonts w:hint="eastAsia" w:ascii="仿宋" w:hAnsi="仿宋" w:eastAsia="仿宋"/>
          <w:sz w:val="32"/>
          <w:szCs w:val="32"/>
        </w:rPr>
        <w:t>原因是工资数调整、补发调整工资及退休人员工资纳入养老发放</w:t>
      </w:r>
      <w:r>
        <w:rPr>
          <w:rFonts w:hint="eastAsia" w:ascii="仿宋" w:hAnsi="仿宋" w:eastAsia="仿宋"/>
          <w:sz w:val="32"/>
          <w:szCs w:val="32"/>
          <w:lang w:eastAsia="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年度财政拨款本年收入67.39万元，完成年初预算的101.12%，比年初预算</w:t>
      </w:r>
      <w:r>
        <w:rPr>
          <w:rFonts w:hint="eastAsia" w:ascii="Times New Roman" w:hAnsi="Times New Roman" w:eastAsia="仿宋_GB2312" w:cs="Times New Roman"/>
          <w:sz w:val="30"/>
          <w:szCs w:val="30"/>
          <w:highlight w:val="none"/>
          <w:lang w:val="zh-CN"/>
        </w:rPr>
        <w:t>增加0.75万元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仿宋" w:hAnsi="仿宋" w:eastAsia="仿宋"/>
          <w:sz w:val="32"/>
          <w:szCs w:val="32"/>
        </w:rPr>
        <w:t>工资数调整、补发调整工资及退休人员工资纳入养老发放</w:t>
      </w:r>
      <w:r>
        <w:rPr>
          <w:rFonts w:hint="eastAsia" w:ascii="仿宋" w:hAnsi="仿宋" w:eastAsia="仿宋"/>
          <w:sz w:val="32"/>
          <w:szCs w:val="32"/>
          <w:lang w:eastAsia="zh-CN"/>
        </w:rPr>
        <w:t>。</w:t>
      </w:r>
      <w:r>
        <w:rPr>
          <w:rFonts w:hint="default" w:ascii="Times New Roman" w:hAnsi="Times New Roman" w:eastAsia="仿宋_GB2312" w:cs="Times New Roman"/>
          <w:color w:val="auto"/>
          <w:kern w:val="2"/>
          <w:sz w:val="32"/>
          <w:szCs w:val="32"/>
          <w:lang w:val="zh-CN" w:eastAsia="zh-CN" w:bidi="ar-SA"/>
        </w:rPr>
        <w:t>本年支出67.39万元，完成年初预算的101.12%，比年初预算</w:t>
      </w:r>
      <w:r>
        <w:rPr>
          <w:rFonts w:hint="eastAsia" w:ascii="Times New Roman" w:hAnsi="Times New Roman" w:eastAsia="仿宋_GB2312" w:cs="Times New Roman"/>
          <w:sz w:val="30"/>
          <w:szCs w:val="30"/>
          <w:highlight w:val="none"/>
          <w:lang w:val="zh-CN"/>
        </w:rPr>
        <w:t>增加0.75万元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w:t>
      </w:r>
      <w:r>
        <w:rPr>
          <w:rFonts w:hint="eastAsia" w:ascii="仿宋" w:hAnsi="仿宋" w:eastAsia="仿宋"/>
          <w:sz w:val="32"/>
          <w:szCs w:val="32"/>
        </w:rPr>
        <w:t>原因是工资数调整、补发调整工资及退休人员工资纳入养老发放</w:t>
      </w:r>
      <w:r>
        <w:rPr>
          <w:rFonts w:hint="eastAsia" w:ascii="仿宋" w:hAnsi="仿宋" w:eastAsia="仿宋"/>
          <w:sz w:val="32"/>
          <w:szCs w:val="32"/>
          <w:lang w:eastAsia="zh-CN"/>
        </w:rPr>
        <w:t>。</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收入67.39万元，完成年初预算的 101.12%，比年初预算</w:t>
      </w:r>
      <w:r>
        <w:rPr>
          <w:rFonts w:hint="eastAsia" w:ascii="Times New Roman" w:hAnsi="Times New Roman" w:eastAsia="仿宋_GB2312" w:cs="Times New Roman"/>
          <w:sz w:val="30"/>
          <w:szCs w:val="30"/>
          <w:highlight w:val="none"/>
          <w:lang w:val="zh-CN"/>
        </w:rPr>
        <w:t>增加0.75万元</w:t>
      </w:r>
      <w:r>
        <w:rPr>
          <w:rFonts w:hint="default" w:ascii="Times New Roman" w:hAnsi="Times New Roman" w:eastAsia="仿宋_GB2312" w:cs="Times New Roman"/>
          <w:kern w:val="2"/>
          <w:sz w:val="32"/>
          <w:szCs w:val="32"/>
          <w:lang w:val="zh-CN"/>
        </w:rPr>
        <w:t>，主要</w:t>
      </w:r>
      <w:r>
        <w:rPr>
          <w:rFonts w:hint="eastAsia" w:ascii="仿宋" w:hAnsi="仿宋" w:eastAsia="仿宋"/>
          <w:sz w:val="32"/>
          <w:szCs w:val="32"/>
        </w:rPr>
        <w:t>原因是工资数调整、补发调整工资及退休人员工资纳入养老发放</w:t>
      </w:r>
      <w:r>
        <w:rPr>
          <w:rFonts w:hint="eastAsia" w:ascii="仿宋" w:hAnsi="仿宋" w:eastAsia="仿宋"/>
          <w:sz w:val="32"/>
          <w:szCs w:val="32"/>
          <w:lang w:eastAsia="zh-CN"/>
        </w:rPr>
        <w:t>。</w:t>
      </w:r>
      <w:r>
        <w:rPr>
          <w:rFonts w:hint="default" w:ascii="Times New Roman" w:hAnsi="Times New Roman" w:eastAsia="仿宋_GB2312" w:cs="Times New Roman"/>
          <w:kern w:val="2"/>
          <w:sz w:val="32"/>
          <w:szCs w:val="32"/>
          <w:lang w:val="zh-CN"/>
        </w:rPr>
        <w:t>本年支出67.39万元，完成年初预算的101.12%，比年初预算</w:t>
      </w:r>
      <w:r>
        <w:rPr>
          <w:rFonts w:hint="eastAsia" w:ascii="Times New Roman" w:hAnsi="Times New Roman" w:eastAsia="仿宋_GB2312" w:cs="Times New Roman"/>
          <w:sz w:val="30"/>
          <w:szCs w:val="30"/>
          <w:highlight w:val="none"/>
          <w:lang w:val="zh-CN"/>
        </w:rPr>
        <w:t>增加0.75万元</w:t>
      </w:r>
      <w:r>
        <w:rPr>
          <w:rFonts w:hint="default" w:ascii="Times New Roman" w:hAnsi="Times New Roman" w:eastAsia="仿宋_GB2312" w:cs="Times New Roman"/>
          <w:kern w:val="2"/>
          <w:sz w:val="32"/>
          <w:szCs w:val="32"/>
          <w:lang w:val="zh-CN"/>
        </w:rPr>
        <w:t>，主要</w:t>
      </w:r>
      <w:r>
        <w:rPr>
          <w:rFonts w:hint="eastAsia" w:ascii="仿宋" w:hAnsi="仿宋" w:eastAsia="仿宋"/>
          <w:sz w:val="32"/>
          <w:szCs w:val="32"/>
        </w:rPr>
        <w:t>原因是工资数调整、补发调整工资及退休人员工资纳入养老发放</w:t>
      </w:r>
      <w:r>
        <w:rPr>
          <w:rFonts w:hint="eastAsia" w:ascii="仿宋" w:hAnsi="仿宋" w:eastAsia="仿宋"/>
          <w:sz w:val="32"/>
          <w:szCs w:val="32"/>
          <w:lang w:eastAsia="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年度财政拨款支出67.39万元，主要用于以下方面：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一般公共服务（类）支出47.64万元，占70.69%；</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0万元，占0%；教育（类）支出0万元，占0%；科学技术（类）支出0万元，占0%；文化旅游体育与传媒（类）支出0万元，占0%；社会保障和就业 （类）支出9.4万元，占13.95%；卫生健康（类）支出5.32万元，占7.9%；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5.03万元，占7.46%；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（类）支出0万元，占0%；债务付息（类）支出0万元，占0%；抗疫特别国债安排的支出0万元，占0%。</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年度财政拨款基本支出67.39万元，其中：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65.09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公用经费2.3万元，主要包括办公费、印刷费、咨询费、手续费、水费、电费、邮电费、取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年度“三公”经费财政拨款支出预算为0万元，支出决算为0万元，完成预算的0%，较预算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持平。</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，因公出国（境）团组0个、共0人、参加其他单位组织的因公出国（境）团组x个、共x人/无本部门组织的出国（境）团组。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年度公务用车购置及运行维护费预算为0万元，支出决算 0万元，完成预算的0%,较预算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年度单位公务用车保有量0辆，发生运行维护费支出0万元。公车运行维护费支出较预算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w:t>
      </w:r>
      <w:r>
        <w:rPr>
          <w:rFonts w:hint="eastAsia" w:ascii="Times New Roman" w:hAnsi="Times New Roman" w:eastAsia="仿宋_GB2312" w:cs="Times New Roman"/>
          <w:color w:val="auto"/>
          <w:kern w:val="2"/>
          <w:sz w:val="32"/>
          <w:szCs w:val="32"/>
          <w:lang w:val="en-US" w:eastAsia="zh-CN" w:bidi="ar-SA"/>
        </w:rPr>
        <w:t>2.3</w:t>
      </w:r>
      <w:r>
        <w:rPr>
          <w:rFonts w:hint="default" w:ascii="Times New Roman" w:hAnsi="Times New Roman" w:eastAsia="仿宋_GB2312" w:cs="Times New Roman"/>
          <w:color w:val="auto"/>
          <w:kern w:val="2"/>
          <w:sz w:val="32"/>
          <w:szCs w:val="32"/>
          <w:lang w:val="zh-CN" w:eastAsia="zh-CN" w:bidi="ar-SA"/>
        </w:rPr>
        <w:t>万元，较2022年度</w:t>
      </w:r>
      <w:r>
        <w:rPr>
          <w:rFonts w:hint="eastAsia" w:ascii="Times New Roman" w:hAnsi="Times New Roman" w:eastAsia="仿宋_GB2312" w:cs="Times New Roman"/>
          <w:color w:val="auto"/>
          <w:kern w:val="2"/>
          <w:sz w:val="32"/>
          <w:szCs w:val="32"/>
          <w:lang w:val="zh-CN" w:eastAsia="zh-CN" w:bidi="ar-SA"/>
        </w:rPr>
        <w:t>持平。</w:t>
      </w:r>
      <w:r>
        <w:rPr>
          <w:rFonts w:hint="eastAsia" w:ascii="Times New Roman" w:hAnsi="Times New Roman" w:eastAsia="仿宋_GB2312" w:cs="Times New Roman"/>
          <w:color w:val="auto"/>
          <w:kern w:val="2"/>
          <w:sz w:val="32"/>
          <w:szCs w:val="32"/>
          <w:lang w:val="en-US" w:eastAsia="zh-CN" w:bidi="ar-SA"/>
        </w:rPr>
        <w:t>2023年度机关运行</w:t>
      </w:r>
      <w:r>
        <w:rPr>
          <w:rFonts w:hint="eastAsia" w:ascii="Times New Roman" w:hAnsi="Times New Roman" w:eastAsia="仿宋_GB2312" w:cs="Times New Roman"/>
          <w:color w:val="auto"/>
          <w:kern w:val="2"/>
          <w:sz w:val="32"/>
          <w:szCs w:val="32"/>
          <w:lang w:val="zh-CN" w:eastAsia="zh-CN" w:bidi="ar-SA"/>
        </w:rPr>
        <w:t>经费支出改为商品和服务支出</w:t>
      </w:r>
      <w:r>
        <w:rPr>
          <w:rFonts w:hint="eastAsia" w:ascii="Times New Roman" w:hAnsi="Times New Roman" w:eastAsia="仿宋_GB2312" w:cs="Times New Roman"/>
          <w:color w:val="auto"/>
          <w:kern w:val="2"/>
          <w:sz w:val="32"/>
          <w:szCs w:val="32"/>
          <w:lang w:val="en-US" w:eastAsia="zh-CN" w:bidi="ar-SA"/>
        </w:rPr>
        <w:t>2.3万元。</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年12月31日，本单位共有车辆0辆，比上年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用车0辆，机要通信用车0辆，应急保障用车0辆，执法执勤用车0辆，特种专业技术用车0辆，离退休干部用车0辆，其他用车0辆，单位价值100万元（含）以上设备（不含车辆）0台（套）。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万元，占一般公共预算项目支出总额</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个国有资本经营预算项目支出开展绩效自评，共涉及资金</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万元，占国有资本经营预算项目支出总额的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组织对</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w:t>
      </w:r>
      <w:r>
        <w:rPr>
          <w:rFonts w:hint="eastAsia" w:ascii="Times New Roman" w:hAnsi="Times New Roman" w:eastAsia="仿宋_GB2312" w:cs="Times New Roman"/>
          <w:color w:val="auto"/>
          <w:kern w:val="2"/>
          <w:sz w:val="32"/>
          <w:szCs w:val="32"/>
          <w:lang w:val="zh-CN"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本单位在今年部门决算公开中反映</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个项目</w:t>
      </w:r>
      <w:r>
        <w:rPr>
          <w:rFonts w:hint="eastAsia"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（三）部门评价项目绩效评价结果（如有）</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本部门2023年度无收支及结转结余情况</w:t>
      </w:r>
      <w:r>
        <w:rPr>
          <w:rFonts w:hint="eastAsia" w:ascii="Times New Roman" w:hAnsi="Times New Roman" w:eastAsia="仿宋_GB2312" w:cs="Times New Roman"/>
          <w:sz w:val="32"/>
          <w:szCs w:val="32"/>
          <w:lang w:eastAsia="zh-CN"/>
        </w:rPr>
        <w:t>。</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rPr>
          <w:rFonts w:hint="default" w:ascii="Times New Roman" w:hAnsi="Times New Roman" w:eastAsia="仿宋_GB2312" w:cs="Times New Roman"/>
          <w:sz w:val="32"/>
          <w:szCs w:val="32"/>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方正魏碑_GBK"/>
    <w:panose1 w:val="00000000000000000000"/>
    <w:charset w:val="86"/>
    <w:family w:val="auto"/>
    <w:pitch w:val="default"/>
    <w:sig w:usb0="00000000" w:usb1="00000000" w:usb2="00000010" w:usb3="00000000" w:csb0="00040000" w:csb1="00000000"/>
  </w:font>
  <w:font w:name="方正魏碑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楷体_GB2312">
    <w:altName w:val="方正楷体_GBK"/>
    <w:panose1 w:val="02010609030101010101"/>
    <w:charset w:val="86"/>
    <w:family w:val="auto"/>
    <w:pitch w:val="default"/>
    <w:sig w:usb0="00000000" w:usb1="00000000" w:usb2="00000000" w:usb3="00000000" w:csb0="00000000" w:csb1="00000000"/>
  </w:font>
  <w:font w:name="方正楷体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Nimbus Roman No9 L"/>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00" w:usb3="00000000" w:csb0="00000000" w:csb1="00000000"/>
  </w:font>
  <w:font w:name="文泉驿微米黑">
    <w:panose1 w:val="020B0606030804020204"/>
    <w:charset w:val="86"/>
    <w:family w:val="auto"/>
    <w:pitch w:val="default"/>
    <w:sig w:usb0="E10002EF" w:usb1="6BDFFCFB" w:usb2="00800036" w:usb3="00000000" w:csb0="603E01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66F28079"/>
    <w:multiLevelType w:val="singleLevel"/>
    <w:tmpl w:val="66F28079"/>
    <w:lvl w:ilvl="0" w:tentative="0">
      <w:start w:val="1"/>
      <w:numFmt w:val="chineseCounting"/>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iMzk2N2EzZjUyYWViODRjZjJhMDZjM2YyYjk4MTExMiIsInVzZXJDb3VudCI6MX0="/>
  </w:docVars>
  <w:rsids>
    <w:rsidRoot w:val="00000000"/>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8E058E"/>
    <w:rsid w:val="03FB73B0"/>
    <w:rsid w:val="04BD008C"/>
    <w:rsid w:val="04C55939"/>
    <w:rsid w:val="04DA28BB"/>
    <w:rsid w:val="04F528BE"/>
    <w:rsid w:val="05991C82"/>
    <w:rsid w:val="061416A9"/>
    <w:rsid w:val="06236884"/>
    <w:rsid w:val="067E788A"/>
    <w:rsid w:val="06FC7C2A"/>
    <w:rsid w:val="071E363B"/>
    <w:rsid w:val="07533AFE"/>
    <w:rsid w:val="07B3657A"/>
    <w:rsid w:val="07C857D0"/>
    <w:rsid w:val="07CD5CFC"/>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CE66499"/>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212D4A"/>
    <w:rsid w:val="294630F8"/>
    <w:rsid w:val="294B7731"/>
    <w:rsid w:val="296A5FF1"/>
    <w:rsid w:val="29D21FF2"/>
    <w:rsid w:val="2A611B0F"/>
    <w:rsid w:val="2AC1762B"/>
    <w:rsid w:val="2AE845D0"/>
    <w:rsid w:val="2B201E13"/>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6255F7"/>
    <w:rsid w:val="2E9871B6"/>
    <w:rsid w:val="2EBD223E"/>
    <w:rsid w:val="2EC10AD1"/>
    <w:rsid w:val="2ECB6A5A"/>
    <w:rsid w:val="2EFC0112"/>
    <w:rsid w:val="2F2B730D"/>
    <w:rsid w:val="2F42598B"/>
    <w:rsid w:val="2F8169E4"/>
    <w:rsid w:val="2F9F3DC1"/>
    <w:rsid w:val="2FFC7AC2"/>
    <w:rsid w:val="301430AF"/>
    <w:rsid w:val="30630612"/>
    <w:rsid w:val="308E59B0"/>
    <w:rsid w:val="30B10568"/>
    <w:rsid w:val="30D05471"/>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12BFD"/>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7C1CCD"/>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08C4CB3"/>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4C313D"/>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E80F10"/>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2D248F"/>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749AF"/>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DFF1389"/>
    <w:rsid w:val="5E0B583E"/>
    <w:rsid w:val="5E201A7B"/>
    <w:rsid w:val="5EBD0484"/>
    <w:rsid w:val="5F2C5C7C"/>
    <w:rsid w:val="5FC5273F"/>
    <w:rsid w:val="60806DF2"/>
    <w:rsid w:val="61072DA5"/>
    <w:rsid w:val="611C0817"/>
    <w:rsid w:val="61224A52"/>
    <w:rsid w:val="61520CCB"/>
    <w:rsid w:val="61851A29"/>
    <w:rsid w:val="61AD0B90"/>
    <w:rsid w:val="622D1522"/>
    <w:rsid w:val="622E0574"/>
    <w:rsid w:val="62683B6B"/>
    <w:rsid w:val="62AC5944"/>
    <w:rsid w:val="632731DA"/>
    <w:rsid w:val="63446F2D"/>
    <w:rsid w:val="637279B4"/>
    <w:rsid w:val="63817D2B"/>
    <w:rsid w:val="63BD1FA9"/>
    <w:rsid w:val="63D27965"/>
    <w:rsid w:val="63FF063D"/>
    <w:rsid w:val="64095516"/>
    <w:rsid w:val="640D2C70"/>
    <w:rsid w:val="641A2468"/>
    <w:rsid w:val="64372F20"/>
    <w:rsid w:val="64DC72D7"/>
    <w:rsid w:val="653113E3"/>
    <w:rsid w:val="653619A6"/>
    <w:rsid w:val="65610A02"/>
    <w:rsid w:val="65A11EA3"/>
    <w:rsid w:val="65AC3D66"/>
    <w:rsid w:val="65AD59F1"/>
    <w:rsid w:val="65BB5334"/>
    <w:rsid w:val="663E1DBA"/>
    <w:rsid w:val="665D0213"/>
    <w:rsid w:val="66877480"/>
    <w:rsid w:val="669E59F1"/>
    <w:rsid w:val="66A2024B"/>
    <w:rsid w:val="66D03E18"/>
    <w:rsid w:val="66EA4BA0"/>
    <w:rsid w:val="6704732B"/>
    <w:rsid w:val="670F6731"/>
    <w:rsid w:val="67280F62"/>
    <w:rsid w:val="67585CB0"/>
    <w:rsid w:val="67770F0C"/>
    <w:rsid w:val="677B0A37"/>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3D17FD"/>
    <w:rsid w:val="6B5F25EA"/>
    <w:rsid w:val="6B750BA9"/>
    <w:rsid w:val="6B753928"/>
    <w:rsid w:val="6BB93285"/>
    <w:rsid w:val="6C0C698C"/>
    <w:rsid w:val="6C222401"/>
    <w:rsid w:val="6C56267F"/>
    <w:rsid w:val="6C826EF9"/>
    <w:rsid w:val="6CAE4C93"/>
    <w:rsid w:val="6CC40DCA"/>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6FCB1566"/>
    <w:rsid w:val="700D6539"/>
    <w:rsid w:val="704203E3"/>
    <w:rsid w:val="7058046B"/>
    <w:rsid w:val="707F2079"/>
    <w:rsid w:val="70922734"/>
    <w:rsid w:val="70CE6DC7"/>
    <w:rsid w:val="710B3646"/>
    <w:rsid w:val="71156C43"/>
    <w:rsid w:val="711759F2"/>
    <w:rsid w:val="711A4267"/>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267F64"/>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B7116A"/>
    <w:rsid w:val="7ECC66B2"/>
    <w:rsid w:val="7EF015E4"/>
    <w:rsid w:val="7F087006"/>
    <w:rsid w:val="7F833169"/>
    <w:rsid w:val="7FA837EF"/>
    <w:rsid w:val="7FC36955"/>
    <w:rsid w:val="7FE903A0"/>
    <w:rsid w:val="7FF97946"/>
    <w:rsid w:val="7FFE7888"/>
    <w:rsid w:val="9FCF30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styleId="6">
    <w:name w:val="annotation text"/>
    <w:basedOn w:val="1"/>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60.29</c:v>
                </c:pt>
                <c:pt idx="1">
                  <c:v>67.39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673877.15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673877.15</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60.29</c:v>
                </c:pt>
                <c:pt idx="1">
                  <c:v>60.29</c:v>
                </c:pt>
                <c:pt idx="2">
                  <c:v>60.29</c:v>
                </c:pt>
                <c:pt idx="3">
                  <c:v>60.29</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67.39</c:v>
                </c:pt>
                <c:pt idx="1">
                  <c:v>67.39</c:v>
                </c:pt>
                <c:pt idx="2">
                  <c:v>67.39</c:v>
                </c:pt>
                <c:pt idx="3">
                  <c:v>67.39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66.64</c:v>
                </c:pt>
                <c:pt idx="1">
                  <c:v>66.64</c:v>
                </c:pt>
                <c:pt idx="2">
                  <c:v>66.64</c:v>
                </c:pt>
                <c:pt idx="3">
                  <c:v>66.64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67.39</c:v>
                </c:pt>
                <c:pt idx="1">
                  <c:v>67.39</c:v>
                </c:pt>
                <c:pt idx="2">
                  <c:v>67.39</c:v>
                </c:pt>
                <c:pt idx="3">
                  <c:v>67.39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47.64</c:v>
                </c:pt>
                <c:pt idx="1">
                  <c:v>0</c:v>
                </c:pt>
                <c:pt idx="2">
                  <c:v>0</c:v>
                </c:pt>
                <c:pt idx="3">
                  <c:v>0</c:v>
                </c:pt>
                <c:pt idx="4">
                  <c:v>0</c:v>
                </c:pt>
                <c:pt idx="5">
                  <c:v>0</c:v>
                </c:pt>
                <c:pt idx="6">
                  <c:v>9.4</c:v>
                </c:pt>
                <c:pt idx="7">
                  <c:v>5.32</c:v>
                </c:pt>
                <c:pt idx="8">
                  <c:v>0</c:v>
                </c:pt>
                <c:pt idx="9">
                  <c:v>0</c:v>
                </c:pt>
                <c:pt idx="10">
                  <c:v>0</c:v>
                </c:pt>
                <c:pt idx="11">
                  <c:v>0</c:v>
                </c:pt>
                <c:pt idx="12">
                  <c:v>0</c:v>
                </c:pt>
                <c:pt idx="13">
                  <c:v>0</c:v>
                </c:pt>
                <c:pt idx="14">
                  <c:v>0</c:v>
                </c:pt>
                <c:pt idx="15">
                  <c:v>0</c:v>
                </c:pt>
                <c:pt idx="16">
                  <c:v>5.03</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57</Pages>
  <Words>10284</Words>
  <Characters>34684</Characters>
  <Lines>86</Lines>
  <Paragraphs>24</Paragraphs>
  <TotalTime>0</TotalTime>
  <ScaleCrop>false</ScaleCrop>
  <LinksUpToDate>false</LinksUpToDate>
  <CharactersWithSpaces>35317</CharactersWithSpaces>
  <Application>WPS Office_11.8.2.12129_F1E327BC-269C-435d-A152-05C5408002CA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czjbgs</cp:lastModifiedBy>
  <cp:lastPrinted>2023-08-04T09:00:00Z</cp:lastPrinted>
  <dcterms:modified xsi:type="dcterms:W3CDTF">2024-09-25T16:00:53Z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2052-11.8.2.12129</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