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2EDAA0">
      <w:pPr>
        <w:adjustRightInd w:val="0"/>
        <w:snapToGrid w:val="0"/>
        <w:spacing w:line="560" w:lineRule="exact"/>
        <w:rPr>
          <w:rFonts w:hint="default" w:ascii="仿宋_GB2312" w:eastAsia="仿宋_GB2312"/>
          <w:sz w:val="32"/>
          <w:szCs w:val="32"/>
          <w:lang w:val="en-US" w:eastAsia="zh-CN"/>
        </w:rPr>
      </w:pPr>
      <w:r>
        <w:rPr>
          <w:rFonts w:hint="eastAsia" w:ascii="仿宋_GB2312" w:eastAsia="仿宋_GB2312"/>
          <w:sz w:val="32"/>
          <w:szCs w:val="32"/>
        </w:rPr>
        <w:t>附件4</w:t>
      </w:r>
      <w:r>
        <w:rPr>
          <w:rFonts w:hint="eastAsia" w:ascii="仿宋_GB2312" w:eastAsia="仿宋_GB2312"/>
          <w:sz w:val="32"/>
          <w:szCs w:val="32"/>
          <w:lang w:val="en-US" w:eastAsia="zh-CN"/>
        </w:rPr>
        <w:t xml:space="preserve">   </w:t>
      </w:r>
    </w:p>
    <w:p w14:paraId="1B557C1E">
      <w:pPr>
        <w:spacing w:line="560" w:lineRule="exact"/>
        <w:jc w:val="center"/>
        <w:rPr>
          <w:rFonts w:ascii="宋体" w:hAnsi="宋体" w:cs="宋体"/>
          <w:b/>
          <w:bCs/>
          <w:sz w:val="44"/>
          <w:szCs w:val="44"/>
        </w:rPr>
      </w:pPr>
    </w:p>
    <w:p w14:paraId="5FCEE044">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赞皇县</w:t>
      </w:r>
      <w:r>
        <w:rPr>
          <w:rFonts w:hint="eastAsia" w:ascii="宋体" w:hAnsi="宋体" w:cs="宋体"/>
          <w:b/>
          <w:bCs/>
          <w:sz w:val="44"/>
          <w:szCs w:val="44"/>
          <w:lang w:val="en-US" w:eastAsia="zh-CN"/>
        </w:rPr>
        <w:t>财政局</w:t>
      </w:r>
    </w:p>
    <w:p w14:paraId="71EFBFE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7F85DEE9">
      <w:pPr>
        <w:spacing w:line="560" w:lineRule="exact"/>
        <w:jc w:val="center"/>
        <w:rPr>
          <w:rFonts w:ascii="华文楷体" w:eastAsia="华文楷体"/>
          <w:sz w:val="32"/>
          <w:szCs w:val="32"/>
        </w:rPr>
      </w:pPr>
    </w:p>
    <w:p w14:paraId="0B264B6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val="en-US" w:eastAsia="zh-CN"/>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赞皇县</w:t>
      </w:r>
      <w:r>
        <w:rPr>
          <w:rFonts w:hint="eastAsia" w:ascii="仿宋" w:hAnsi="仿宋" w:eastAsia="仿宋"/>
          <w:sz w:val="32"/>
          <w:szCs w:val="32"/>
          <w:lang w:val="en-US" w:eastAsia="zh-CN"/>
        </w:rPr>
        <w:t>财政局</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6952E68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109B57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A3C9C3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14:paraId="3E64D592">
      <w:pPr>
        <w:ind w:firstLine="640" w:firstLineChars="200"/>
        <w:rPr>
          <w:rFonts w:hint="eastAsia" w:ascii="仿宋" w:hAnsi="仿宋" w:eastAsia="仿宋"/>
          <w:sz w:val="32"/>
          <w:szCs w:val="32"/>
        </w:rPr>
      </w:pPr>
      <w:r>
        <w:rPr>
          <w:rFonts w:hint="eastAsia" w:ascii="仿宋" w:hAnsi="仿宋" w:eastAsia="仿宋"/>
          <w:sz w:val="32"/>
          <w:szCs w:val="32"/>
        </w:rPr>
        <w:t>1.拟订财税发展战略、规划和改革方案并组织实施；会同有关部门分析预测全县经济形势，参与制定本地经济政策，提出运用财税政策实施调控的建议；拟订有关分配政策，完善鼓励公益事业发展的财税政策。</w:t>
      </w:r>
    </w:p>
    <w:p w14:paraId="1D778443">
      <w:pPr>
        <w:ind w:firstLine="640" w:firstLineChars="200"/>
        <w:rPr>
          <w:rFonts w:hint="eastAsia" w:ascii="仿宋" w:hAnsi="仿宋" w:eastAsia="仿宋"/>
          <w:sz w:val="32"/>
          <w:szCs w:val="32"/>
        </w:rPr>
      </w:pPr>
      <w:r>
        <w:rPr>
          <w:rFonts w:hint="eastAsia" w:ascii="仿宋" w:hAnsi="仿宋" w:eastAsia="仿宋"/>
          <w:sz w:val="32"/>
          <w:szCs w:val="32"/>
        </w:rPr>
        <w:t>2.对行政执法职权的监督检查，对有关规范性文件的合法性审核。</w:t>
      </w:r>
    </w:p>
    <w:p w14:paraId="05F1C495">
      <w:pPr>
        <w:ind w:firstLine="640" w:firstLineChars="200"/>
        <w:rPr>
          <w:rFonts w:hint="eastAsia" w:ascii="仿宋" w:hAnsi="仿宋" w:eastAsia="仿宋"/>
          <w:sz w:val="32"/>
          <w:szCs w:val="32"/>
        </w:rPr>
      </w:pPr>
      <w:r>
        <w:rPr>
          <w:rFonts w:hint="eastAsia" w:ascii="仿宋" w:hAnsi="仿宋" w:eastAsia="仿宋"/>
          <w:sz w:val="32"/>
          <w:szCs w:val="32"/>
        </w:rPr>
        <w:t>3.承担财政预算管理的责任。负责编制年度预决算草案并组织执行，汇编全县年度预决算草案；受县政府委托，向县人民代表大会报告全县财政预算及其执行情况，向县人大常委会报告决算；组织制定经费开支标准、定额，负责审核批复部门（单位）的年度预决算。组织实施预算绩效管理。</w:t>
      </w:r>
    </w:p>
    <w:p w14:paraId="2ED6F1C5">
      <w:pPr>
        <w:ind w:firstLine="640" w:firstLineChars="200"/>
        <w:rPr>
          <w:rFonts w:hint="eastAsia" w:ascii="仿宋" w:hAnsi="仿宋" w:eastAsia="仿宋"/>
          <w:sz w:val="32"/>
          <w:szCs w:val="32"/>
        </w:rPr>
      </w:pPr>
      <w:r>
        <w:rPr>
          <w:rFonts w:hint="eastAsia" w:ascii="仿宋" w:hAnsi="仿宋" w:eastAsia="仿宋"/>
          <w:sz w:val="32"/>
          <w:szCs w:val="32"/>
        </w:rPr>
        <w:t>4.承担财政体制管理的责任。拟订县以下财政管理体制，研究提出县乡财政管理体制指导性意见，完善地方转移支付制度。</w:t>
      </w:r>
    </w:p>
    <w:p w14:paraId="3F8A4C3B">
      <w:pPr>
        <w:ind w:firstLine="640" w:firstLineChars="200"/>
        <w:rPr>
          <w:rFonts w:hint="eastAsia" w:ascii="仿宋" w:hAnsi="仿宋" w:eastAsia="仿宋"/>
          <w:sz w:val="32"/>
          <w:szCs w:val="32"/>
        </w:rPr>
      </w:pPr>
      <w:r>
        <w:rPr>
          <w:rFonts w:hint="eastAsia" w:ascii="仿宋" w:hAnsi="仿宋" w:eastAsia="仿宋"/>
          <w:sz w:val="32"/>
          <w:szCs w:val="32"/>
        </w:rPr>
        <w:t>5.承担财政国库管理的责任。组织制定国库管理制度、国库集中收付制度并组织实施，指导和监督国库业务。</w:t>
      </w:r>
    </w:p>
    <w:p w14:paraId="6BCB73F3">
      <w:pPr>
        <w:ind w:firstLine="640" w:firstLineChars="200"/>
        <w:rPr>
          <w:rFonts w:hint="eastAsia" w:ascii="仿宋" w:hAnsi="仿宋" w:eastAsia="仿宋"/>
          <w:sz w:val="32"/>
          <w:szCs w:val="32"/>
        </w:rPr>
      </w:pPr>
      <w:r>
        <w:rPr>
          <w:rFonts w:hint="eastAsia" w:ascii="仿宋" w:hAnsi="仿宋" w:eastAsia="仿宋"/>
          <w:sz w:val="32"/>
          <w:szCs w:val="32"/>
        </w:rPr>
        <w:t>6.负责政府非税收入和政府性基金管理，按规定管理行政事业性收费；贯彻实施彩票管理政策，参与管理彩票市场，按规定管理彩票资金。</w:t>
      </w:r>
    </w:p>
    <w:p w14:paraId="715F2422">
      <w:pPr>
        <w:ind w:firstLine="640" w:firstLineChars="200"/>
        <w:rPr>
          <w:rFonts w:hint="eastAsia" w:ascii="仿宋" w:hAnsi="仿宋" w:eastAsia="仿宋"/>
          <w:sz w:val="32"/>
          <w:szCs w:val="32"/>
        </w:rPr>
      </w:pPr>
      <w:r>
        <w:rPr>
          <w:rFonts w:hint="eastAsia" w:ascii="仿宋" w:hAnsi="仿宋" w:eastAsia="仿宋"/>
          <w:sz w:val="32"/>
          <w:szCs w:val="32"/>
        </w:rPr>
        <w:t>7.负责提出上级授权税目税率调整、减免和地方税收政策等重大事项的建议；监督检查税收政策的执行情况；负责组织、协调国税、地税等部门，加强税收综合治理。</w:t>
      </w:r>
    </w:p>
    <w:p w14:paraId="01DBFCE7">
      <w:pPr>
        <w:ind w:firstLine="640" w:firstLineChars="200"/>
        <w:rPr>
          <w:rFonts w:hint="eastAsia" w:ascii="仿宋" w:hAnsi="仿宋" w:eastAsia="仿宋"/>
          <w:sz w:val="32"/>
          <w:szCs w:val="32"/>
        </w:rPr>
      </w:pPr>
      <w:r>
        <w:rPr>
          <w:rFonts w:hint="eastAsia" w:ascii="仿宋" w:hAnsi="仿宋" w:eastAsia="仿宋"/>
          <w:sz w:val="32"/>
          <w:szCs w:val="32"/>
        </w:rPr>
        <w:t>8.对全县行政事业单位国有资产进行监督管理，会同有关部门研究和制定行政事业单位国有资产管理政策、制度。</w:t>
      </w:r>
    </w:p>
    <w:p w14:paraId="168899AD">
      <w:pPr>
        <w:ind w:firstLine="640" w:firstLineChars="200"/>
        <w:rPr>
          <w:rFonts w:hint="eastAsia" w:ascii="仿宋" w:hAnsi="仿宋" w:eastAsia="仿宋"/>
          <w:sz w:val="32"/>
          <w:szCs w:val="32"/>
        </w:rPr>
      </w:pPr>
      <w:r>
        <w:rPr>
          <w:rFonts w:hint="eastAsia" w:ascii="仿宋" w:hAnsi="仿宋" w:eastAsia="仿宋"/>
          <w:sz w:val="32"/>
          <w:szCs w:val="32"/>
        </w:rPr>
        <w:t>9.参与拟订企业国有资产管理相关制度；按规定管理地方金融类企业国有资产，拟定地方金融类企业财务管理制度。</w:t>
      </w:r>
    </w:p>
    <w:p w14:paraId="780903BF">
      <w:pPr>
        <w:ind w:firstLine="640" w:firstLineChars="200"/>
        <w:rPr>
          <w:rFonts w:hint="eastAsia" w:ascii="仿宋" w:hAnsi="仿宋" w:eastAsia="仿宋"/>
          <w:sz w:val="32"/>
          <w:szCs w:val="32"/>
        </w:rPr>
      </w:pPr>
      <w:r>
        <w:rPr>
          <w:rFonts w:hint="eastAsia" w:ascii="仿宋" w:hAnsi="仿宋" w:eastAsia="仿宋"/>
          <w:sz w:val="32"/>
          <w:szCs w:val="32"/>
        </w:rPr>
        <w:t>10.负责办理和监督县级财政经济发展支出、县政府投资项目的财政拨款；负责有关政策性补贴和专项储备资金财政管理；承担财政投资评审管理工作。会同有关部门参与推进PPP模式推广管理工作。</w:t>
      </w:r>
    </w:p>
    <w:p w14:paraId="2C22CDEC">
      <w:pPr>
        <w:ind w:firstLine="640" w:firstLineChars="200"/>
        <w:rPr>
          <w:rFonts w:hint="eastAsia" w:ascii="仿宋" w:hAnsi="仿宋" w:eastAsia="仿宋"/>
          <w:sz w:val="32"/>
          <w:szCs w:val="32"/>
        </w:rPr>
      </w:pPr>
      <w:r>
        <w:rPr>
          <w:rFonts w:hint="eastAsia" w:ascii="仿宋" w:hAnsi="仿宋" w:eastAsia="仿宋"/>
          <w:sz w:val="32"/>
          <w:szCs w:val="32"/>
        </w:rPr>
        <w:t>11.会同有关部门管理和监督县级财政社会保障、就业及医疗卫生支出，会同有关部门拟定社会保障资金（基金）的财务管理制度，编制县级社会保障基金预决算草案。</w:t>
      </w:r>
    </w:p>
    <w:p w14:paraId="7B2881CB">
      <w:pPr>
        <w:ind w:firstLine="640" w:firstLineChars="200"/>
        <w:rPr>
          <w:rFonts w:hint="eastAsia" w:ascii="仿宋" w:hAnsi="仿宋" w:eastAsia="仿宋"/>
          <w:sz w:val="32"/>
          <w:szCs w:val="32"/>
        </w:rPr>
      </w:pPr>
      <w:r>
        <w:rPr>
          <w:rFonts w:hint="eastAsia" w:ascii="仿宋" w:hAnsi="仿宋" w:eastAsia="仿宋"/>
          <w:sz w:val="32"/>
          <w:szCs w:val="32"/>
        </w:rPr>
        <w:t>12.会同有关部门管理和监督县级财政社会保障、就业及医疗卫生支出，会同有关部门拟定社会保障资金（基金）的财务管理制度，编制县级社会保障基金预决算草案。</w:t>
      </w:r>
    </w:p>
    <w:p w14:paraId="72E98BD2">
      <w:pPr>
        <w:ind w:firstLine="640" w:firstLineChars="200"/>
        <w:rPr>
          <w:rFonts w:hint="eastAsia" w:ascii="仿宋" w:hAnsi="仿宋" w:eastAsia="仿宋"/>
          <w:sz w:val="32"/>
          <w:szCs w:val="32"/>
        </w:rPr>
      </w:pPr>
      <w:r>
        <w:rPr>
          <w:rFonts w:hint="eastAsia" w:ascii="仿宋" w:hAnsi="仿宋" w:eastAsia="仿宋"/>
          <w:sz w:val="32"/>
          <w:szCs w:val="32"/>
        </w:rPr>
        <w:t>13.负责全县政府性债务管理。负责管理县政府的国内外债权、债务。执行国家外债管理政策；管理外国政府贷款、国际金融组织贷款资金；受县政府委托会同有关部门处理涉及财政、债务等方面的涉外事务。</w:t>
      </w:r>
    </w:p>
    <w:p w14:paraId="782A6A78">
      <w:pPr>
        <w:ind w:firstLine="640" w:firstLineChars="200"/>
        <w:rPr>
          <w:rFonts w:hint="eastAsia" w:ascii="仿宋" w:hAnsi="仿宋" w:eastAsia="仿宋"/>
          <w:sz w:val="32"/>
          <w:szCs w:val="32"/>
        </w:rPr>
      </w:pPr>
      <w:r>
        <w:rPr>
          <w:rFonts w:hint="eastAsia" w:ascii="仿宋" w:hAnsi="仿宋" w:eastAsia="仿宋"/>
          <w:sz w:val="32"/>
          <w:szCs w:val="32"/>
        </w:rPr>
        <w:t>14.拟订政府采购相关制度和办法，负责政府采购工作的监督管理；依法组织和实施政府采购活动。按规定负责全县行政、事业单位公务车辆管理工作。</w:t>
      </w:r>
    </w:p>
    <w:p w14:paraId="4BE23EA2">
      <w:pPr>
        <w:ind w:firstLine="640" w:firstLineChars="200"/>
        <w:rPr>
          <w:rFonts w:hint="eastAsia" w:ascii="仿宋" w:hAnsi="仿宋" w:eastAsia="仿宋"/>
          <w:sz w:val="32"/>
          <w:szCs w:val="32"/>
        </w:rPr>
      </w:pPr>
      <w:r>
        <w:rPr>
          <w:rFonts w:hint="eastAsia" w:ascii="仿宋" w:hAnsi="仿宋" w:eastAsia="仿宋"/>
          <w:sz w:val="32"/>
          <w:szCs w:val="32"/>
        </w:rPr>
        <w:t>15.负责管理全县会计工作，监督和规范会计行为，组织实施国家统一的会计制度。</w:t>
      </w:r>
    </w:p>
    <w:p w14:paraId="18445892">
      <w:pPr>
        <w:ind w:firstLine="640" w:firstLineChars="200"/>
        <w:rPr>
          <w:rFonts w:hint="eastAsia" w:ascii="仿宋" w:hAnsi="仿宋" w:eastAsia="仿宋"/>
          <w:sz w:val="32"/>
          <w:szCs w:val="32"/>
        </w:rPr>
      </w:pPr>
      <w:r>
        <w:rPr>
          <w:rFonts w:hint="eastAsia" w:ascii="仿宋" w:hAnsi="仿宋" w:eastAsia="仿宋"/>
          <w:sz w:val="32"/>
          <w:szCs w:val="32"/>
        </w:rPr>
        <w:t>16.依法查处财政违法违规行为；反映财政收支管理中的重大问题，提出加强财政管理的建议。</w:t>
      </w:r>
    </w:p>
    <w:p w14:paraId="73281F37">
      <w:pPr>
        <w:ind w:firstLine="640" w:firstLineChars="200"/>
        <w:rPr>
          <w:rFonts w:hint="eastAsia" w:ascii="仿宋" w:hAnsi="仿宋" w:eastAsia="仿宋"/>
          <w:sz w:val="32"/>
          <w:szCs w:val="32"/>
        </w:rPr>
      </w:pPr>
      <w:r>
        <w:rPr>
          <w:rFonts w:hint="eastAsia" w:ascii="仿宋" w:hAnsi="仿宋" w:eastAsia="仿宋"/>
          <w:sz w:val="32"/>
          <w:szCs w:val="32"/>
        </w:rPr>
        <w:t>17.研究财政支农政策，管理农业财政资金；负责对农口部门涉及财政、财务规章制度执行情况进行监督检查；会同有关部门制定农口单位行业发展规划和相关政策、制度。</w:t>
      </w:r>
    </w:p>
    <w:p w14:paraId="3EF44B4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2、组织机构及人员基本情况</w:t>
      </w:r>
    </w:p>
    <w:tbl>
      <w:tblPr>
        <w:tblStyle w:val="7"/>
        <w:tblpPr w:leftFromText="180" w:rightFromText="180" w:vertAnchor="text" w:horzAnchor="page" w:tblpX="1883" w:tblpY="227"/>
        <w:tblOverlap w:val="never"/>
        <w:tblW w:w="93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4"/>
        <w:gridCol w:w="2841"/>
        <w:gridCol w:w="2505"/>
        <w:gridCol w:w="2920"/>
      </w:tblGrid>
      <w:tr w14:paraId="2690E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1114" w:type="dxa"/>
            <w:vAlign w:val="center"/>
          </w:tcPr>
          <w:p w14:paraId="75F6AC00">
            <w:pPr>
              <w:pageBreakBefore w:val="0"/>
              <w:kinsoku/>
              <w:wordWrap/>
              <w:overflowPunct/>
              <w:topLinePunct w:val="0"/>
              <w:autoSpaceDE/>
              <w:autoSpaceDN/>
              <w:bidi w:val="0"/>
              <w:adjustRightInd/>
              <w:snapToGrid/>
              <w:spacing w:line="560" w:lineRule="exact"/>
              <w:jc w:val="center"/>
              <w:textAlignment w:val="auto"/>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2841" w:type="dxa"/>
            <w:vAlign w:val="center"/>
          </w:tcPr>
          <w:p w14:paraId="5FCEA4D8">
            <w:pPr>
              <w:pageBreakBefore w:val="0"/>
              <w:kinsoku/>
              <w:wordWrap/>
              <w:overflowPunct/>
              <w:topLinePunct w:val="0"/>
              <w:autoSpaceDE/>
              <w:autoSpaceDN/>
              <w:bidi w:val="0"/>
              <w:adjustRightInd/>
              <w:snapToGrid/>
              <w:spacing w:line="560" w:lineRule="exact"/>
              <w:jc w:val="center"/>
              <w:textAlignment w:val="auto"/>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505" w:type="dxa"/>
            <w:vAlign w:val="center"/>
          </w:tcPr>
          <w:p w14:paraId="093033EB">
            <w:pPr>
              <w:pageBreakBefore w:val="0"/>
              <w:kinsoku/>
              <w:wordWrap/>
              <w:overflowPunct/>
              <w:topLinePunct w:val="0"/>
              <w:autoSpaceDE/>
              <w:autoSpaceDN/>
              <w:bidi w:val="0"/>
              <w:adjustRightInd/>
              <w:snapToGrid/>
              <w:spacing w:line="560" w:lineRule="exact"/>
              <w:jc w:val="center"/>
              <w:textAlignment w:val="auto"/>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920" w:type="dxa"/>
            <w:vAlign w:val="center"/>
          </w:tcPr>
          <w:p w14:paraId="3BC85C3A">
            <w:pPr>
              <w:pageBreakBefore w:val="0"/>
              <w:kinsoku/>
              <w:wordWrap/>
              <w:overflowPunct/>
              <w:topLinePunct w:val="0"/>
              <w:autoSpaceDE/>
              <w:autoSpaceDN/>
              <w:bidi w:val="0"/>
              <w:adjustRightInd/>
              <w:snapToGrid/>
              <w:spacing w:line="560" w:lineRule="exact"/>
              <w:jc w:val="center"/>
              <w:textAlignment w:val="auto"/>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72B59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114" w:type="dxa"/>
          </w:tcPr>
          <w:p w14:paraId="015F2F3E">
            <w:pPr>
              <w:pageBreakBefore w:val="0"/>
              <w:kinsoku/>
              <w:wordWrap/>
              <w:overflowPunct/>
              <w:topLinePunct w:val="0"/>
              <w:autoSpaceDE/>
              <w:autoSpaceDN/>
              <w:bidi w:val="0"/>
              <w:adjustRightInd/>
              <w:snapToGrid/>
              <w:spacing w:line="560" w:lineRule="exact"/>
              <w:jc w:val="center"/>
              <w:textAlignment w:val="auto"/>
              <w:rPr>
                <w:rFonts w:ascii="仿宋_GB2312" w:hAnsi="Calibri" w:eastAsia="仿宋_GB2312" w:cs="Arial Black"/>
                <w:kern w:val="0"/>
                <w:sz w:val="24"/>
                <w:szCs w:val="24"/>
              </w:rPr>
            </w:pPr>
            <w:r>
              <w:rPr>
                <w:rFonts w:hint="eastAsia" w:ascii="仿宋_GB2312" w:hAnsi="Calibri" w:eastAsia="仿宋_GB2312" w:cs="Arial Black"/>
                <w:kern w:val="0"/>
                <w:sz w:val="24"/>
                <w:szCs w:val="24"/>
              </w:rPr>
              <w:t>1</w:t>
            </w:r>
          </w:p>
        </w:tc>
        <w:tc>
          <w:tcPr>
            <w:tcW w:w="2841" w:type="dxa"/>
          </w:tcPr>
          <w:p w14:paraId="04D1D89D">
            <w:pPr>
              <w:pageBreakBefore w:val="0"/>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Arial Black"/>
                <w:kern w:val="0"/>
                <w:sz w:val="24"/>
                <w:szCs w:val="24"/>
                <w:lang w:eastAsia="zh-CN"/>
              </w:rPr>
            </w:pPr>
            <w:r>
              <w:rPr>
                <w:rFonts w:hint="eastAsia" w:ascii="仿宋_GB2312" w:hAnsi="Calibri" w:eastAsia="仿宋_GB2312" w:cs="Arial Black"/>
                <w:kern w:val="0"/>
                <w:sz w:val="24"/>
                <w:szCs w:val="24"/>
                <w:lang w:val="en-US" w:eastAsia="zh-CN"/>
              </w:rPr>
              <w:t>赞皇县财政局</w:t>
            </w:r>
          </w:p>
        </w:tc>
        <w:tc>
          <w:tcPr>
            <w:tcW w:w="2505" w:type="dxa"/>
          </w:tcPr>
          <w:p w14:paraId="4C38AA59">
            <w:pPr>
              <w:pageBreakBefore w:val="0"/>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lang w:val="en-US" w:eastAsia="zh-CN"/>
              </w:rPr>
              <w:t>行政单位</w:t>
            </w:r>
          </w:p>
        </w:tc>
        <w:tc>
          <w:tcPr>
            <w:tcW w:w="2920" w:type="dxa"/>
          </w:tcPr>
          <w:p w14:paraId="44A3EC46">
            <w:pPr>
              <w:pageBreakBefore w:val="0"/>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lang w:val="en-US" w:eastAsia="zh-CN"/>
              </w:rPr>
              <w:t>财政拨款</w:t>
            </w:r>
          </w:p>
        </w:tc>
      </w:tr>
      <w:tr w14:paraId="7BDC4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114" w:type="dxa"/>
          </w:tcPr>
          <w:p w14:paraId="1F82911D">
            <w:pPr>
              <w:pageBreakBefore w:val="0"/>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lang w:val="en-US" w:eastAsia="zh-CN"/>
              </w:rPr>
              <w:t>2</w:t>
            </w:r>
          </w:p>
        </w:tc>
        <w:tc>
          <w:tcPr>
            <w:tcW w:w="2841" w:type="dxa"/>
            <w:vAlign w:val="top"/>
          </w:tcPr>
          <w:p w14:paraId="720D9122">
            <w:pPr>
              <w:spacing w:line="560" w:lineRule="exact"/>
              <w:jc w:val="center"/>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lang w:val="en-US" w:eastAsia="zh-CN"/>
              </w:rPr>
              <w:t>赞皇县集中支付中心</w:t>
            </w:r>
          </w:p>
        </w:tc>
        <w:tc>
          <w:tcPr>
            <w:tcW w:w="2505" w:type="dxa"/>
            <w:vAlign w:val="top"/>
          </w:tcPr>
          <w:p w14:paraId="3794B549">
            <w:pPr>
              <w:spacing w:line="560" w:lineRule="exact"/>
              <w:jc w:val="center"/>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rPr>
              <w:t>财政补助事业单位</w:t>
            </w:r>
          </w:p>
        </w:tc>
        <w:tc>
          <w:tcPr>
            <w:tcW w:w="2920" w:type="dxa"/>
            <w:vAlign w:val="top"/>
          </w:tcPr>
          <w:p w14:paraId="5F830F46">
            <w:pPr>
              <w:spacing w:line="560" w:lineRule="exact"/>
              <w:jc w:val="center"/>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rPr>
              <w:t>财政性资金基本保证</w:t>
            </w:r>
          </w:p>
        </w:tc>
      </w:tr>
      <w:tr w14:paraId="04403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114" w:type="dxa"/>
          </w:tcPr>
          <w:p w14:paraId="3E233A8F">
            <w:pPr>
              <w:pageBreakBefore w:val="0"/>
              <w:kinsoku/>
              <w:wordWrap/>
              <w:overflowPunct/>
              <w:topLinePunct w:val="0"/>
              <w:autoSpaceDE/>
              <w:autoSpaceDN/>
              <w:bidi w:val="0"/>
              <w:adjustRightInd/>
              <w:snapToGrid/>
              <w:spacing w:line="560" w:lineRule="exact"/>
              <w:jc w:val="center"/>
              <w:textAlignment w:val="auto"/>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lang w:val="en-US" w:eastAsia="zh-CN"/>
              </w:rPr>
              <w:t>3</w:t>
            </w:r>
          </w:p>
        </w:tc>
        <w:tc>
          <w:tcPr>
            <w:tcW w:w="2841" w:type="dxa"/>
            <w:vAlign w:val="top"/>
          </w:tcPr>
          <w:p w14:paraId="27217FB2">
            <w:pPr>
              <w:spacing w:line="560" w:lineRule="exact"/>
              <w:jc w:val="center"/>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lang w:val="en-US" w:eastAsia="zh-CN"/>
              </w:rPr>
              <w:t>赞皇县收费服务中心</w:t>
            </w:r>
          </w:p>
        </w:tc>
        <w:tc>
          <w:tcPr>
            <w:tcW w:w="2505" w:type="dxa"/>
            <w:vAlign w:val="top"/>
          </w:tcPr>
          <w:p w14:paraId="74722C5F">
            <w:pPr>
              <w:spacing w:line="560" w:lineRule="exact"/>
              <w:jc w:val="center"/>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rPr>
              <w:t>财政补助事业单位</w:t>
            </w:r>
          </w:p>
        </w:tc>
        <w:tc>
          <w:tcPr>
            <w:tcW w:w="2920" w:type="dxa"/>
            <w:vAlign w:val="top"/>
          </w:tcPr>
          <w:p w14:paraId="44FA9F86">
            <w:pPr>
              <w:spacing w:line="560" w:lineRule="exact"/>
              <w:jc w:val="center"/>
              <w:rPr>
                <w:rFonts w:hint="eastAsia" w:ascii="仿宋_GB2312" w:hAnsi="Calibri" w:eastAsia="仿宋_GB2312" w:cs="Arial Black"/>
                <w:kern w:val="0"/>
                <w:sz w:val="24"/>
                <w:szCs w:val="24"/>
                <w:lang w:val="en-US" w:eastAsia="zh-CN"/>
              </w:rPr>
            </w:pPr>
            <w:r>
              <w:rPr>
                <w:rFonts w:hint="eastAsia" w:ascii="仿宋_GB2312" w:hAnsi="Calibri" w:eastAsia="仿宋_GB2312" w:cs="Arial Black"/>
                <w:kern w:val="0"/>
                <w:sz w:val="24"/>
                <w:szCs w:val="24"/>
              </w:rPr>
              <w:t>财政性资金基本保证</w:t>
            </w:r>
          </w:p>
        </w:tc>
      </w:tr>
    </w:tbl>
    <w:p w14:paraId="3BBEBCA6">
      <w:pPr>
        <w:pageBreakBefore w:val="0"/>
        <w:kinsoku/>
        <w:wordWrap/>
        <w:overflowPunct/>
        <w:topLinePunct w:val="0"/>
        <w:autoSpaceDE/>
        <w:autoSpaceDN/>
        <w:bidi w:val="0"/>
        <w:adjustRightInd/>
        <w:snapToGrid/>
        <w:spacing w:line="560" w:lineRule="exact"/>
        <w:textAlignment w:val="auto"/>
      </w:pPr>
    </w:p>
    <w:p w14:paraId="34DEBBA7">
      <w:pPr>
        <w:numPr>
          <w:ilvl w:val="0"/>
          <w:numId w:val="1"/>
        </w:numPr>
        <w:adjustRightInd w:val="0"/>
        <w:snapToGrid w:val="0"/>
        <w:spacing w:line="560" w:lineRule="exact"/>
        <w:ind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部门收支预决算情况</w:t>
      </w:r>
    </w:p>
    <w:p w14:paraId="0246AAB1">
      <w:pPr>
        <w:spacing w:line="560" w:lineRule="exact"/>
        <w:ind w:firstLine="640" w:firstLineChars="200"/>
        <w:rPr>
          <w:rFonts w:hint="eastAsia" w:ascii="仿宋_GB2312" w:hAnsi="Times New Roman" w:eastAsia="仿宋_GB2312" w:cs="Wingdings"/>
          <w:sz w:val="32"/>
          <w:szCs w:val="32"/>
          <w:lang w:eastAsia="zh-CN"/>
        </w:rPr>
      </w:pPr>
      <w:r>
        <w:rPr>
          <w:rFonts w:hint="eastAsia" w:ascii="仿宋_GB2312" w:hAnsi="仿宋" w:eastAsia="仿宋_GB2312"/>
          <w:sz w:val="32"/>
          <w:szCs w:val="32"/>
          <w:lang w:val="en-US" w:eastAsia="zh-CN"/>
        </w:rPr>
        <w:t>本部门</w:t>
      </w:r>
      <w:r>
        <w:rPr>
          <w:rFonts w:hint="eastAsia" w:ascii="仿宋_GB2312" w:hAnsi="仿宋" w:eastAsia="仿宋_GB2312"/>
          <w:sz w:val="32"/>
          <w:szCs w:val="32"/>
        </w:rPr>
        <w:t>年初预算</w:t>
      </w:r>
      <w:r>
        <w:rPr>
          <w:rFonts w:hint="eastAsia" w:ascii="仿宋_GB2312" w:hAnsi="仿宋" w:eastAsia="仿宋_GB2312"/>
          <w:sz w:val="32"/>
          <w:szCs w:val="32"/>
          <w:lang w:val="en-US" w:eastAsia="zh-CN"/>
        </w:rPr>
        <w:t>5022.27万元</w:t>
      </w:r>
      <w:r>
        <w:rPr>
          <w:rFonts w:hint="eastAsia" w:ascii="仿宋_GB2312" w:hAnsi="仿宋" w:eastAsia="仿宋_GB2312"/>
          <w:sz w:val="32"/>
          <w:szCs w:val="32"/>
        </w:rPr>
        <w:t>，</w:t>
      </w: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lang w:val="en-US" w:eastAsia="zh-CN"/>
        </w:rPr>
        <w:t>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4</w:t>
      </w:r>
      <w:r>
        <w:rPr>
          <w:rFonts w:hint="eastAsia" w:ascii="仿宋_GB2312" w:hAnsi="Times New Roman" w:eastAsia="仿宋_GB2312" w:cs="Wingdings"/>
          <w:sz w:val="32"/>
          <w:szCs w:val="32"/>
        </w:rPr>
        <w:t>年度收</w:t>
      </w:r>
      <w:r>
        <w:rPr>
          <w:rFonts w:hint="eastAsia" w:ascii="仿宋_GB2312" w:hAnsi="Times New Roman" w:eastAsia="仿宋_GB2312" w:cs="Wingdings"/>
          <w:sz w:val="32"/>
          <w:szCs w:val="32"/>
          <w:lang w:val="en-US" w:eastAsia="zh-CN"/>
        </w:rPr>
        <w:t>入</w:t>
      </w:r>
      <w:r>
        <w:rPr>
          <w:rFonts w:hint="eastAsia" w:ascii="仿宋_GB2312" w:hAnsi="Times New Roman" w:eastAsia="仿宋_GB2312" w:cs="Wingdings"/>
          <w:sz w:val="32"/>
          <w:szCs w:val="32"/>
        </w:rPr>
        <w:t>总</w:t>
      </w:r>
      <w:r>
        <w:rPr>
          <w:rFonts w:hint="eastAsia" w:ascii="仿宋_GB2312" w:hAnsi="Times New Roman" w:eastAsia="仿宋_GB2312" w:cs="Wingdings"/>
          <w:sz w:val="32"/>
          <w:szCs w:val="32"/>
          <w:lang w:val="en-US" w:eastAsia="zh-CN"/>
        </w:rPr>
        <w:t>计</w:t>
      </w:r>
      <w:r>
        <w:rPr>
          <w:rFonts w:hint="eastAsia" w:ascii="仿宋_GB2312" w:eastAsia="仿宋_GB2312" w:cs="Wingdings"/>
          <w:sz w:val="32"/>
          <w:szCs w:val="32"/>
          <w:lang w:val="en-US" w:eastAsia="zh-CN"/>
        </w:rPr>
        <w:t>7866.17</w:t>
      </w:r>
      <w:r>
        <w:rPr>
          <w:rFonts w:hint="eastAsia" w:ascii="仿宋_GB2312" w:hAnsi="Times New Roman" w:eastAsia="仿宋_GB2312" w:cs="Wingdings"/>
          <w:sz w:val="32"/>
          <w:szCs w:val="32"/>
        </w:rPr>
        <w:t>万元</w:t>
      </w:r>
      <w:r>
        <w:rPr>
          <w:rFonts w:hint="eastAsia" w:ascii="仿宋_GB2312" w:eastAsia="仿宋_GB2312" w:cs="Wingdings"/>
          <w:sz w:val="32"/>
          <w:szCs w:val="32"/>
          <w:lang w:eastAsia="zh-CN"/>
        </w:rPr>
        <w:t>，</w:t>
      </w:r>
      <w:r>
        <w:rPr>
          <w:rFonts w:hint="eastAsia" w:ascii="仿宋_GB2312" w:hAnsi="Times New Roman" w:eastAsia="仿宋_GB2312" w:cs="Wingdings"/>
          <w:sz w:val="32"/>
          <w:szCs w:val="32"/>
        </w:rPr>
        <w:t>支出合计</w:t>
      </w:r>
      <w:r>
        <w:rPr>
          <w:rFonts w:hint="eastAsia" w:ascii="仿宋_GB2312" w:eastAsia="仿宋_GB2312" w:cs="Wingdings"/>
          <w:sz w:val="32"/>
          <w:szCs w:val="32"/>
          <w:lang w:val="en-US" w:eastAsia="zh-CN"/>
        </w:rPr>
        <w:t>7866.17</w:t>
      </w:r>
      <w:r>
        <w:rPr>
          <w:rFonts w:hint="eastAsia" w:ascii="仿宋_GB2312" w:hAnsi="Times New Roman" w:eastAsia="仿宋_GB2312" w:cs="Wingdings"/>
          <w:sz w:val="32"/>
          <w:szCs w:val="32"/>
        </w:rPr>
        <w:t>万元，其中：</w:t>
      </w:r>
      <w:r>
        <w:rPr>
          <w:rFonts w:hint="eastAsia" w:ascii="仿宋_GB2312" w:hAnsi="Times New Roman" w:eastAsia="仿宋_GB2312" w:cs="Wingdings"/>
          <w:sz w:val="32"/>
          <w:szCs w:val="32"/>
          <w:lang w:val="en-US" w:eastAsia="zh-CN"/>
        </w:rPr>
        <w:t>基本</w:t>
      </w:r>
      <w:r>
        <w:rPr>
          <w:rFonts w:hint="eastAsia" w:ascii="仿宋_GB2312" w:hAnsi="Times New Roman" w:eastAsia="仿宋_GB2312" w:cs="Wingdings"/>
          <w:sz w:val="32"/>
          <w:szCs w:val="32"/>
          <w:lang w:eastAsia="zh-CN"/>
        </w:rPr>
        <w:t>支出</w:t>
      </w:r>
      <w:r>
        <w:rPr>
          <w:rFonts w:hint="eastAsia" w:ascii="仿宋_GB2312" w:hAnsi="Times New Roman" w:eastAsia="仿宋_GB2312" w:cs="Wingdings"/>
          <w:sz w:val="32"/>
          <w:szCs w:val="32"/>
          <w:lang w:val="en-US" w:eastAsia="zh-CN"/>
        </w:rPr>
        <w:t>1210.31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w:t>
      </w:r>
      <w:r>
        <w:rPr>
          <w:rFonts w:hint="eastAsia" w:ascii="仿宋_GB2312" w:eastAsia="仿宋_GB2312" w:cs="Wingdings"/>
          <w:sz w:val="32"/>
          <w:szCs w:val="32"/>
          <w:lang w:val="en-US" w:eastAsia="zh-CN"/>
        </w:rPr>
        <w:t>5.39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w:t>
      </w:r>
      <w:r>
        <w:rPr>
          <w:rFonts w:hint="eastAsia" w:ascii="仿宋_GB2312" w:hAnsi="Times New Roman" w:eastAsia="仿宋_GB2312" w:cs="Wingdings"/>
          <w:sz w:val="32"/>
          <w:szCs w:val="32"/>
        </w:rPr>
        <w:t>项目支出</w:t>
      </w:r>
      <w:r>
        <w:rPr>
          <w:rFonts w:hint="eastAsia" w:ascii="仿宋_GB2312" w:eastAsia="仿宋_GB2312" w:cs="Wingdings"/>
          <w:sz w:val="32"/>
          <w:szCs w:val="32"/>
          <w:lang w:val="en-US" w:eastAsia="zh-CN"/>
        </w:rPr>
        <w:t>6655.86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84.61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p>
    <w:p w14:paraId="5B2E3F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highlight w:val="none"/>
        </w:rPr>
      </w:pPr>
      <w:r>
        <w:rPr>
          <w:rFonts w:hint="eastAsia" w:ascii="楷体" w:hAnsi="楷体" w:eastAsia="楷体" w:cs="楷体_GB2312"/>
          <w:bCs/>
          <w:sz w:val="32"/>
          <w:szCs w:val="32"/>
          <w:highlight w:val="none"/>
        </w:rPr>
        <w:t>（三）部门整体支出绩效目标、指标</w:t>
      </w:r>
    </w:p>
    <w:p w14:paraId="336A3263">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一、总体绩效目标</w:t>
      </w:r>
    </w:p>
    <w:p w14:paraId="15E00E3E">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坚持以习近平新时代中国特色社会主义思想为指导，认真落实中央和省委省政府决策部署，以全面建设高质量财政、更好服务全县高质量发展为主线，以“五个聚焦”为着力点（聚焦财力匹配、保障有力，狠抓财源建设；聚焦配置优化、绩效突出，实施绩效管理；聚焦规范透明、约束硬化，推进依法理财；聚焦权责清晰、体制顺畅，深化财税改革；聚焦基础扎实、运行稳健，防范化解风险），全年重点抓好以下几方面工作：</w:t>
      </w:r>
    </w:p>
    <w:p w14:paraId="3551F20D">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一是着力提高收入质量。把收入提质放在更加突出的位置，落实促进县域经济高质量发展十条财政政策，培育优质财源，促进县域收入规模质量双提升。强化财税部门协调联动，深化综合治税，规范非税管理，做好分析预测、运行监控、调度督导等工作，开展收入质量督查，确保完成收入目标任务，并不断优化收入结构、提高税收占比。</w:t>
      </w:r>
    </w:p>
    <w:p w14:paraId="10F90832">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二是着力优化支出结构。加强财政资金统筹使用，优化资金投向，重点向民生、运转、“三农”、科技和发展方面倾斜，新增项目围绕落实中央、省决策部署安排，增加有效供给，坚决取消政策到期项目，严控非急需、非刚性和一般性支出，继续压减“三公”经费。加大涉农资金统筹整合力度，重点支持扶贫、产业结构调整等十个方面，并用好市场化机制，改进财政投入方式，补贴资金的引导撬动作用，全面提升财政资源配置效率。精编项目预算，将所有资金全部细化到具体项目，并组织做好机构改革相关部门预算编制工作。</w:t>
      </w:r>
    </w:p>
    <w:p w14:paraId="473181F3">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三是着力保障改善民生。研究财政保障民生政策落实的措施，统筹财力支持民心工程实施，认真做好民生政策提标扩面资金保障，支持乡村振兴战略实施，不断推进基本公共服务均等化，加大教育投入。组织开展好冬季清洁取暖。</w:t>
      </w:r>
    </w:p>
    <w:p w14:paraId="3DE700DB">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四是着力加强资金监管。认真执行专项资金管理制度，突出抓好扶贫资金监督、管理和追责等制度落实；完善用好财政资金监控系统，实施全流程预算监管，全面落实资金管理台账、公告公示等制度；重点围绕扶贫、养老、科技创新、环境治理等领域资金开展专项检查，及时发现问题，严肃问责处理。</w:t>
      </w:r>
    </w:p>
    <w:p w14:paraId="2DDA7BD1">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五是着力实施绩效管理。认真落实党中央、国务院及我省实施意见，积极构建政府预算、部门预算、政策和项目预算绩效管理体系推进在我县全面实施。推动财政重点评价覆盖所有专项资金，将评价结果与预算安排和政策调整挂钩。</w:t>
      </w:r>
    </w:p>
    <w:p w14:paraId="39DDC024">
      <w:pPr>
        <w:pStyle w:val="10"/>
        <w:rPr>
          <w:rFonts w:hint="eastAsia" w:ascii="仿宋" w:hAnsi="仿宋" w:eastAsia="仿宋" w:cs="仿宋"/>
          <w:kern w:val="2"/>
          <w:sz w:val="32"/>
          <w:szCs w:val="32"/>
          <w:highlight w:val="none"/>
          <w:u w:val="none" w:color="auto"/>
          <w:lang w:val="en-US" w:eastAsia="zh-CN" w:bidi="ar-SA"/>
        </w:rPr>
      </w:pPr>
      <w:r>
        <w:rPr>
          <w:rFonts w:hint="eastAsia" w:ascii="仿宋" w:hAnsi="仿宋" w:eastAsia="仿宋" w:cs="仿宋"/>
          <w:kern w:val="2"/>
          <w:sz w:val="32"/>
          <w:szCs w:val="32"/>
          <w:highlight w:val="none"/>
          <w:u w:val="none" w:color="auto"/>
          <w:lang w:val="en-US" w:eastAsia="zh-CN" w:bidi="ar-SA"/>
        </w:rPr>
        <w:t>六是着力推进依法理财。加强注册会计师、资产评估等行业管理，加大财会人员培训力度，提高规范从业水平。抓好财政内控制度执行，全面应用会计集中核算平台。深化政府采购监管、“一网、一门、一次”等财政“放管服”改革。全面推进政务公开，继续推动人大联网审查监督，更好地为全县高质量建设服务。</w:t>
      </w:r>
    </w:p>
    <w:p w14:paraId="3435D6D9">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ascii="黑体" w:hAnsi="黑体" w:eastAsia="黑体"/>
          <w:sz w:val="32"/>
          <w:szCs w:val="32"/>
          <w:highlight w:val="none"/>
        </w:rPr>
      </w:pPr>
      <w:r>
        <w:rPr>
          <w:rFonts w:hint="eastAsia" w:ascii="黑体" w:hAnsi="黑体" w:eastAsia="黑体"/>
          <w:sz w:val="32"/>
          <w:szCs w:val="32"/>
          <w:highlight w:val="none"/>
        </w:rPr>
        <w:t>二、自评工作开展情况</w:t>
      </w:r>
    </w:p>
    <w:p w14:paraId="326C5598">
      <w:pPr>
        <w:keepNext w:val="0"/>
        <w:keepLines w:val="0"/>
        <w:pageBreakBefore w:val="0"/>
        <w:widowControl w:val="0"/>
        <w:kinsoku/>
        <w:wordWrap/>
        <w:overflowPunct/>
        <w:topLinePunct w:val="0"/>
        <w:autoSpaceDE/>
        <w:autoSpaceDN/>
        <w:bidi w:val="0"/>
        <w:spacing w:line="570" w:lineRule="exact"/>
        <w:textAlignment w:val="auto"/>
        <w:rPr>
          <w:rFonts w:ascii="楷体" w:hAnsi="楷体" w:eastAsia="楷体" w:cs="楷体_GB2312"/>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（一）自评的组织工作</w:t>
      </w:r>
    </w:p>
    <w:p w14:paraId="195F0001">
      <w:pPr>
        <w:keepNext w:val="0"/>
        <w:keepLines w:val="0"/>
        <w:pageBreakBefore w:val="0"/>
        <w:widowControl w:val="0"/>
        <w:kinsoku/>
        <w:wordWrap/>
        <w:overflowPunct/>
        <w:topLinePunct w:val="0"/>
        <w:autoSpaceDE/>
        <w:autoSpaceDN/>
        <w:bidi w:val="0"/>
        <w:snapToGrid w:val="0"/>
        <w:spacing w:line="570" w:lineRule="exact"/>
        <w:ind w:firstLine="640" w:firstLineChars="200"/>
        <w:textAlignment w:val="auto"/>
        <w:rPr>
          <w:rFonts w:ascii="仿宋" w:hAnsi="仿宋" w:eastAsia="仿宋"/>
          <w:sz w:val="32"/>
          <w:szCs w:val="32"/>
          <w:highlight w:val="yellow"/>
        </w:rPr>
      </w:pPr>
      <w:r>
        <w:rPr>
          <w:rFonts w:hint="eastAsia" w:ascii="仿宋" w:hAnsi="仿宋" w:eastAsia="仿宋" w:cs="仿宋"/>
          <w:sz w:val="32"/>
          <w:szCs w:val="32"/>
        </w:rPr>
        <w:t>为保证绩效评价工作顺利开展，我</w:t>
      </w:r>
      <w:r>
        <w:rPr>
          <w:rFonts w:hint="eastAsia" w:ascii="仿宋" w:hAnsi="仿宋" w:eastAsia="仿宋" w:cs="仿宋"/>
          <w:sz w:val="32"/>
          <w:szCs w:val="32"/>
          <w:lang w:val="en-US" w:eastAsia="zh-CN"/>
        </w:rPr>
        <w:t>部门</w:t>
      </w:r>
      <w:r>
        <w:rPr>
          <w:rFonts w:hint="eastAsia" w:ascii="仿宋" w:hAnsi="仿宋" w:eastAsia="仿宋" w:cs="仿宋"/>
          <w:sz w:val="32"/>
          <w:szCs w:val="32"/>
        </w:rPr>
        <w:t>成立了绩效评价工作小组，主管</w:t>
      </w:r>
      <w:r>
        <w:rPr>
          <w:rFonts w:hint="eastAsia" w:ascii="仿宋" w:hAnsi="仿宋" w:eastAsia="仿宋" w:cs="仿宋"/>
          <w:sz w:val="32"/>
          <w:szCs w:val="32"/>
          <w:lang w:eastAsia="zh-CN"/>
        </w:rPr>
        <w:t>财务</w:t>
      </w:r>
      <w:r>
        <w:rPr>
          <w:rFonts w:hint="eastAsia" w:ascii="仿宋" w:hAnsi="仿宋" w:eastAsia="仿宋" w:cs="仿宋"/>
          <w:sz w:val="32"/>
          <w:szCs w:val="32"/>
          <w:lang w:val="en-US" w:eastAsia="zh-CN"/>
        </w:rPr>
        <w:t>局</w:t>
      </w:r>
      <w:r>
        <w:rPr>
          <w:rFonts w:hint="eastAsia" w:ascii="仿宋" w:hAnsi="仿宋" w:eastAsia="仿宋" w:cs="仿宋"/>
          <w:sz w:val="32"/>
          <w:szCs w:val="32"/>
        </w:rPr>
        <w:t>领导任组长，</w:t>
      </w:r>
      <w:r>
        <w:rPr>
          <w:rFonts w:hint="eastAsia" w:ascii="仿宋" w:hAnsi="仿宋" w:eastAsia="仿宋" w:cs="仿宋"/>
          <w:sz w:val="32"/>
          <w:szCs w:val="32"/>
          <w:lang w:eastAsia="zh-CN"/>
        </w:rPr>
        <w:t>办公室</w:t>
      </w:r>
      <w:r>
        <w:rPr>
          <w:rFonts w:hint="eastAsia" w:ascii="仿宋" w:hAnsi="仿宋" w:eastAsia="仿宋" w:cs="仿宋"/>
          <w:sz w:val="32"/>
          <w:szCs w:val="32"/>
        </w:rPr>
        <w:t>主任为副组长</w:t>
      </w:r>
      <w:bookmarkStart w:id="0" w:name="_GoBack"/>
      <w:bookmarkEnd w:id="0"/>
      <w:r>
        <w:rPr>
          <w:rFonts w:hint="eastAsia" w:ascii="仿宋" w:hAnsi="仿宋" w:eastAsia="仿宋" w:cs="仿宋"/>
          <w:sz w:val="32"/>
          <w:szCs w:val="32"/>
        </w:rPr>
        <w:t>，</w:t>
      </w:r>
      <w:r>
        <w:rPr>
          <w:rFonts w:hint="eastAsia" w:ascii="仿宋" w:hAnsi="仿宋" w:eastAsia="仿宋" w:cs="仿宋"/>
          <w:sz w:val="32"/>
          <w:szCs w:val="32"/>
          <w:lang w:eastAsia="zh-CN"/>
        </w:rPr>
        <w:t>办公室</w:t>
      </w:r>
      <w:r>
        <w:rPr>
          <w:rFonts w:hint="eastAsia" w:ascii="仿宋" w:hAnsi="仿宋" w:eastAsia="仿宋" w:cs="仿宋"/>
          <w:sz w:val="32"/>
          <w:szCs w:val="32"/>
          <w:lang w:val="en-US" w:eastAsia="zh-CN"/>
        </w:rPr>
        <w:t>干部职工</w:t>
      </w:r>
      <w:r>
        <w:rPr>
          <w:rFonts w:hint="eastAsia" w:ascii="仿宋" w:hAnsi="仿宋" w:eastAsia="仿宋" w:cs="仿宋"/>
          <w:sz w:val="32"/>
          <w:szCs w:val="32"/>
        </w:rPr>
        <w:t>为成员，负责绩效评价的组织管理和实施工作。评价采用定量分析和定性分析相结合的方法，从预算编制、预算执行、绩效目标完成情况、绩效目标设置质量等方面进行了综合评价。</w:t>
      </w:r>
    </w:p>
    <w:p w14:paraId="13AF7C1B">
      <w:pPr>
        <w:numPr>
          <w:ilvl w:val="0"/>
          <w:numId w:val="2"/>
        </w:numPr>
        <w:spacing w:line="560" w:lineRule="exact"/>
        <w:rPr>
          <w:rFonts w:ascii="楷体" w:hAnsi="楷体" w:eastAsia="楷体" w:cs="楷体_GB2312"/>
          <w:bCs/>
          <w:sz w:val="32"/>
          <w:szCs w:val="32"/>
          <w:highlight w:val="none"/>
        </w:rPr>
      </w:pPr>
      <w:r>
        <w:rPr>
          <w:rFonts w:hint="eastAsia" w:ascii="楷体" w:hAnsi="楷体" w:eastAsia="楷体" w:cs="楷体_GB2312"/>
          <w:bCs/>
          <w:sz w:val="32"/>
          <w:szCs w:val="32"/>
          <w:highlight w:val="none"/>
        </w:rPr>
        <w:t>自评的方法和过程</w:t>
      </w:r>
    </w:p>
    <w:p w14:paraId="542D20DD">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本次绩效评价工作过程包括前期准备、组织实施、撰写评价报告三个阶段。</w:t>
      </w:r>
    </w:p>
    <w:p w14:paraId="1FEA4F62">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1.前期准备</w:t>
      </w:r>
    </w:p>
    <w:p w14:paraId="16E91ACE">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一是按照绩效评价工作要求，明确绩效评价的内容和范围，初步制定绩效评价工作方案。二是召开座谈会，对工作方案进行反复讨论并广泛征求相关部门和有关人员意见。三是对我</w:t>
      </w:r>
      <w:r>
        <w:rPr>
          <w:rFonts w:hint="eastAsia" w:ascii="仿宋" w:hAnsi="仿宋" w:eastAsia="仿宋" w:cs="仿宋"/>
          <w:sz w:val="32"/>
          <w:szCs w:val="32"/>
          <w:lang w:val="en-US" w:eastAsia="zh-CN"/>
        </w:rPr>
        <w:t>局</w:t>
      </w:r>
      <w:r>
        <w:rPr>
          <w:rFonts w:hint="eastAsia" w:ascii="仿宋" w:hAnsi="仿宋" w:eastAsia="仿宋" w:cs="仿宋"/>
          <w:sz w:val="32"/>
          <w:szCs w:val="32"/>
        </w:rPr>
        <w:t>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0137CE01">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2.组织实施</w:t>
      </w:r>
    </w:p>
    <w:p w14:paraId="6C02B7D3">
      <w:pPr>
        <w:keepNext w:val="0"/>
        <w:keepLines w:val="0"/>
        <w:pageBreakBefore w:val="0"/>
        <w:kinsoku/>
        <w:overflowPunct/>
        <w:topLinePunct w:val="0"/>
        <w:autoSpaceDE/>
        <w:autoSpaceDN/>
        <w:bidi w:val="0"/>
        <w:snapToGrid w:val="0"/>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6E6EF7EC">
      <w:pPr>
        <w:keepNext w:val="0"/>
        <w:keepLines w:val="0"/>
        <w:pageBreakBefore w:val="0"/>
        <w:kinsoku/>
        <w:overflowPunct/>
        <w:topLinePunct w:val="0"/>
        <w:autoSpaceDE/>
        <w:autoSpaceDN/>
        <w:bidi w:val="0"/>
        <w:spacing w:line="560" w:lineRule="exact"/>
        <w:ind w:firstLine="643" w:firstLineChars="200"/>
        <w:jc w:val="left"/>
        <w:textAlignment w:val="auto"/>
        <w:outlineLvl w:val="1"/>
        <w:rPr>
          <w:rFonts w:hint="eastAsia" w:ascii="仿宋_GB2312" w:hAnsi="仿宋" w:eastAsia="仿宋_GB2312"/>
          <w:b/>
          <w:bCs/>
          <w:sz w:val="32"/>
          <w:szCs w:val="32"/>
        </w:rPr>
      </w:pPr>
      <w:r>
        <w:rPr>
          <w:rFonts w:hint="eastAsia" w:ascii="仿宋_GB2312" w:hAnsi="仿宋" w:eastAsia="仿宋_GB2312"/>
          <w:b/>
          <w:bCs/>
          <w:sz w:val="32"/>
          <w:szCs w:val="32"/>
        </w:rPr>
        <w:t>3.撰写绩效评价报告</w:t>
      </w:r>
    </w:p>
    <w:p w14:paraId="30F4AFB4">
      <w:pPr>
        <w:keepNext w:val="0"/>
        <w:keepLines w:val="0"/>
        <w:pageBreakBefore w:val="0"/>
        <w:kinsoku/>
        <w:overflowPunct/>
        <w:topLinePunct w:val="0"/>
        <w:autoSpaceDE/>
        <w:autoSpaceDN/>
        <w:bidi w:val="0"/>
        <w:snapToGrid w:val="0"/>
        <w:spacing w:line="560" w:lineRule="exact"/>
        <w:ind w:firstLine="640" w:firstLineChars="200"/>
        <w:textAlignment w:val="auto"/>
      </w:pPr>
      <w:r>
        <w:rPr>
          <w:rFonts w:hint="eastAsia" w:ascii="仿宋" w:hAnsi="仿宋" w:eastAsia="仿宋" w:cs="仿宋"/>
          <w:sz w:val="32"/>
          <w:szCs w:val="32"/>
        </w:rPr>
        <w:t>在对收集的数据、资料进行核对、比较、计算的基础上，对比年度绩效目标，形成评价结论；根据评价结论，撰写绩效评价报告。</w:t>
      </w:r>
    </w:p>
    <w:p w14:paraId="2CD267C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7A76FC8">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915BFBB">
      <w:pPr>
        <w:autoSpaceDE w:val="0"/>
        <w:autoSpaceDN w:val="0"/>
        <w:adjustRightInd w:val="0"/>
        <w:ind w:firstLine="646"/>
        <w:jc w:val="left"/>
        <w:rPr>
          <w:rFonts w:hint="eastAsia" w:ascii="仿宋" w:hAnsi="仿宋" w:eastAsia="仿宋" w:cs="仿宋"/>
          <w:sz w:val="32"/>
          <w:szCs w:val="32"/>
          <w:lang w:val="en-US" w:eastAsia="zh-CN"/>
        </w:rPr>
      </w:pPr>
      <w:r>
        <w:rPr>
          <w:rFonts w:hint="eastAsia" w:ascii="仿宋" w:hAnsi="仿宋" w:eastAsia="仿宋" w:cs="楷体_GB2312"/>
          <w:b/>
          <w:bCs/>
          <w:sz w:val="32"/>
          <w:szCs w:val="32"/>
        </w:rPr>
        <w:t xml:space="preserve">  </w:t>
      </w:r>
      <w:r>
        <w:rPr>
          <w:rFonts w:hint="eastAsia" w:ascii="仿宋" w:hAnsi="仿宋" w:eastAsia="仿宋" w:cs="仿宋"/>
          <w:sz w:val="32"/>
          <w:szCs w:val="32"/>
          <w:lang w:val="en-US" w:eastAsia="zh-CN"/>
        </w:rPr>
        <w:t>2024年度</w:t>
      </w:r>
      <w:r>
        <w:rPr>
          <w:rFonts w:hint="eastAsia" w:ascii="仿宋" w:hAnsi="仿宋" w:eastAsia="仿宋" w:cs="仿宋"/>
          <w:sz w:val="32"/>
          <w:szCs w:val="32"/>
          <w:lang w:eastAsia="zh-CN"/>
        </w:rPr>
        <w:t>在</w:t>
      </w:r>
      <w:r>
        <w:rPr>
          <w:rFonts w:hint="eastAsia" w:ascii="仿宋" w:hAnsi="仿宋" w:eastAsia="仿宋" w:cs="仿宋"/>
          <w:sz w:val="32"/>
          <w:szCs w:val="32"/>
          <w:lang w:val="en-US" w:eastAsia="zh-CN"/>
        </w:rPr>
        <w:t>县</w:t>
      </w:r>
      <w:r>
        <w:rPr>
          <w:rFonts w:hint="eastAsia" w:ascii="仿宋" w:hAnsi="仿宋" w:eastAsia="仿宋" w:cs="仿宋"/>
          <w:sz w:val="32"/>
          <w:szCs w:val="32"/>
          <w:lang w:eastAsia="zh-CN"/>
        </w:rPr>
        <w:t>政府的坚强领导下，在上级</w:t>
      </w:r>
      <w:r>
        <w:rPr>
          <w:rFonts w:hint="eastAsia" w:ascii="仿宋" w:hAnsi="仿宋" w:eastAsia="仿宋" w:cs="仿宋"/>
          <w:sz w:val="32"/>
          <w:szCs w:val="32"/>
          <w:lang w:val="en-US" w:eastAsia="zh-CN"/>
        </w:rPr>
        <w:t>部门</w:t>
      </w:r>
      <w:r>
        <w:rPr>
          <w:rFonts w:hint="eastAsia" w:ascii="仿宋" w:hAnsi="仿宋" w:eastAsia="仿宋" w:cs="仿宋"/>
          <w:sz w:val="32"/>
          <w:szCs w:val="32"/>
          <w:lang w:eastAsia="zh-CN"/>
        </w:rPr>
        <w:t>的指导下，</w:t>
      </w:r>
      <w:r>
        <w:rPr>
          <w:rFonts w:hint="eastAsia" w:ascii="仿宋" w:hAnsi="仿宋" w:eastAsia="仿宋" w:cs="仿宋_GB2312"/>
          <w:sz w:val="32"/>
          <w:szCs w:val="32"/>
        </w:rPr>
        <w:t>深入推进绩效预算管理，科学编制绩效目标，提高资金使用效益。强化财政监督职能，创新监督方式，以绩效监督为重点，从资金分配、拨付、使用等各环节入手，加大各类资金的监督管理和跟踪问效，切实提高资金的配置和使用绩效。</w:t>
      </w:r>
    </w:p>
    <w:p w14:paraId="2BE08233">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3D4AF6F">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1、税收收入管理</w:t>
      </w:r>
    </w:p>
    <w:p w14:paraId="07F49A40">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绩效目标：落实国家各项税制改革任务，清理规范税收优惠政策，监控重点税源，保障税收政策落实到位，税收收入征收到位；进行税制改革的研究分析和效应评估，为县委、 县政府科学决策提供依据。</w:t>
      </w:r>
    </w:p>
    <w:p w14:paraId="42B2EE34">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绩效指标：重点税源监控率，优100%良≥80%中≥60%差&lt;60%。</w:t>
      </w:r>
    </w:p>
    <w:p w14:paraId="578C8F17">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2、预算编制管理</w:t>
      </w:r>
    </w:p>
    <w:p w14:paraId="262E66ED">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绩效目标：按时完成部门预算和政府功能预算草案的编制和向人大报告工作。绩效指标：年初预算到位率，优≥90%良≥80%中≥70%差&lt;70%</w:t>
      </w:r>
    </w:p>
    <w:p w14:paraId="1D65DD57">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3、预算公开</w:t>
      </w:r>
    </w:p>
    <w:p w14:paraId="2085DEB4">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预算内容全面、程度细化、严格时限、渠道规范，符合预算公开制度规定；做好各部门预算公开组织指导工作。绩效指标：各部门预算公开情况。各部门预算公开时限、内容、渠道、内容细化程度，四项严格符合规定要求。</w:t>
      </w:r>
    </w:p>
    <w:p w14:paraId="50B4D9A0">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4、财政政策资金监督评价</w:t>
      </w:r>
    </w:p>
    <w:p w14:paraId="0246DAC1">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绩效目标：促进财政预算管理质量不断提升，促进部门财务管理水平持续改进，促进财政政策和县委县政府重大决策、部署贯彻落实。</w:t>
      </w:r>
    </w:p>
    <w:p w14:paraId="2CF6C571">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绩效指标：专项检查任务完成及时率优≥80%良≥70%中≥60%差&lt;60%。</w:t>
      </w:r>
    </w:p>
    <w:p w14:paraId="050F9D47">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5、财政投资评审</w:t>
      </w:r>
    </w:p>
    <w:p w14:paraId="7EB78F3E">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绩效目标：完成年度预算评审计划、业务处室委托的评审项目；完成局内业务处室安排的专项核查和绩效评价工作。绩效指标：评价审查和专项资金核查完成率优≥75%良≥70%中≥65%差&lt;65%</w:t>
      </w:r>
    </w:p>
    <w:p w14:paraId="031F9838">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6、会计监督检查</w:t>
      </w:r>
    </w:p>
    <w:p w14:paraId="003241C0">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绩效目标：维护财经秩序，提高会计信息质量，规范会计师事务所和注册会计师执业行为。绩效指标：会计监督检查任务完成率。优≥90%良≥80%中≥70%差&lt;70%</w:t>
      </w:r>
    </w:p>
    <w:p w14:paraId="27B3F037">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7、会计法规制度培训和执行</w:t>
      </w:r>
    </w:p>
    <w:p w14:paraId="3D6477F3">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绩效目标：认真贯彻实施国家会计法律、法规、规章、制度。</w:t>
      </w:r>
    </w:p>
    <w:p w14:paraId="3CFF1E31">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绩效指标：年度会计法规政策制度培训宣传。优100%良≥80%中≥60%差&lt;60%</w:t>
      </w:r>
    </w:p>
    <w:p w14:paraId="5E7FB6E3">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8、政府专项工作服务与管理：农村综合改革</w:t>
      </w:r>
    </w:p>
    <w:p w14:paraId="70BFFDBE">
      <w:pPr>
        <w:pStyle w:val="11"/>
        <w:rPr>
          <w:rFonts w:hint="eastAsia" w:ascii="仿宋" w:hAnsi="仿宋" w:eastAsia="仿宋" w:cs="仿宋_GB2312"/>
          <w:kern w:val="2"/>
          <w:sz w:val="32"/>
          <w:szCs w:val="32"/>
          <w:lang w:val="en-US" w:eastAsia="zh-CN" w:bidi="ar-SA"/>
        </w:rPr>
      </w:pPr>
      <w:r>
        <w:rPr>
          <w:rFonts w:hint="eastAsia" w:ascii="仿宋" w:hAnsi="仿宋" w:eastAsia="仿宋" w:cs="仿宋_GB2312"/>
          <w:kern w:val="2"/>
          <w:sz w:val="32"/>
          <w:szCs w:val="32"/>
          <w:lang w:val="en-US" w:eastAsia="zh-CN" w:bidi="ar-SA"/>
        </w:rPr>
        <w:t>绩效目标：紧紧围绕实施乡村振兴战略，按照产业兴旺、生态宜居、乡风文明、治理有效、生活富裕的总要求，改善村内公益设施条件，发挥利民便民的长效作用；发展壮大村级集体经济实力，逐步提高村级集体经济可持续发展能力；加大农村综合改革对美丽乡村支持力度，进一步改善农村人居环境。</w:t>
      </w:r>
    </w:p>
    <w:p w14:paraId="1A1EFF4F">
      <w:pPr>
        <w:pStyle w:val="11"/>
      </w:pPr>
      <w:r>
        <w:rPr>
          <w:rFonts w:hint="eastAsia" w:ascii="仿宋" w:hAnsi="仿宋" w:eastAsia="仿宋" w:cs="仿宋_GB2312"/>
          <w:kern w:val="2"/>
          <w:sz w:val="32"/>
          <w:szCs w:val="32"/>
          <w:lang w:val="en-US" w:eastAsia="zh-CN" w:bidi="ar-SA"/>
        </w:rPr>
        <w:t>绩效指标：扶持村级集体经济、建设美丽乡村资金下达及时率。优100%良≥80%中≥60%差&lt;60%</w:t>
      </w:r>
      <w:r>
        <w:t>。</w:t>
      </w:r>
    </w:p>
    <w:p w14:paraId="420D1805">
      <w:pPr>
        <w:spacing w:line="560" w:lineRule="exact"/>
        <w:rPr>
          <w:rFonts w:ascii="黑体" w:hAnsi="黑体" w:eastAsia="黑体"/>
          <w:sz w:val="32"/>
          <w:szCs w:val="32"/>
        </w:rPr>
      </w:pPr>
      <w:r>
        <w:rPr>
          <w:rFonts w:hint="eastAsia" w:ascii="黑体" w:hAnsi="黑体" w:eastAsia="黑体"/>
          <w:sz w:val="32"/>
          <w:szCs w:val="32"/>
        </w:rPr>
        <w:t>四、评价结论和评价等级</w:t>
      </w:r>
    </w:p>
    <w:p w14:paraId="7064E768">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年我</w:t>
      </w:r>
      <w:r>
        <w:rPr>
          <w:rFonts w:hint="eastAsia" w:ascii="仿宋_GB2312" w:hAnsi="仿宋" w:eastAsia="仿宋_GB2312"/>
          <w:sz w:val="32"/>
          <w:szCs w:val="32"/>
          <w:lang w:val="en-US" w:eastAsia="zh-CN"/>
        </w:rPr>
        <w:t>局</w:t>
      </w:r>
      <w:r>
        <w:rPr>
          <w:rFonts w:hint="eastAsia" w:ascii="仿宋_GB2312" w:hAnsi="仿宋" w:eastAsia="仿宋_GB2312"/>
          <w:sz w:val="32"/>
          <w:szCs w:val="32"/>
        </w:rPr>
        <w:t>积极履职，通过加强预算收支管理，不断梳理内部管理流程，建立健全内部管理制度，部门整体支出管理水平得到提升。经自评，</w:t>
      </w:r>
      <w:r>
        <w:rPr>
          <w:rFonts w:hint="eastAsia" w:ascii="仿宋_GB2312" w:hAnsi="仿宋" w:eastAsia="仿宋_GB2312"/>
          <w:sz w:val="32"/>
          <w:szCs w:val="32"/>
          <w:lang w:val="en-US" w:eastAsia="zh-CN"/>
        </w:rPr>
        <w:t>每</w:t>
      </w:r>
      <w:r>
        <w:rPr>
          <w:rFonts w:hint="eastAsia" w:ascii="仿宋_GB2312" w:hAnsi="仿宋" w:eastAsia="仿宋_GB2312"/>
          <w:sz w:val="32"/>
          <w:szCs w:val="32"/>
        </w:rPr>
        <w:t>个项目自评得分均在90分以上，202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年我</w:t>
      </w:r>
      <w:r>
        <w:rPr>
          <w:rFonts w:hint="eastAsia" w:ascii="仿宋_GB2312" w:hAnsi="仿宋" w:eastAsia="仿宋_GB2312"/>
          <w:sz w:val="32"/>
          <w:szCs w:val="32"/>
          <w:lang w:val="en-US" w:eastAsia="zh-CN"/>
        </w:rPr>
        <w:t>局</w:t>
      </w:r>
      <w:r>
        <w:rPr>
          <w:rFonts w:hint="eastAsia" w:ascii="仿宋_GB2312" w:hAnsi="仿宋" w:eastAsia="仿宋_GB2312"/>
          <w:sz w:val="32"/>
          <w:szCs w:val="32"/>
        </w:rPr>
        <w:t>较好的完成了年度工作目标，综合评价等级为“优秀”。</w:t>
      </w:r>
    </w:p>
    <w:p w14:paraId="260AC45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7DBA828">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236E3FC">
      <w:pPr>
        <w:keepNext w:val="0"/>
        <w:keepLines w:val="0"/>
        <w:pageBreakBefore w:val="0"/>
        <w:kinsoku/>
        <w:overflowPunct/>
        <w:topLinePunct w:val="0"/>
        <w:autoSpaceDE/>
        <w:autoSpaceDN/>
        <w:bidi w:val="0"/>
        <w:spacing w:line="560" w:lineRule="exact"/>
        <w:ind w:firstLine="640" w:firstLineChars="200"/>
        <w:textAlignment w:val="auto"/>
      </w:pPr>
      <w:r>
        <w:rPr>
          <w:rFonts w:hint="eastAsia" w:ascii="仿宋_GB2312" w:hAnsi="仿宋" w:eastAsia="仿宋_GB2312"/>
          <w:sz w:val="32"/>
          <w:szCs w:val="32"/>
        </w:rPr>
        <w:t>从自评情况看，有关项目总体立项规范，绩效目标明确，预算编制较为合理，预算执行及时，有效，资金及时到位，各项管理制度健全并且能有效执行，绩效目标得到较好实现，部门履职水平不断提高，但也存在部分项目产出指标低于预期、项目实施进展慢等问题。</w:t>
      </w:r>
    </w:p>
    <w:p w14:paraId="0EBC815E">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3A78B3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建议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6A5A70EC">
      <w:pPr>
        <w:pStyle w:val="9"/>
        <w:rPr>
          <w:rFonts w:hint="eastAsia" w:ascii="仿宋_GB2312" w:hAnsi="仿宋" w:eastAsia="仿宋_GB2312"/>
          <w:sz w:val="32"/>
          <w:szCs w:val="32"/>
        </w:rPr>
      </w:pPr>
    </w:p>
    <w:p w14:paraId="7506BBE3">
      <w:pPr>
        <w:rPr>
          <w:rFonts w:hint="eastAsia" w:ascii="仿宋_GB2312" w:hAnsi="仿宋" w:eastAsia="仿宋_GB2312"/>
          <w:sz w:val="32"/>
          <w:szCs w:val="32"/>
        </w:rPr>
      </w:pPr>
    </w:p>
    <w:p w14:paraId="0B49FD90">
      <w:pPr>
        <w:pStyle w:val="9"/>
        <w:jc w:val="center"/>
        <w:rPr>
          <w:rFonts w:hint="default" w:eastAsia="仿宋_GB2312"/>
          <w:lang w:val="en-US" w:eastAsia="zh-CN"/>
        </w:rPr>
      </w:pPr>
      <w:r>
        <w:rPr>
          <w:rFonts w:hint="eastAsia" w:ascii="仿宋_GB2312" w:hAnsi="仿宋" w:eastAsia="仿宋_GB2312"/>
          <w:sz w:val="32"/>
          <w:szCs w:val="32"/>
          <w:lang w:val="en-US" w:eastAsia="zh-CN"/>
        </w:rPr>
        <w:t xml:space="preserve">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A3C4D7">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013AD2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0F21A5"/>
    <w:multiLevelType w:val="singleLevel"/>
    <w:tmpl w:val="F70F21A5"/>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DF77E6"/>
    <w:rsid w:val="00F441CC"/>
    <w:rsid w:val="00FC469D"/>
    <w:rsid w:val="01B104CA"/>
    <w:rsid w:val="02106AB0"/>
    <w:rsid w:val="02B43A28"/>
    <w:rsid w:val="039A5D23"/>
    <w:rsid w:val="046F331E"/>
    <w:rsid w:val="07956271"/>
    <w:rsid w:val="09721397"/>
    <w:rsid w:val="0A76389F"/>
    <w:rsid w:val="0BAF639D"/>
    <w:rsid w:val="0BB63BED"/>
    <w:rsid w:val="0D201F25"/>
    <w:rsid w:val="0D9F0517"/>
    <w:rsid w:val="0EB97A43"/>
    <w:rsid w:val="0EBD2122"/>
    <w:rsid w:val="0EF15B3A"/>
    <w:rsid w:val="0EF8164B"/>
    <w:rsid w:val="0F214EAE"/>
    <w:rsid w:val="11B71E6A"/>
    <w:rsid w:val="1315395E"/>
    <w:rsid w:val="185F552B"/>
    <w:rsid w:val="1AAF0063"/>
    <w:rsid w:val="1BE140DE"/>
    <w:rsid w:val="1CA34B4C"/>
    <w:rsid w:val="1EBF69B2"/>
    <w:rsid w:val="22C9109A"/>
    <w:rsid w:val="248C197D"/>
    <w:rsid w:val="252959AF"/>
    <w:rsid w:val="25696CBB"/>
    <w:rsid w:val="277A6671"/>
    <w:rsid w:val="292D35B7"/>
    <w:rsid w:val="29717421"/>
    <w:rsid w:val="2CBB1CC2"/>
    <w:rsid w:val="2D381A13"/>
    <w:rsid w:val="304715FE"/>
    <w:rsid w:val="30B85E41"/>
    <w:rsid w:val="31DE4736"/>
    <w:rsid w:val="32E8684A"/>
    <w:rsid w:val="33457F39"/>
    <w:rsid w:val="33EB6CFF"/>
    <w:rsid w:val="35766C4C"/>
    <w:rsid w:val="35A12947"/>
    <w:rsid w:val="37387040"/>
    <w:rsid w:val="3A541530"/>
    <w:rsid w:val="3AFF6639"/>
    <w:rsid w:val="3B625C0A"/>
    <w:rsid w:val="3B6845DC"/>
    <w:rsid w:val="3CEE1963"/>
    <w:rsid w:val="3F30299C"/>
    <w:rsid w:val="45FD5F7D"/>
    <w:rsid w:val="46A26C12"/>
    <w:rsid w:val="46F77F5F"/>
    <w:rsid w:val="4C9C27FE"/>
    <w:rsid w:val="4FF9AD8B"/>
    <w:rsid w:val="50142804"/>
    <w:rsid w:val="512260B4"/>
    <w:rsid w:val="52297D18"/>
    <w:rsid w:val="52BD6ACB"/>
    <w:rsid w:val="54827390"/>
    <w:rsid w:val="54DB676D"/>
    <w:rsid w:val="550540DC"/>
    <w:rsid w:val="55537534"/>
    <w:rsid w:val="55783D44"/>
    <w:rsid w:val="561A74F1"/>
    <w:rsid w:val="5707316B"/>
    <w:rsid w:val="597244E8"/>
    <w:rsid w:val="597738DB"/>
    <w:rsid w:val="5ACA70EC"/>
    <w:rsid w:val="5EB71C30"/>
    <w:rsid w:val="658468C2"/>
    <w:rsid w:val="6639682A"/>
    <w:rsid w:val="66AF0CE5"/>
    <w:rsid w:val="68FC625D"/>
    <w:rsid w:val="694171E0"/>
    <w:rsid w:val="6AC537CF"/>
    <w:rsid w:val="6AF348FA"/>
    <w:rsid w:val="6B7E35EE"/>
    <w:rsid w:val="6E1D3589"/>
    <w:rsid w:val="6E5B14A6"/>
    <w:rsid w:val="711B255E"/>
    <w:rsid w:val="73051ED2"/>
    <w:rsid w:val="756F7A70"/>
    <w:rsid w:val="7AF06519"/>
    <w:rsid w:val="7BB51E06"/>
    <w:rsid w:val="7C387F7C"/>
    <w:rsid w:val="7CDF70D5"/>
    <w:rsid w:val="7EBA0430"/>
    <w:rsid w:val="7F2973A3"/>
    <w:rsid w:val="7F39327E"/>
    <w:rsid w:val="7FBD34A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First Indent 2"/>
    <w:basedOn w:val="3"/>
    <w:uiPriority w:val="0"/>
    <w:pPr>
      <w:ind w:firstLine="420" w:firstLineChars="200"/>
    </w:pPr>
  </w:style>
  <w:style w:type="paragraph" w:styleId="3">
    <w:name w:val="Body Text Indent"/>
    <w:basedOn w:val="1"/>
    <w:qFormat/>
    <w:uiPriority w:val="0"/>
    <w:pPr>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toa heading"/>
    <w:basedOn w:val="1"/>
    <w:next w:val="1"/>
    <w:qFormat/>
    <w:uiPriority w:val="0"/>
    <w:pPr>
      <w:spacing w:before="120" w:beforeLines="0" w:beforeAutospacing="0"/>
    </w:pPr>
    <w:rPr>
      <w:rFonts w:ascii="Arial" w:hAnsi="Arial"/>
      <w:sz w:val="24"/>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4502</Words>
  <Characters>4661</Characters>
  <Lines>4</Lines>
  <Paragraphs>1</Paragraphs>
  <TotalTime>25</TotalTime>
  <ScaleCrop>false</ScaleCrop>
  <LinksUpToDate>false</LinksUpToDate>
  <CharactersWithSpaces>4708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2022-01-19T15:24:00Z</cp:lastPrinted>
  <dcterms:modified xsi:type="dcterms:W3CDTF">2025-07-17T07:10:14Z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FBA14C08FF424410975874EBEB8A5CB0</vt:lpwstr>
  </property>
  <property fmtid="{D5CDD505-2E9C-101B-9397-08002B2CF9AE}" pid="4" name="KSOTemplateDocerSaveRecord">
    <vt:lpwstr>eyJoZGlkIjoiYTRkZjYwODQyN2QxOTU4Mzc5MDkyZjcyNTA5NjE4M2QiLCJ1c2VySWQiOiIxNTUwMjQwMDk2In0=</vt:lpwstr>
  </property>
</Properties>
</file>