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44"/>
          <w:szCs w:val="44"/>
        </w:rPr>
      </w:pPr>
      <w:r>
        <w:rPr>
          <w:rFonts w:hint="eastAsia" w:ascii="Times New Roman" w:hAnsi="Times New Roman" w:eastAsia="方正小标宋_GBK" w:cs="Times New Roman"/>
          <w:sz w:val="44"/>
          <w:szCs w:val="44"/>
        </w:rPr>
        <w:t>赞皇县委宣传部2019年</w:t>
      </w:r>
    </w:p>
    <w:p>
      <w:pPr>
        <w:jc w:val="center"/>
        <w:rPr>
          <w:rFonts w:hint="eastAsia"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部门预算信息公开情况说明</w:t>
      </w:r>
    </w:p>
    <w:p>
      <w:pPr>
        <w:jc w:val="center"/>
        <w:rPr>
          <w:rFonts w:hint="eastAsia" w:ascii="Times New Roman" w:hAnsi="Times New Roman" w:eastAsia="方正小标宋_GBK" w:cs="Times New Roman"/>
          <w:sz w:val="44"/>
          <w:szCs w:val="44"/>
        </w:rPr>
      </w:pPr>
    </w:p>
    <w:p>
      <w:pPr>
        <w:ind w:firstLine="640" w:firstLineChars="200"/>
        <w:rPr>
          <w:rFonts w:ascii="仿宋" w:hAnsi="仿宋" w:eastAsia="仿宋" w:cs="仿宋"/>
          <w:sz w:val="32"/>
          <w:szCs w:val="32"/>
        </w:rPr>
      </w:pPr>
      <w:r>
        <w:rPr>
          <w:rFonts w:ascii="仿宋" w:hAnsi="仿宋" w:eastAsia="仿宋" w:cs="仿宋"/>
          <w:sz w:val="32"/>
          <w:szCs w:val="32"/>
        </w:rPr>
        <w:t>按照</w:t>
      </w:r>
      <w:r>
        <w:rPr>
          <w:rFonts w:hint="eastAsia" w:ascii="仿宋" w:hAnsi="仿宋" w:eastAsia="仿宋" w:cs="仿宋"/>
          <w:sz w:val="32"/>
          <w:szCs w:val="32"/>
        </w:rPr>
        <w:t>《</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w:t>
      </w:r>
      <w:r>
        <w:rPr>
          <w:rFonts w:ascii="仿宋" w:hAnsi="仿宋" w:eastAsia="仿宋" w:cs="仿宋"/>
          <w:sz w:val="32"/>
          <w:szCs w:val="32"/>
        </w:rPr>
        <w:t>《地方预决算公开操作规程》和</w:t>
      </w:r>
      <w:r>
        <w:rPr>
          <w:rFonts w:ascii="仿宋" w:hAnsi="仿宋" w:eastAsia="仿宋" w:cs="仿宋"/>
          <w:color w:val="auto"/>
          <w:sz w:val="32"/>
          <w:szCs w:val="32"/>
        </w:rPr>
        <w:t>《</w:t>
      </w:r>
      <w:r>
        <w:rPr>
          <w:rFonts w:hint="eastAsia" w:ascii="仿宋" w:hAnsi="仿宋" w:eastAsia="仿宋" w:cs="仿宋"/>
          <w:color w:val="auto"/>
          <w:sz w:val="32"/>
          <w:szCs w:val="32"/>
        </w:rPr>
        <w:t>河北省省级</w:t>
      </w:r>
      <w:r>
        <w:rPr>
          <w:rFonts w:ascii="仿宋" w:hAnsi="仿宋" w:eastAsia="仿宋" w:cs="仿宋"/>
          <w:sz w:val="32"/>
          <w:szCs w:val="32"/>
        </w:rPr>
        <w:t>预算公开办法》</w:t>
      </w:r>
      <w:r>
        <w:rPr>
          <w:rFonts w:hint="eastAsia" w:ascii="仿宋" w:hAnsi="仿宋" w:eastAsia="仿宋" w:cs="仿宋"/>
          <w:sz w:val="32"/>
          <w:szCs w:val="32"/>
        </w:rPr>
        <w:t>规定</w:t>
      </w:r>
      <w:r>
        <w:rPr>
          <w:rFonts w:ascii="仿宋" w:hAnsi="仿宋" w:eastAsia="仿宋" w:cs="仿宋"/>
          <w:sz w:val="32"/>
          <w:szCs w:val="32"/>
        </w:rPr>
        <w:t>，现将</w:t>
      </w:r>
      <w:r>
        <w:rPr>
          <w:rFonts w:hint="eastAsia" w:ascii="仿宋" w:hAnsi="仿宋" w:eastAsia="仿宋" w:cs="仿宋"/>
          <w:sz w:val="32"/>
          <w:szCs w:val="32"/>
        </w:rPr>
        <w:t>中共赞皇县委宣传部</w:t>
      </w:r>
      <w:r>
        <w:rPr>
          <w:rFonts w:ascii="仿宋" w:hAnsi="仿宋" w:eastAsia="仿宋" w:cs="仿宋"/>
          <w:sz w:val="32"/>
          <w:szCs w:val="32"/>
        </w:rPr>
        <w:t>201</w:t>
      </w:r>
      <w:r>
        <w:rPr>
          <w:rFonts w:hint="eastAsia" w:ascii="仿宋" w:hAnsi="仿宋" w:eastAsia="仿宋" w:cs="仿宋"/>
          <w:sz w:val="32"/>
          <w:szCs w:val="32"/>
        </w:rPr>
        <w:t>9</w:t>
      </w:r>
      <w:r>
        <w:rPr>
          <w:rFonts w:ascii="仿宋" w:hAnsi="仿宋" w:eastAsia="仿宋" w:cs="仿宋"/>
          <w:sz w:val="32"/>
          <w:szCs w:val="32"/>
        </w:rPr>
        <w:t>年部门预算公开如下：</w:t>
      </w:r>
    </w:p>
    <w:p>
      <w:pPr>
        <w:ind w:firstLine="643" w:firstLineChars="200"/>
        <w:rPr>
          <w:rFonts w:ascii="黑体" w:hAnsi="黑体" w:eastAsia="黑体" w:cs="黑体"/>
          <w:b/>
          <w:sz w:val="32"/>
          <w:szCs w:val="32"/>
        </w:rPr>
      </w:pPr>
      <w:r>
        <w:rPr>
          <w:rFonts w:hint="eastAsia" w:ascii="黑体" w:hAnsi="黑体" w:eastAsia="黑体" w:cs="黑体"/>
          <w:b/>
          <w:sz w:val="32"/>
          <w:szCs w:val="32"/>
        </w:rPr>
        <w:t>一、部门职责及机构设置情况</w:t>
      </w:r>
    </w:p>
    <w:p>
      <w:pPr>
        <w:ind w:firstLine="643" w:firstLineChars="200"/>
        <w:rPr>
          <w:rFonts w:ascii="仿宋" w:hAnsi="仿宋" w:eastAsia="仿宋" w:cs="仿宋"/>
          <w:b/>
          <w:sz w:val="32"/>
          <w:szCs w:val="32"/>
        </w:rPr>
      </w:pPr>
      <w:r>
        <w:rPr>
          <w:rFonts w:hint="eastAsia" w:ascii="仿宋" w:hAnsi="仿宋" w:eastAsia="仿宋" w:cs="仿宋"/>
          <w:b/>
          <w:sz w:val="32"/>
          <w:szCs w:val="32"/>
        </w:rPr>
        <w:t>部门职责：</w:t>
      </w:r>
    </w:p>
    <w:p>
      <w:pPr>
        <w:ind w:firstLine="640" w:firstLineChars="200"/>
        <w:rPr>
          <w:rFonts w:ascii="仿宋" w:hAnsi="仿宋" w:eastAsia="仿宋" w:cs="仿宋"/>
          <w:sz w:val="32"/>
          <w:szCs w:val="32"/>
        </w:rPr>
      </w:pPr>
      <w:r>
        <w:rPr>
          <w:rFonts w:hint="eastAsia" w:ascii="仿宋" w:hAnsi="仿宋" w:eastAsia="仿宋" w:cs="仿宋"/>
          <w:sz w:val="32"/>
          <w:szCs w:val="32"/>
        </w:rPr>
        <w:t>赞皇县委宣传部负责宣传贯彻党的路线、方针和政策。负责全县宣传思想和意识形态方面的工作，会同有关部门抓好各级领导班子的思想理论建设。负责全县党员教育、理论教育工作，组织协调党员教育、干部教育的有关活动。负责全县通讯报道和通联工作，同时负责对外宣传工作。负责全县精神产品的生产和文化市场的管理，组织重大节日文化活动；负责规划部署，组织实施全县群众性社会主义精神文明建设活动；负责对文明单位的日常管理；负责从方针政策上对全县的广播电视、文化、新闻出版、报刊实施领导和指导；负责全县的全民国防教育工作。</w:t>
      </w:r>
    </w:p>
    <w:p>
      <w:pPr>
        <w:ind w:firstLine="643" w:firstLineChars="200"/>
        <w:rPr>
          <w:rFonts w:ascii="仿宋" w:hAnsi="仿宋" w:eastAsia="仿宋" w:cs="仿宋"/>
          <w:b/>
          <w:sz w:val="32"/>
          <w:szCs w:val="32"/>
        </w:rPr>
      </w:pPr>
      <w:r>
        <w:rPr>
          <w:rFonts w:hint="eastAsia" w:ascii="仿宋" w:hAnsi="仿宋" w:eastAsia="仿宋" w:cs="仿宋"/>
          <w:b/>
          <w:sz w:val="32"/>
          <w:szCs w:val="32"/>
        </w:rPr>
        <w:t xml:space="preserve"> 机构设置：</w:t>
      </w:r>
    </w:p>
    <w:p>
      <w:pPr>
        <w:ind w:firstLine="640" w:firstLineChars="200"/>
        <w:jc w:val="center"/>
        <w:rPr>
          <w:rFonts w:ascii="仿宋" w:hAnsi="仿宋" w:eastAsia="仿宋" w:cs="仿宋"/>
          <w:sz w:val="32"/>
          <w:szCs w:val="32"/>
        </w:rPr>
      </w:pPr>
      <w:r>
        <w:rPr>
          <w:rFonts w:hint="eastAsia" w:ascii="仿宋" w:hAnsi="仿宋" w:eastAsia="仿宋" w:cs="仿宋"/>
          <w:sz w:val="32"/>
          <w:szCs w:val="32"/>
        </w:rPr>
        <w:t>部门机构设置情况</w:t>
      </w:r>
    </w:p>
    <w:tbl>
      <w:tblPr>
        <w:tblStyle w:val="7"/>
        <w:tblW w:w="8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76"/>
        <w:gridCol w:w="1562"/>
        <w:gridCol w:w="1984"/>
        <w:gridCol w:w="2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2576" w:type="dxa"/>
            <w:vAlign w:val="center"/>
          </w:tcPr>
          <w:p>
            <w:pPr>
              <w:ind w:firstLine="560" w:firstLineChars="200"/>
              <w:rPr>
                <w:rFonts w:ascii="仿宋" w:hAnsi="仿宋" w:eastAsia="仿宋" w:cs="仿宋"/>
                <w:sz w:val="28"/>
                <w:szCs w:val="28"/>
              </w:rPr>
            </w:pPr>
            <w:r>
              <w:rPr>
                <w:rFonts w:hint="eastAsia" w:ascii="仿宋" w:hAnsi="仿宋" w:eastAsia="仿宋" w:cs="仿宋"/>
                <w:sz w:val="28"/>
                <w:szCs w:val="28"/>
              </w:rPr>
              <w:t>单位名称</w:t>
            </w:r>
          </w:p>
        </w:tc>
        <w:tc>
          <w:tcPr>
            <w:tcW w:w="1562" w:type="dxa"/>
            <w:vAlign w:val="center"/>
          </w:tcPr>
          <w:p>
            <w:pPr>
              <w:ind w:firstLine="140" w:firstLineChars="50"/>
              <w:rPr>
                <w:rFonts w:ascii="仿宋" w:hAnsi="仿宋" w:eastAsia="仿宋" w:cs="仿宋"/>
                <w:sz w:val="28"/>
                <w:szCs w:val="28"/>
              </w:rPr>
            </w:pPr>
            <w:r>
              <w:rPr>
                <w:rFonts w:hint="eastAsia" w:ascii="仿宋" w:hAnsi="仿宋" w:eastAsia="仿宋" w:cs="仿宋"/>
                <w:sz w:val="28"/>
                <w:szCs w:val="28"/>
              </w:rPr>
              <w:t>单位性质</w:t>
            </w:r>
          </w:p>
        </w:tc>
        <w:tc>
          <w:tcPr>
            <w:tcW w:w="1984" w:type="dxa"/>
            <w:vAlign w:val="center"/>
          </w:tcPr>
          <w:p>
            <w:pPr>
              <w:ind w:firstLine="420" w:firstLineChars="150"/>
              <w:rPr>
                <w:rFonts w:ascii="仿宋" w:hAnsi="仿宋" w:eastAsia="仿宋" w:cs="仿宋"/>
                <w:sz w:val="28"/>
                <w:szCs w:val="28"/>
              </w:rPr>
            </w:pPr>
            <w:r>
              <w:rPr>
                <w:rFonts w:hint="eastAsia" w:ascii="仿宋" w:hAnsi="仿宋" w:eastAsia="仿宋" w:cs="仿宋"/>
                <w:sz w:val="28"/>
                <w:szCs w:val="28"/>
              </w:rPr>
              <w:t>单位规格</w:t>
            </w:r>
          </w:p>
        </w:tc>
        <w:tc>
          <w:tcPr>
            <w:tcW w:w="2833" w:type="dxa"/>
            <w:vAlign w:val="center"/>
          </w:tcPr>
          <w:p>
            <w:pPr>
              <w:ind w:firstLine="280" w:firstLineChars="100"/>
              <w:rPr>
                <w:rFonts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2576" w:type="dxa"/>
            <w:vAlign w:val="center"/>
          </w:tcPr>
          <w:p>
            <w:pPr>
              <w:ind w:firstLine="140" w:firstLineChars="50"/>
              <w:rPr>
                <w:rFonts w:ascii="仿宋" w:hAnsi="仿宋" w:eastAsia="仿宋" w:cs="仿宋"/>
                <w:sz w:val="28"/>
                <w:szCs w:val="28"/>
              </w:rPr>
            </w:pPr>
            <w:r>
              <w:rPr>
                <w:rFonts w:hint="eastAsia" w:ascii="仿宋" w:hAnsi="仿宋" w:eastAsia="仿宋" w:cs="仿宋"/>
                <w:sz w:val="28"/>
                <w:szCs w:val="28"/>
              </w:rPr>
              <w:t>赞皇县委宣传部</w:t>
            </w:r>
          </w:p>
        </w:tc>
        <w:tc>
          <w:tcPr>
            <w:tcW w:w="1562" w:type="dxa"/>
            <w:vAlign w:val="center"/>
          </w:tcPr>
          <w:p>
            <w:pPr>
              <w:ind w:firstLine="280" w:firstLineChars="100"/>
              <w:rPr>
                <w:rFonts w:ascii="仿宋" w:hAnsi="仿宋" w:eastAsia="仿宋" w:cs="仿宋"/>
                <w:sz w:val="28"/>
                <w:szCs w:val="28"/>
              </w:rPr>
            </w:pPr>
            <w:r>
              <w:rPr>
                <w:rFonts w:hint="eastAsia" w:ascii="仿宋" w:hAnsi="仿宋" w:eastAsia="仿宋" w:cs="仿宋"/>
                <w:sz w:val="28"/>
                <w:szCs w:val="28"/>
              </w:rPr>
              <w:t>行政</w:t>
            </w:r>
          </w:p>
        </w:tc>
        <w:tc>
          <w:tcPr>
            <w:tcW w:w="1984" w:type="dxa"/>
            <w:vAlign w:val="center"/>
          </w:tcPr>
          <w:p>
            <w:pPr>
              <w:ind w:firstLine="560" w:firstLineChars="200"/>
              <w:rPr>
                <w:rFonts w:ascii="仿宋" w:hAnsi="仿宋" w:eastAsia="仿宋" w:cs="仿宋"/>
                <w:sz w:val="28"/>
                <w:szCs w:val="28"/>
              </w:rPr>
            </w:pPr>
            <w:r>
              <w:rPr>
                <w:rFonts w:hint="eastAsia" w:ascii="仿宋" w:hAnsi="仿宋" w:eastAsia="仿宋" w:cs="仿宋"/>
                <w:sz w:val="28"/>
                <w:szCs w:val="28"/>
              </w:rPr>
              <w:t>正科级</w:t>
            </w:r>
          </w:p>
        </w:tc>
        <w:tc>
          <w:tcPr>
            <w:tcW w:w="2833" w:type="dxa"/>
            <w:vAlign w:val="center"/>
          </w:tcPr>
          <w:p>
            <w:pPr>
              <w:ind w:firstLine="560" w:firstLineChars="200"/>
              <w:rPr>
                <w:rFonts w:ascii="仿宋" w:hAnsi="仿宋" w:eastAsia="仿宋" w:cs="仿宋"/>
                <w:sz w:val="28"/>
                <w:szCs w:val="28"/>
              </w:rPr>
            </w:pPr>
            <w:r>
              <w:rPr>
                <w:rFonts w:hint="eastAsia" w:ascii="仿宋" w:hAnsi="仿宋" w:eastAsia="仿宋" w:cs="仿宋"/>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2576" w:type="dxa"/>
            <w:vAlign w:val="center"/>
          </w:tcPr>
          <w:p>
            <w:pPr>
              <w:rPr>
                <w:rFonts w:ascii="仿宋" w:hAnsi="仿宋" w:eastAsia="仿宋" w:cs="仿宋"/>
                <w:sz w:val="28"/>
                <w:szCs w:val="28"/>
              </w:rPr>
            </w:pPr>
            <w:r>
              <w:rPr>
                <w:rFonts w:hint="eastAsia" w:ascii="仿宋" w:hAnsi="仿宋" w:eastAsia="仿宋" w:cs="仿宋"/>
                <w:sz w:val="28"/>
                <w:szCs w:val="28"/>
              </w:rPr>
              <w:t>赞皇县广播电视台</w:t>
            </w:r>
          </w:p>
        </w:tc>
        <w:tc>
          <w:tcPr>
            <w:tcW w:w="1562" w:type="dxa"/>
            <w:vAlign w:val="center"/>
          </w:tcPr>
          <w:p>
            <w:pPr>
              <w:ind w:firstLine="280" w:firstLineChars="100"/>
              <w:rPr>
                <w:rFonts w:ascii="仿宋" w:hAnsi="仿宋" w:eastAsia="仿宋" w:cs="仿宋"/>
                <w:sz w:val="28"/>
                <w:szCs w:val="28"/>
              </w:rPr>
            </w:pPr>
            <w:r>
              <w:rPr>
                <w:rFonts w:hint="eastAsia" w:ascii="仿宋" w:hAnsi="仿宋" w:eastAsia="仿宋" w:cs="仿宋"/>
                <w:sz w:val="28"/>
                <w:szCs w:val="28"/>
              </w:rPr>
              <w:t>事业</w:t>
            </w:r>
          </w:p>
        </w:tc>
        <w:tc>
          <w:tcPr>
            <w:tcW w:w="1984" w:type="dxa"/>
            <w:vAlign w:val="center"/>
          </w:tcPr>
          <w:p>
            <w:pPr>
              <w:ind w:firstLine="560" w:firstLineChars="200"/>
              <w:rPr>
                <w:rFonts w:ascii="仿宋" w:hAnsi="仿宋" w:eastAsia="仿宋" w:cs="仿宋"/>
                <w:sz w:val="28"/>
                <w:szCs w:val="28"/>
              </w:rPr>
            </w:pPr>
            <w:r>
              <w:rPr>
                <w:rFonts w:hint="eastAsia" w:ascii="仿宋" w:hAnsi="仿宋" w:eastAsia="仿宋" w:cs="仿宋"/>
                <w:sz w:val="28"/>
                <w:szCs w:val="28"/>
              </w:rPr>
              <w:t>正科级</w:t>
            </w:r>
          </w:p>
        </w:tc>
        <w:tc>
          <w:tcPr>
            <w:tcW w:w="2833" w:type="dxa"/>
            <w:vAlign w:val="center"/>
          </w:tcPr>
          <w:p>
            <w:pPr>
              <w:rPr>
                <w:rFonts w:ascii="仿宋" w:hAnsi="仿宋" w:eastAsia="仿宋" w:cs="仿宋"/>
                <w:sz w:val="28"/>
                <w:szCs w:val="28"/>
              </w:rPr>
            </w:pPr>
            <w:r>
              <w:rPr>
                <w:rFonts w:hint="eastAsia" w:ascii="仿宋" w:hAnsi="仿宋" w:eastAsia="仿宋" w:cs="仿宋"/>
                <w:sz w:val="28"/>
                <w:szCs w:val="28"/>
              </w:rPr>
              <w:t>财政性资金基本保证</w:t>
            </w:r>
          </w:p>
        </w:tc>
      </w:tr>
    </w:tbl>
    <w:p>
      <w:pPr>
        <w:rPr>
          <w:rFonts w:ascii="宋体" w:hAnsi="宋体"/>
          <w:b/>
          <w:sz w:val="36"/>
          <w:szCs w:val="36"/>
        </w:rPr>
      </w:pPr>
      <w:bookmarkStart w:id="0" w:name="_Toc441927707"/>
    </w:p>
    <w:p>
      <w:pPr>
        <w:ind w:firstLine="640" w:firstLineChars="20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ascii="仿宋" w:hAnsi="仿宋" w:eastAsia="仿宋" w:cs="Times New Roman"/>
          <w:sz w:val="32"/>
          <w:szCs w:val="32"/>
        </w:rPr>
        <w:t>按照预算管理有关规定，</w:t>
      </w:r>
      <w:r>
        <w:rPr>
          <w:rFonts w:hint="eastAsia" w:ascii="仿宋" w:hAnsi="仿宋" w:eastAsia="仿宋" w:cs="Times New Roman"/>
          <w:sz w:val="32"/>
          <w:szCs w:val="32"/>
        </w:rPr>
        <w:t>我单位</w:t>
      </w:r>
      <w:r>
        <w:rPr>
          <w:rFonts w:ascii="仿宋" w:hAnsi="仿宋" w:eastAsia="仿宋" w:cs="Times New Roman"/>
          <w:sz w:val="32"/>
          <w:szCs w:val="32"/>
        </w:rPr>
        <w:t>实行综合预算，即全部收入和支出都反映</w:t>
      </w:r>
      <w:r>
        <w:rPr>
          <w:rFonts w:hint="eastAsia" w:ascii="仿宋" w:hAnsi="仿宋" w:eastAsia="仿宋" w:cs="Times New Roman"/>
          <w:sz w:val="32"/>
          <w:szCs w:val="32"/>
        </w:rPr>
        <w:t>在部门</w:t>
      </w:r>
      <w:r>
        <w:rPr>
          <w:rFonts w:ascii="仿宋" w:hAnsi="仿宋" w:eastAsia="仿宋" w:cs="Times New Roman"/>
          <w:sz w:val="32"/>
          <w:szCs w:val="32"/>
        </w:rPr>
        <w:t>预算中。</w:t>
      </w:r>
      <w:r>
        <w:rPr>
          <w:rFonts w:hint="eastAsia" w:ascii="仿宋" w:hAnsi="仿宋" w:eastAsia="仿宋" w:cs="Times New Roman"/>
          <w:sz w:val="32"/>
          <w:szCs w:val="32"/>
        </w:rPr>
        <w:t>宣传部</w:t>
      </w:r>
      <w:r>
        <w:rPr>
          <w:rFonts w:hint="eastAsia" w:ascii="仿宋" w:hAnsi="仿宋" w:eastAsia="仿宋" w:cs="仿宋"/>
          <w:sz w:val="32"/>
          <w:szCs w:val="32"/>
        </w:rPr>
        <w:t>及所属事业单位的收支包含在部门预算中。</w:t>
      </w:r>
    </w:p>
    <w:p>
      <w:pPr>
        <w:ind w:firstLine="640" w:firstLineChars="200"/>
        <w:rPr>
          <w:rFonts w:ascii="Times New Roman" w:hAnsi="Times New Roman" w:cs="Times New Roman"/>
          <w:sz w:val="32"/>
          <w:szCs w:val="32"/>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反映本单位当年全部收入。2019年预算收入1257.07万元，其中：一般公共预算收入665.07万元，基金预算收入592万元，财政专户核拨收入0万元，其他来源收入0万元。</w:t>
      </w:r>
    </w:p>
    <w:p>
      <w:pPr>
        <w:ind w:firstLine="640" w:firstLineChars="200"/>
        <w:rPr>
          <w:rFonts w:ascii="Times New Roman" w:hAnsi="Times New Roman" w:cs="Times New Roman"/>
          <w:sz w:val="32"/>
          <w:szCs w:val="32"/>
        </w:rPr>
      </w:pPr>
      <w:r>
        <w:rPr>
          <w:rFonts w:hint="eastAsia" w:ascii="Times New Roman" w:hAnsi="Times New Roman" w:eastAsia="方正仿宋_GBK" w:cs="Times New Roman"/>
          <w:sz w:val="32"/>
          <w:szCs w:val="32"/>
        </w:rPr>
        <w:t>2</w:t>
      </w:r>
      <w:r>
        <w:rPr>
          <w:rFonts w:hint="eastAsia" w:ascii="仿宋_GB2312" w:hAnsi="仿宋_GB2312" w:eastAsia="仿宋_GB2312" w:cs="仿宋_GB2312"/>
          <w:sz w:val="32"/>
          <w:szCs w:val="32"/>
        </w:rPr>
        <w:t>、</w:t>
      </w:r>
      <w:r>
        <w:rPr>
          <w:rFonts w:ascii="Times New Roman" w:hAnsi="Times New Roman" w:eastAsia="方正仿宋_GBK" w:cs="Times New Roman"/>
          <w:sz w:val="32"/>
          <w:szCs w:val="32"/>
        </w:rPr>
        <w:t>支出说明</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hint="eastAsia" w:ascii="Times New Roman" w:hAnsi="Times New Roman" w:eastAsia="方正仿宋_GBK" w:cs="Times New Roman"/>
          <w:sz w:val="32"/>
          <w:szCs w:val="32"/>
        </w:rPr>
      </w:pPr>
      <w:r>
        <w:rPr>
          <w:rFonts w:hint="eastAsia" w:ascii="仿宋" w:hAnsi="仿宋" w:eastAsia="仿宋" w:cs="仿宋"/>
          <w:sz w:val="32"/>
          <w:szCs w:val="32"/>
        </w:rPr>
        <w:t>收支预算总表支出栏、基本支出表、项目支出表按经济分类和支出功能分类科目编制，反映我单位年度部门预算中支出预算的总体情况。2019年部门支出预算为1257.07万元，其中基本支出320.58万元，包括人员经费263.53万元和日常公用经费57.05万元；项目支出936.49万元，全部为本级支出。</w:t>
      </w:r>
    </w:p>
    <w:p>
      <w:pPr>
        <w:keepNext w:val="0"/>
        <w:keepLines w:val="0"/>
        <w:pageBreakBefore w:val="0"/>
        <w:widowControl w:val="0"/>
        <w:kinsoku/>
        <w:wordWrap/>
        <w:overflowPunct/>
        <w:topLinePunct w:val="0"/>
        <w:bidi w:val="0"/>
        <w:spacing w:line="480" w:lineRule="exact"/>
        <w:ind w:left="0" w:leftChars="0" w:right="0" w:rightChars="0"/>
        <w:textAlignment w:val="auto"/>
        <w:outlineLvl w:val="9"/>
        <w:rPr>
          <w:rFonts w:ascii="Times New Roman" w:hAnsi="Times New Roman" w:eastAsia="方正仿宋_GBK" w:cs="Times New Roman"/>
          <w:sz w:val="32"/>
          <w:szCs w:val="32"/>
        </w:rPr>
      </w:pPr>
      <w:r>
        <w:rPr>
          <w:rFonts w:hint="eastAsia" w:ascii="Times New Roman" w:hAnsi="Times New Roman" w:eastAsia="宋体" w:cs="Times New Roman"/>
          <w:sz w:val="32"/>
          <w:szCs w:val="32"/>
          <w:lang w:val="en-US" w:eastAsia="zh-CN"/>
        </w:rPr>
        <w:t xml:space="preserve">  </w:t>
      </w:r>
      <w:r>
        <w:rPr>
          <w:rFonts w:hint="eastAsia" w:ascii="Times New Roman" w:hAnsi="Times New Roman" w:eastAsia="方正仿宋_GBK" w:cs="Times New Roman"/>
          <w:sz w:val="32"/>
          <w:szCs w:val="32"/>
        </w:rPr>
        <w:t xml:space="preserve"> 3、</w:t>
      </w:r>
      <w:r>
        <w:rPr>
          <w:rFonts w:ascii="Times New Roman" w:hAnsi="Times New Roman" w:eastAsia="方正仿宋_GBK" w:cs="Times New Roman"/>
          <w:sz w:val="32"/>
          <w:szCs w:val="32"/>
        </w:rPr>
        <w:t>比上年增减情况</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hint="eastAsia" w:ascii="黑体" w:hAnsi="黑体" w:eastAsia="黑体" w:cs="Times New Roman"/>
          <w:color w:val="auto"/>
          <w:sz w:val="32"/>
          <w:szCs w:val="32"/>
        </w:rPr>
      </w:pPr>
      <w:r>
        <w:rPr>
          <w:rFonts w:hint="eastAsia" w:ascii="仿宋" w:hAnsi="仿宋" w:eastAsia="仿宋" w:cs="仿宋"/>
          <w:color w:val="auto"/>
          <w:sz w:val="32"/>
          <w:szCs w:val="32"/>
        </w:rPr>
        <w:t>2019年部门预算较2018年增长803.48万元，增加的原因主要是调整人员工资、增加了一部分项目预算和政府基金预算。</w:t>
      </w:r>
    </w:p>
    <w:p>
      <w:pPr>
        <w:keepNext w:val="0"/>
        <w:keepLines w:val="0"/>
        <w:pageBreakBefore w:val="0"/>
        <w:widowControl w:val="0"/>
        <w:kinsoku/>
        <w:wordWrap/>
        <w:overflowPunct/>
        <w:topLinePunct w:val="0"/>
        <w:bidi w:val="0"/>
        <w:spacing w:line="480" w:lineRule="exact"/>
        <w:ind w:left="0" w:leftChars="0" w:right="0" w:rightChars="0" w:firstLine="648"/>
        <w:textAlignment w:val="auto"/>
        <w:outlineLvl w:val="9"/>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hint="eastAsia" w:ascii="黑体" w:hAnsi="黑体" w:eastAsia="黑体" w:cs="Times New Roman"/>
          <w:sz w:val="32"/>
          <w:szCs w:val="32"/>
        </w:rPr>
      </w:pPr>
      <w:r>
        <w:rPr>
          <w:rFonts w:hint="eastAsia" w:ascii="仿宋" w:hAnsi="仿宋" w:eastAsia="仿宋" w:cs="仿宋"/>
          <w:sz w:val="32"/>
          <w:szCs w:val="32"/>
        </w:rPr>
        <w:t>机关运行经费共计安排57.05万元，主要用于保证机关正常运转的办公及印刷费、邮电费、差旅费、会议费、福利费、专用材料及一般设备购置费、办公用房水电费、办公用房取暖费、日常维修费、办公楼物业管理费、公务车运行维护费等支出。</w:t>
      </w:r>
    </w:p>
    <w:p>
      <w:pPr>
        <w:keepNext w:val="0"/>
        <w:keepLines w:val="0"/>
        <w:pageBreakBefore w:val="0"/>
        <w:widowControl w:val="0"/>
        <w:kinsoku/>
        <w:wordWrap/>
        <w:overflowPunct/>
        <w:topLinePunct w:val="0"/>
        <w:autoSpaceDE w:val="0"/>
        <w:autoSpaceDN w:val="0"/>
        <w:bidi w:val="0"/>
        <w:adjustRightInd w:val="0"/>
        <w:spacing w:line="480" w:lineRule="exact"/>
        <w:ind w:left="0" w:leftChars="0" w:right="0" w:rightChars="0" w:firstLine="640" w:firstLineChars="200"/>
        <w:jc w:val="left"/>
        <w:textAlignment w:val="auto"/>
        <w:outlineLvl w:val="9"/>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hint="eastAsia" w:ascii="仿宋_GB2312" w:hAnsi="仿宋_GB2312" w:eastAsia="仿宋_GB2312" w:cs="仿宋_GB2312"/>
          <w:bCs/>
          <w:sz w:val="28"/>
          <w:szCs w:val="28"/>
        </w:rPr>
      </w:pPr>
      <w:r>
        <w:rPr>
          <w:rFonts w:hint="eastAsia" w:ascii="仿宋" w:hAnsi="仿宋" w:eastAsia="仿宋" w:cs="仿宋"/>
          <w:sz w:val="32"/>
          <w:szCs w:val="32"/>
        </w:rPr>
        <w:t>2019年，我单位财政拨款“三公”经费预算安排0.68万元，其中因公出国（境）费0万元；公务用车购置及运维费0.68万元（其中：公务用车购置费为0万元，公务用车运维费0.68万元)；公务接待费0万元。与201</w:t>
      </w:r>
      <w:r>
        <w:rPr>
          <w:rFonts w:hint="eastAsia" w:ascii="仿宋" w:hAnsi="仿宋" w:eastAsia="仿宋" w:cs="仿宋"/>
          <w:sz w:val="32"/>
          <w:szCs w:val="32"/>
          <w:lang w:val="en-US" w:eastAsia="zh-CN"/>
        </w:rPr>
        <w:t>8年相比，三公经费与上年持平，</w:t>
      </w:r>
      <w:r>
        <w:rPr>
          <w:rFonts w:hint="eastAsia" w:ascii="仿宋" w:hAnsi="仿宋" w:eastAsia="仿宋" w:cs="仿宋"/>
          <w:sz w:val="32"/>
          <w:szCs w:val="32"/>
        </w:rPr>
        <w:t>无增减变化。</w:t>
      </w:r>
      <w:bookmarkEnd w:id="0"/>
    </w:p>
    <w:p>
      <w:pPr>
        <w:keepNext w:val="0"/>
        <w:keepLines w:val="0"/>
        <w:pageBreakBefore w:val="0"/>
        <w:widowControl w:val="0"/>
        <w:kinsoku/>
        <w:wordWrap/>
        <w:overflowPunct/>
        <w:topLinePunct w:val="0"/>
        <w:bidi w:val="0"/>
        <w:adjustRightInd w:val="0"/>
        <w:snapToGrid w:val="0"/>
        <w:spacing w:line="480" w:lineRule="exact"/>
        <w:ind w:left="0" w:leftChars="0" w:right="0" w:rightChars="0"/>
        <w:jc w:val="left"/>
        <w:textAlignment w:val="auto"/>
        <w:outlineLvl w:val="9"/>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xml:space="preserve"> </w:t>
      </w:r>
      <w:r>
        <w:rPr>
          <w:rFonts w:hint="eastAsia" w:ascii="黑体" w:hAnsi="黑体" w:eastAsia="黑体" w:cs="Times New Roman"/>
          <w:sz w:val="32"/>
          <w:szCs w:val="32"/>
        </w:rPr>
        <w:t>五、绩效预算信息</w:t>
      </w:r>
    </w:p>
    <w:p>
      <w:pPr>
        <w:keepNext w:val="0"/>
        <w:keepLines w:val="0"/>
        <w:pageBreakBefore w:val="0"/>
        <w:widowControl w:val="0"/>
        <w:kinsoku/>
        <w:wordWrap/>
        <w:overflowPunct/>
        <w:topLinePunct w:val="0"/>
        <w:bidi w:val="0"/>
        <w:spacing w:line="480" w:lineRule="exact"/>
        <w:ind w:left="0" w:leftChars="0" w:right="0" w:rightChars="0" w:firstLine="640" w:firstLineChars="200"/>
        <w:jc w:val="left"/>
        <w:textAlignment w:val="auto"/>
        <w:outlineLvl w:val="9"/>
        <w:rPr>
          <w:rFonts w:ascii="Times New Roman" w:hAnsi="Times New Roman" w:eastAsia="方正仿宋_GBK" w:cs="Times New Roman"/>
          <w:b/>
          <w:sz w:val="32"/>
          <w:szCs w:val="32"/>
        </w:rPr>
      </w:pPr>
      <w:r>
        <w:rPr>
          <w:rFonts w:ascii="Times New Roman" w:hAnsi="Times New Roman" w:eastAsia="方正仿宋_GBK" w:cs="Times New Roman"/>
          <w:b/>
          <w:sz w:val="32"/>
          <w:szCs w:val="32"/>
        </w:rPr>
        <w:t>总体绩效目标：</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ascii="仿宋" w:hAnsi="仿宋" w:eastAsia="仿宋" w:cs="仿宋"/>
          <w:sz w:val="32"/>
          <w:szCs w:val="32"/>
        </w:rPr>
      </w:pPr>
      <w:r>
        <w:rPr>
          <w:rFonts w:ascii="仿宋" w:hAnsi="仿宋" w:eastAsia="仿宋" w:cs="仿宋"/>
          <w:sz w:val="32"/>
          <w:szCs w:val="32"/>
        </w:rPr>
        <w:t>一、牢牢掌握意识形态工作领导权、管理权、话语权、弘扬主旋律，汇聚正能量，为全县经济社会发展提供有力的思想保证、精神动力、舆论支持。</w:t>
      </w:r>
    </w:p>
    <w:p>
      <w:pPr>
        <w:keepNext w:val="0"/>
        <w:keepLines w:val="0"/>
        <w:pageBreakBefore w:val="0"/>
        <w:widowControl w:val="0"/>
        <w:kinsoku/>
        <w:wordWrap/>
        <w:overflowPunct/>
        <w:topLinePunct w:val="0"/>
        <w:bidi w:val="0"/>
        <w:spacing w:line="480" w:lineRule="exact"/>
        <w:ind w:left="0" w:leftChars="0" w:right="0" w:rightChars="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ascii="仿宋" w:hAnsi="仿宋" w:eastAsia="仿宋" w:cs="仿宋"/>
          <w:sz w:val="32"/>
          <w:szCs w:val="32"/>
        </w:rPr>
        <w:t>二、进一步解放和发展文化生产力，推动全县文化事业和文化产业健康发展。</w:t>
      </w:r>
    </w:p>
    <w:p>
      <w:pPr>
        <w:ind w:firstLine="640" w:firstLineChars="200"/>
        <w:rPr>
          <w:rFonts w:ascii="仿宋" w:hAnsi="仿宋" w:eastAsia="仿宋" w:cs="仿宋"/>
          <w:sz w:val="32"/>
          <w:szCs w:val="32"/>
        </w:rPr>
      </w:pPr>
      <w:r>
        <w:rPr>
          <w:rFonts w:ascii="仿宋" w:hAnsi="仿宋" w:eastAsia="仿宋" w:cs="仿宋"/>
          <w:sz w:val="32"/>
          <w:szCs w:val="32"/>
        </w:rPr>
        <w:t>三、确保各项业务工作谋划到位、顺利开展。保障机关工作正常高效运转。</w:t>
      </w:r>
    </w:p>
    <w:p>
      <w:pPr>
        <w:ind w:firstLine="640" w:firstLineChars="200"/>
        <w:rPr>
          <w:rFonts w:ascii="仿宋" w:hAnsi="仿宋" w:eastAsia="仿宋" w:cs="仿宋"/>
          <w:sz w:val="32"/>
          <w:szCs w:val="32"/>
        </w:rPr>
      </w:pPr>
      <w:r>
        <w:rPr>
          <w:rFonts w:ascii="仿宋" w:hAnsi="仿宋" w:eastAsia="仿宋" w:cs="仿宋"/>
          <w:sz w:val="32"/>
          <w:szCs w:val="32"/>
        </w:rPr>
        <w:t>四、发挥广播电视传播的优势，准确把握舆论导向，加强节目内容创新，不断提升节目质量。一是结合县委、县政府的战略部署和各个阶段的工作安排，实施重大主题宣传报道任务。进一步强化广播电视媒体特点，服务全县经济发展大局。二是坚持“三贴近”原则，让节目更加贴近生活、贴近实际、贴近群众，不断对节目进行改进和充实，确保更加符合群众“口味”。三是争取上级支持，做好地面数字发射项目；力争完成“直播卫星户户通”工程，切实加大节目覆</w:t>
      </w:r>
      <w:bookmarkStart w:id="2" w:name="_GoBack"/>
      <w:bookmarkEnd w:id="2"/>
      <w:r>
        <w:rPr>
          <w:rFonts w:ascii="仿宋" w:hAnsi="仿宋" w:eastAsia="仿宋" w:cs="仿宋"/>
          <w:sz w:val="32"/>
          <w:szCs w:val="32"/>
        </w:rPr>
        <w:t>盖面，为赞皇广电事业持续稳定发展奠定坚实基础。四是加强技术保障建设，解决节目制作、项目建设过程中存在的技术问题，力争安全播出“零失误”，做到合理管理、维修及时、技术保障到位。</w:t>
      </w:r>
    </w:p>
    <w:p>
      <w:pPr>
        <w:ind w:firstLine="800" w:firstLineChars="250"/>
        <w:jc w:val="left"/>
        <w:rPr>
          <w:rFonts w:ascii="Times New Roman" w:hAnsi="Times New Roman" w:eastAsia="方正仿宋_GBK" w:cs="Times New Roman"/>
          <w:b/>
          <w:sz w:val="32"/>
          <w:szCs w:val="32"/>
        </w:rPr>
      </w:pPr>
    </w:p>
    <w:p>
      <w:pPr>
        <w:ind w:firstLine="800" w:firstLineChars="250"/>
        <w:jc w:val="left"/>
        <w:rPr>
          <w:rFonts w:ascii="方正楷体_GBK" w:eastAsia="方正楷体_GBK"/>
          <w:b/>
          <w:sz w:val="28"/>
        </w:rPr>
      </w:pPr>
      <w:r>
        <w:rPr>
          <w:rFonts w:hint="eastAsia" w:ascii="Times New Roman" w:hAnsi="Times New Roman" w:eastAsia="方正仿宋_GBK" w:cs="Times New Roman"/>
          <w:b/>
          <w:sz w:val="32"/>
          <w:szCs w:val="32"/>
        </w:rPr>
        <w:t>职责分类绩效目标：</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 xml:space="preserve"> </w:t>
      </w:r>
      <w:r>
        <w:rPr>
          <w:rFonts w:ascii="仿宋" w:hAnsi="仿宋" w:eastAsia="仿宋" w:cs="仿宋"/>
          <w:sz w:val="32"/>
          <w:szCs w:val="32"/>
        </w:rPr>
        <w:t>一、宣传思想工作</w:t>
      </w:r>
    </w:p>
    <w:p>
      <w:pPr>
        <w:ind w:firstLine="640" w:firstLineChars="200"/>
        <w:rPr>
          <w:rFonts w:ascii="仿宋" w:hAnsi="仿宋" w:eastAsia="仿宋" w:cs="仿宋"/>
          <w:sz w:val="32"/>
          <w:szCs w:val="32"/>
        </w:rPr>
      </w:pPr>
      <w:r>
        <w:rPr>
          <w:rFonts w:ascii="仿宋" w:hAnsi="仿宋" w:eastAsia="仿宋" w:cs="仿宋"/>
          <w:sz w:val="32"/>
          <w:szCs w:val="32"/>
        </w:rPr>
        <w:t>职责描述：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p>
      <w:pPr>
        <w:ind w:firstLine="640" w:firstLineChars="200"/>
        <w:rPr>
          <w:rFonts w:ascii="仿宋" w:hAnsi="仿宋" w:eastAsia="仿宋" w:cs="仿宋"/>
          <w:sz w:val="32"/>
          <w:szCs w:val="32"/>
        </w:rPr>
      </w:pPr>
      <w:r>
        <w:rPr>
          <w:rFonts w:ascii="仿宋" w:hAnsi="仿宋" w:eastAsia="仿宋" w:cs="仿宋"/>
          <w:sz w:val="32"/>
          <w:szCs w:val="32"/>
        </w:rPr>
        <w:t>年度绩效目标：提升理论研究水平，为全县经济社会发展提供理论支持；提高干部群众运用科学理论解决实际问题能力；增强广大干部群众理论自信、道路自信、制度自信，不断巩固全县人民团结奋斗的共同思想基础；完成思想政治工作重大任务，推动社会主义核心价值观落地生根；完善互联网管理领导体制，加强网上舆论引导，营造良好网络舆论氛围，发展健康向上网络文化；全县城乡文明程度显著提升，和谐向善的社会风气逐步形成。</w:t>
      </w:r>
    </w:p>
    <w:p>
      <w:pPr>
        <w:ind w:firstLine="640" w:firstLineChars="200"/>
        <w:rPr>
          <w:rFonts w:ascii="仿宋" w:hAnsi="仿宋" w:eastAsia="仿宋" w:cs="仿宋"/>
          <w:sz w:val="32"/>
          <w:szCs w:val="32"/>
        </w:rPr>
      </w:pPr>
      <w:r>
        <w:rPr>
          <w:rFonts w:ascii="仿宋" w:hAnsi="仿宋" w:eastAsia="仿宋" w:cs="仿宋"/>
          <w:sz w:val="32"/>
          <w:szCs w:val="32"/>
        </w:rPr>
        <w:t>二、推动文化发展</w:t>
      </w:r>
    </w:p>
    <w:p>
      <w:pPr>
        <w:ind w:firstLine="640" w:firstLineChars="200"/>
        <w:rPr>
          <w:rFonts w:ascii="仿宋" w:hAnsi="仿宋" w:eastAsia="仿宋" w:cs="仿宋"/>
          <w:sz w:val="32"/>
          <w:szCs w:val="32"/>
        </w:rPr>
      </w:pPr>
      <w:r>
        <w:rPr>
          <w:rFonts w:ascii="仿宋" w:hAnsi="仿宋" w:eastAsia="仿宋" w:cs="仿宋"/>
          <w:sz w:val="32"/>
          <w:szCs w:val="32"/>
        </w:rPr>
        <w:t>职责描述：深化文化体制改革，构建现代公共文化服务体系；加强精神文化产品创作生产。</w:t>
      </w:r>
    </w:p>
    <w:p>
      <w:pPr>
        <w:ind w:firstLine="640" w:firstLineChars="200"/>
        <w:rPr>
          <w:rFonts w:ascii="仿宋" w:hAnsi="仿宋" w:eastAsia="仿宋" w:cs="仿宋"/>
          <w:sz w:val="32"/>
          <w:szCs w:val="32"/>
        </w:rPr>
      </w:pPr>
      <w:r>
        <w:rPr>
          <w:rFonts w:ascii="仿宋" w:hAnsi="仿宋" w:eastAsia="仿宋" w:cs="仿宋"/>
          <w:sz w:val="32"/>
          <w:szCs w:val="32"/>
        </w:rPr>
        <w:t>年度绩效目标：推动文化事业繁荣和文化产业快速发展；推动全县文化艺术健康发展。</w:t>
      </w:r>
    </w:p>
    <w:p>
      <w:pPr>
        <w:ind w:firstLine="640" w:firstLineChars="200"/>
        <w:rPr>
          <w:rFonts w:ascii="仿宋" w:hAnsi="仿宋" w:eastAsia="仿宋" w:cs="仿宋"/>
          <w:sz w:val="32"/>
          <w:szCs w:val="32"/>
        </w:rPr>
      </w:pPr>
      <w:r>
        <w:rPr>
          <w:rFonts w:ascii="仿宋" w:hAnsi="仿宋" w:eastAsia="仿宋" w:cs="仿宋"/>
          <w:sz w:val="32"/>
          <w:szCs w:val="32"/>
        </w:rPr>
        <w:t>三、宣传事务管理</w:t>
      </w:r>
    </w:p>
    <w:p>
      <w:pPr>
        <w:ind w:firstLine="640" w:firstLineChars="200"/>
        <w:rPr>
          <w:rFonts w:ascii="仿宋" w:hAnsi="仿宋" w:eastAsia="仿宋" w:cs="仿宋"/>
          <w:sz w:val="32"/>
          <w:szCs w:val="32"/>
        </w:rPr>
      </w:pPr>
      <w:r>
        <w:rPr>
          <w:rFonts w:ascii="仿宋" w:hAnsi="仿宋" w:eastAsia="仿宋" w:cs="仿宋"/>
          <w:sz w:val="32"/>
          <w:szCs w:val="32"/>
        </w:rPr>
        <w:t>职责描述：负责系统综合业务管理和机关综合事务管理。</w:t>
      </w:r>
    </w:p>
    <w:p>
      <w:pPr>
        <w:ind w:firstLine="640" w:firstLineChars="200"/>
        <w:rPr>
          <w:rFonts w:ascii="仿宋" w:hAnsi="仿宋" w:eastAsia="仿宋" w:cs="仿宋"/>
          <w:sz w:val="32"/>
          <w:szCs w:val="32"/>
        </w:rPr>
      </w:pPr>
      <w:r>
        <w:rPr>
          <w:rFonts w:ascii="仿宋" w:hAnsi="仿宋" w:eastAsia="仿宋" w:cs="仿宋"/>
          <w:sz w:val="32"/>
          <w:szCs w:val="32"/>
        </w:rPr>
        <w:t>年度绩效目标：确保各项业务工作谋划到位、顺利开展；保障机关工作正常高效运转。</w:t>
      </w:r>
    </w:p>
    <w:p>
      <w:pPr>
        <w:ind w:firstLine="640" w:firstLineChars="200"/>
        <w:rPr>
          <w:rFonts w:ascii="仿宋" w:hAnsi="仿宋" w:eastAsia="仿宋" w:cs="仿宋"/>
          <w:sz w:val="32"/>
          <w:szCs w:val="32"/>
        </w:rPr>
      </w:pPr>
      <w:r>
        <w:rPr>
          <w:rFonts w:ascii="仿宋" w:hAnsi="仿宋" w:eastAsia="仿宋" w:cs="仿宋"/>
          <w:sz w:val="32"/>
          <w:szCs w:val="32"/>
        </w:rPr>
        <w:t>四、新闻广播电视事业建设</w:t>
      </w:r>
    </w:p>
    <w:p>
      <w:pPr>
        <w:ind w:firstLine="640" w:firstLineChars="200"/>
        <w:rPr>
          <w:rFonts w:ascii="仿宋" w:hAnsi="仿宋" w:eastAsia="仿宋" w:cs="仿宋"/>
          <w:sz w:val="32"/>
          <w:szCs w:val="32"/>
        </w:rPr>
      </w:pPr>
      <w:r>
        <w:rPr>
          <w:rFonts w:ascii="仿宋" w:hAnsi="仿宋" w:eastAsia="仿宋" w:cs="仿宋"/>
          <w:sz w:val="32"/>
          <w:szCs w:val="32"/>
        </w:rPr>
        <w:t>职责描述：做好各类广播电视节目制作、宣传、采访报道、传输发射、专题片等创作生产。建立广播电视安全播出保障体系，加强台站、安全播出管理。组织实施重大公益工程。</w:t>
      </w:r>
    </w:p>
    <w:p>
      <w:pPr>
        <w:ind w:firstLine="640" w:firstLineChars="200"/>
        <w:rPr>
          <w:rFonts w:ascii="仿宋" w:hAnsi="仿宋" w:eastAsia="仿宋" w:cs="仿宋"/>
          <w:sz w:val="32"/>
          <w:szCs w:val="32"/>
        </w:rPr>
      </w:pPr>
      <w:r>
        <w:rPr>
          <w:rFonts w:ascii="仿宋" w:hAnsi="仿宋" w:eastAsia="仿宋" w:cs="仿宋"/>
          <w:sz w:val="32"/>
          <w:szCs w:val="32"/>
        </w:rPr>
        <w:t>年度绩效目标：研发新节目，打造品牌活动；媒体识别度和影响力进一步提升，收听收看群体扩大；通过技术升级，实现县级台内容资源互通互享，提高节目制力和传播能力；拓展新媒体传播途径，开拓新型业务; 建立起完备的广播电视安全播出保障体系; 重大公益工程和公益活动推进扎实。</w:t>
      </w:r>
    </w:p>
    <w:p>
      <w:pPr>
        <w:ind w:firstLine="640" w:firstLineChars="200"/>
        <w:rPr>
          <w:rFonts w:ascii="仿宋" w:hAnsi="仿宋" w:eastAsia="仿宋" w:cs="仿宋"/>
          <w:sz w:val="32"/>
          <w:szCs w:val="32"/>
        </w:rPr>
      </w:pPr>
      <w:r>
        <w:rPr>
          <w:rFonts w:ascii="仿宋" w:hAnsi="仿宋" w:eastAsia="仿宋" w:cs="仿宋"/>
          <w:sz w:val="32"/>
          <w:szCs w:val="32"/>
        </w:rPr>
        <w:t>中长期目标：主流媒体作用得到充分发挥，广播电视节目内容形式及方法手段得到创新完善，广播电视覆盖人口规模与数量明显提高，电台、电视台影响力进一步提升。</w:t>
      </w: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pPr>
    </w:p>
    <w:p>
      <w:pPr>
        <w:rPr>
          <w:rFonts w:ascii="楷体_GB2312" w:hAnsi="黑体" w:eastAsia="楷体_GB2312" w:cs="Times New Roman"/>
          <w:b/>
          <w:sz w:val="28"/>
          <w:szCs w:val="28"/>
        </w:rPr>
        <w:sectPr>
          <w:footerReference r:id="rId4" w:type="first"/>
          <w:pgSz w:w="11907" w:h="16839"/>
          <w:pgMar w:top="1021" w:right="1361" w:bottom="1021" w:left="1361" w:header="851" w:footer="992" w:gutter="0"/>
          <w:cols w:space="425" w:num="1"/>
          <w:docGrid w:linePitch="312" w:charSpace="0"/>
        </w:sectPr>
      </w:pPr>
    </w:p>
    <w:p>
      <w:pPr>
        <w:ind w:firstLine="141" w:firstLineChars="50"/>
        <w:rPr>
          <w:rFonts w:ascii="楷体_GB2312" w:hAnsi="Times New Roman" w:eastAsia="楷体_GB2312" w:cs="Times New Roman"/>
          <w:b/>
          <w:sz w:val="28"/>
          <w:szCs w:val="28"/>
        </w:rPr>
      </w:pPr>
      <w:r>
        <w:rPr>
          <w:rFonts w:hint="eastAsia" w:ascii="楷体_GB2312" w:hAnsi="黑体" w:eastAsia="楷体_GB2312" w:cs="Times New Roman"/>
          <w:b/>
          <w:sz w:val="28"/>
          <w:szCs w:val="28"/>
        </w:rPr>
        <w:t>部门职责及工作活动绩效目标指标：</w:t>
      </w:r>
    </w:p>
    <w:p>
      <w:pPr>
        <w:jc w:val="center"/>
        <w:outlineLvl w:val="0"/>
        <w:rPr>
          <w:rFonts w:ascii="方正小标宋_GBK" w:eastAsia="方正小标宋_GBK"/>
          <w:color w:val="FFFFFF"/>
          <w:sz w:val="32"/>
        </w:rPr>
      </w:pPr>
      <w:bookmarkStart w:id="1" w:name="_Toc536175563"/>
      <w:r>
        <w:rPr>
          <w:rFonts w:hint="eastAsia" w:ascii="方正小标宋_GBK" w:eastAsia="方正小标宋_GBK"/>
          <w:sz w:val="32"/>
        </w:rPr>
        <w:t>部门职责-工作活动绩效目标</w:t>
      </w:r>
      <w:r>
        <w:rPr>
          <w:rStyle w:val="10"/>
          <w:rFonts w:ascii="方正小标宋_GBK" w:eastAsia="方正小标宋_GBK"/>
          <w:color w:val="FFFFFF"/>
          <w:sz w:val="32"/>
        </w:rPr>
        <w:footnoteReference w:id="0" w:customMarkFollows="1"/>
        <w:sym w:font="Symbol" w:char="F020"/>
      </w:r>
      <w:bookmarkEnd w:id="1"/>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211</w:t>
            </w:r>
            <w:r>
              <w:rPr>
                <w:rFonts w:hint="eastAsia" w:ascii="方正小标宋_GBK" w:eastAsia="方正小标宋_GBK"/>
                <w:sz w:val="24"/>
              </w:rPr>
              <w:t>宣传部</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一、宣传思想工作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牢牢掌握意识形态工作领导权、管理权、话语权，弘扬主旋律，汇聚正能量，为全县经济社会发展提供有力的思想保证、精神动力、舆论支持。</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、思想理论建设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深入实施马克思主义理论研究和建设工程，深化中国特色社会主义和中国梦研究；深入学习宣传习近平总书记系列重要讲话；广泛开展理论宣传活动。</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提升理论研究水平，为全县经济社会发展提供理论支持；提高干部群众运用科学理论解决实际问题能力；增强广大干部群众理论自信、道路自信、制度自信，不断巩固全县人民团结奋斗的共同思想基础。</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在新闻媒体开办理论宣传专栏数量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组织中心组学习次数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、思想政治工作</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43.00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规划、部署全县思想政治工作任务，培育和践行社会主义核心价值观，宣传推广全县性先进典型，加强爱国主义教育基地建设和全民国防教育，加强基层党员教育，组织开展系列宣传教育活动。</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完成思想政治工作重大任务，推进社会主义核心价值观落地生根。</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社会主义核心价值观内容普及率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组织开展主题宣传教育活动（次）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、对外宣传事业</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制订对外宣传事业发展规划，加强和改进新闻发布工作，扩大对外宣传，深化文化交流合作，开展多种形式的文化交流活动。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充分展示本县良好形象，不断提高知名度、美誉度。</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组织省市媒体采访、宣传次数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、舆论舆情引导管理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3.80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指导协调新闻舆论工作，组织系列主题新闻宣传，开展新闻业务调研评议；抓好新闻管理制度和措施落实；围绕社会热点敏感问题、突发事件，正确引导社会心态；组织开展舆情信息收集、分析、研判。</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牢牢把握正确导向，为全县经济社会发展提供有力的舆论支持；提升新闻工作者的政治意识、责任意识和职业素养；提高舆情研判能力和信息服务水平，及时化解、妥善处理有关负面舆情。</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突发事件新闻处置完成率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在市级以上媒体播发宣传本县稿件篇数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、互联网宣传和信息内容管理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11.20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加强网络安全和信息化工作，加强互联网宣传和信息内容管理，加强网络文化建设。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完善互联网管理领导体制，加强网上舆论引导，营造良好网络舆论氛围，发展健康向上网络文化。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组织开展网络宣传活动比率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互联网重大突发事件应急处置率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、精神文明建设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规划部署全县精神文明创建工作，组织指导全县群众性精神文明创建活动。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全县城乡文明程度显著提升，和谐向善的社会风气逐步形成。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组织开展精神文明创建活动次数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二、推动文化发展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深化文化体制改革，构建现代公共文化服务体系；加强精神文化产品创作生产。</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进一步解放和发展文化生产力，推动全县文化事业和文化产业健康发展。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、文化事业产业发展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研究制定全县文化发展方针政策，管理县级各类文化发展专项资金和基金，支持重点文化项目建设，加强文化招商，推动文化事业产业健康发展。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推动文化事业繁荣和文化产业快速发展。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全县文化产业增加值年增速</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、文化艺术发展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研究制定全县文化艺术发展的指导方针，构建现代公共文化服务体系，加强精神文化产品创作生产，传承和保护优秀传统文化，推动文化艺术健康发展。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推动全县文化艺术健康发展。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组织系列文化活动数量（次）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三、宣传事务管理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确保各项业务工作谋划到位、顺利开展。保障机关工作正常高效运转。</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制定全县宣传思想文化发展规划和政策制度并组织实施，开展宣传文化业务管理，加强政策业务宣传等。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规划、制度完成率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重点工作督察督办率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开展会议组织管理、财务资产管理、干部人才队伍建设、机关党建等工作。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四、新闻广播电视事业建设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28.49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做好各类广播电视节目制作、宣传、采访报道、传输发射、专题片等创作生产。建立广播电视安全播出保障体系，加强台站、安全播出管理。组织实施重大公益工程。</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党的路线、方针、政策和县委、县政府的工作部署，坚持正确舆论导向，发挥主流媒体作用；办好各类广播电视节目；开展各类宣传工作；配合上级台完成我县的采访报道工作并提供各类节目；承担县委、县政府宣传片的创作生产、专题片等的创作生产。负责相关设备的正常运行和维护。</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、广播电视节目制作播出</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坚持正确舆论导向，发挥主流媒体作用，加强内容形式以及方法手段创新，提高广播电视覆盖人口规模与数量，提升电台、电视台影响力。</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研发新节目，打造品牌活动；媒体识别度和影响力进一步提升，收听收看群体扩大；广告创收任务完成。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对上报道录用率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开办新栏目、新节目数量（个）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、广播电视节目制作能力建设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加强技术管理、技术升级改造及设备设施维护，开展新技术应用，促进媒体融合。</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通过技术升级，实现县级台内容资源互通互享，提高节目制力和传播能力；拓展新媒体传播途径，开拓新型业务。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新媒体的融合度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数字化设备更新率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新媒体设备利用率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28.49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对广播电视节目传输、覆盖及网络和新媒体内容等的安全播出情况进行监管；对发射台的运行维护管理。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建立起完备的广播电视安全播出保障体系。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无线广播电视节目的传输、覆盖和安全播出失误数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6-8</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、公共服务工程推广</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根据省下达的任务目标，完成全年广播电视直播卫星户户通工程。</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重大公益工程和公益活动推进扎实。</w:t>
            </w:r>
          </w:p>
        </w:tc>
        <w:tc>
          <w:tcPr>
            <w:tcW w:w="1417"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户户通</w:t>
            </w:r>
            <w:r>
              <w:rPr>
                <w:rFonts w:hint="cs" w:ascii="方正书宋_GBK" w:eastAsia="方正书宋_GBK"/>
              </w:rPr>
              <w:t>”</w:t>
            </w:r>
            <w:r>
              <w:rPr>
                <w:rFonts w:hint="eastAsia" w:ascii="方正书宋_GBK" w:eastAsia="方正书宋_GBK"/>
              </w:rPr>
              <w:t>入户数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10000</w:t>
            </w:r>
            <w:r>
              <w:rPr>
                <w:rFonts w:hint="eastAsia" w:ascii="方正书宋_GBK" w:eastAsia="方正书宋_GBK"/>
              </w:rPr>
              <w:t>户</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9000</w:t>
            </w:r>
            <w:r>
              <w:rPr>
                <w:rFonts w:hint="eastAsia" w:ascii="方正书宋_GBK" w:eastAsia="方正书宋_GBK"/>
              </w:rPr>
              <w:t>户</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8000</w:t>
            </w:r>
            <w:r>
              <w:rPr>
                <w:rFonts w:hint="eastAsia" w:ascii="方正书宋_GBK" w:eastAsia="方正书宋_GBK"/>
              </w:rPr>
              <w:t>户</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&lt;8000</w:t>
            </w:r>
            <w:r>
              <w:rPr>
                <w:rFonts w:hint="eastAsia" w:ascii="方正书宋_GBK" w:eastAsia="方正书宋_GBK"/>
              </w:rPr>
              <w:t>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五、电视台政务管理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负责综合业务管理和综合事务管理。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拟定新闻广播电视产业发展规划；新闻广播电视节目内容和质量监督管理</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拟定新闻广播电视产业发展规划</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开展的新闻广播电视研究、培训、后勤保障以及其他各项基础性保障工作。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保障单位工作正常高效运转。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1" w:right="1361" w:bottom="1021" w:left="1361" w:header="851" w:footer="992" w:gutter="0"/>
          <w:cols w:space="425" w:num="1"/>
          <w:docGrid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黑体" w:hAnsi="黑体" w:eastAsia="黑体" w:cs="Times New Roman"/>
          <w:sz w:val="32"/>
          <w:szCs w:val="32"/>
        </w:rPr>
      </w:pPr>
      <w:r>
        <w:rPr>
          <w:rFonts w:hint="eastAsia" w:ascii="仿宋" w:hAnsi="仿宋" w:eastAsia="仿宋" w:cs="仿宋"/>
          <w:sz w:val="32"/>
          <w:szCs w:val="32"/>
        </w:rPr>
        <w:t>2019年，我单位安排政府采购预算592万元。具体内容见下表。</w:t>
      </w:r>
    </w:p>
    <w:p>
      <w:pPr>
        <w:jc w:val="center"/>
        <w:outlineLvl w:val="0"/>
        <w:rPr>
          <w:rFonts w:ascii="方正小标宋_GBK" w:hAnsi="Times New Roman" w:eastAsia="方正小标宋_GBK" w:cs="Times New Roman"/>
          <w:sz w:val="32"/>
        </w:rPr>
      </w:pPr>
      <w:r>
        <w:rPr>
          <w:rFonts w:hint="eastAsia" w:ascii="方正小标宋_GBK" w:hAnsi="Times New Roman" w:eastAsia="方正小标宋_GBK" w:cs="Times New Roman"/>
          <w:sz w:val="32"/>
        </w:rPr>
        <w:t>部门政府采购预算</w:t>
      </w:r>
    </w:p>
    <w:tbl>
      <w:tblPr>
        <w:tblStyle w:val="6"/>
        <w:tblW w:w="138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3"/>
        <w:gridCol w:w="984"/>
        <w:gridCol w:w="1091"/>
        <w:gridCol w:w="1123"/>
        <w:gridCol w:w="734"/>
        <w:gridCol w:w="858"/>
        <w:gridCol w:w="945"/>
        <w:gridCol w:w="984"/>
        <w:gridCol w:w="984"/>
        <w:gridCol w:w="984"/>
        <w:gridCol w:w="760"/>
        <w:gridCol w:w="762"/>
        <w:gridCol w:w="867"/>
        <w:gridCol w:w="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7908"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sz w:val="24"/>
              </w:rPr>
            </w:pPr>
            <w:r>
              <w:rPr>
                <w:rFonts w:hint="eastAsia" w:ascii="方正小标宋_GBK"/>
                <w:sz w:val="24"/>
              </w:rPr>
              <w:t>211宣传部</w:t>
            </w:r>
          </w:p>
        </w:tc>
        <w:tc>
          <w:tcPr>
            <w:tcW w:w="5958"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315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09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2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  单位</w:t>
            </w:r>
          </w:p>
        </w:tc>
        <w:tc>
          <w:tcPr>
            <w:tcW w:w="85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4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958"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21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8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091" w:type="dxa"/>
            <w:vMerge w:val="continue"/>
            <w:shd w:val="clear" w:color="auto" w:fill="auto"/>
            <w:vAlign w:val="center"/>
          </w:tcPr>
          <w:p>
            <w:pPr>
              <w:spacing w:line="300" w:lineRule="exact"/>
              <w:jc w:val="left"/>
              <w:outlineLvl w:val="0"/>
            </w:pPr>
          </w:p>
        </w:tc>
        <w:tc>
          <w:tcPr>
            <w:tcW w:w="1123" w:type="dxa"/>
            <w:vMerge w:val="continue"/>
            <w:shd w:val="clear" w:color="auto" w:fill="auto"/>
            <w:vAlign w:val="center"/>
          </w:tcPr>
          <w:p>
            <w:pPr>
              <w:spacing w:line="300" w:lineRule="exact"/>
              <w:jc w:val="left"/>
              <w:outlineLvl w:val="0"/>
            </w:pPr>
          </w:p>
        </w:tc>
        <w:tc>
          <w:tcPr>
            <w:tcW w:w="734" w:type="dxa"/>
            <w:vMerge w:val="continue"/>
            <w:shd w:val="clear" w:color="auto" w:fill="auto"/>
            <w:vAlign w:val="center"/>
          </w:tcPr>
          <w:p>
            <w:pPr>
              <w:spacing w:line="300" w:lineRule="exact"/>
              <w:jc w:val="left"/>
              <w:outlineLvl w:val="0"/>
            </w:pPr>
          </w:p>
        </w:tc>
        <w:tc>
          <w:tcPr>
            <w:tcW w:w="858" w:type="dxa"/>
            <w:vMerge w:val="continue"/>
            <w:shd w:val="clear" w:color="auto" w:fill="auto"/>
            <w:vAlign w:val="center"/>
          </w:tcPr>
          <w:p>
            <w:pPr>
              <w:spacing w:line="300" w:lineRule="exact"/>
              <w:jc w:val="left"/>
              <w:outlineLvl w:val="0"/>
            </w:pPr>
          </w:p>
        </w:tc>
        <w:tc>
          <w:tcPr>
            <w:tcW w:w="945" w:type="dxa"/>
            <w:vMerge w:val="continue"/>
            <w:shd w:val="clear" w:color="auto" w:fill="auto"/>
            <w:vAlign w:val="center"/>
          </w:tcPr>
          <w:p>
            <w:pPr>
              <w:spacing w:line="300" w:lineRule="exact"/>
              <w:jc w:val="left"/>
              <w:outlineLvl w:val="0"/>
            </w:pPr>
          </w:p>
        </w:tc>
        <w:tc>
          <w:tcPr>
            <w:tcW w:w="98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357"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6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3" w:hRule="atLeast"/>
          <w:tblHeader/>
          <w:jc w:val="center"/>
        </w:trPr>
        <w:tc>
          <w:tcPr>
            <w:tcW w:w="2173" w:type="dxa"/>
            <w:vMerge w:val="continue"/>
            <w:shd w:val="clear" w:color="auto" w:fill="auto"/>
            <w:vAlign w:val="center"/>
          </w:tcPr>
          <w:p>
            <w:pPr>
              <w:spacing w:line="300" w:lineRule="exact"/>
              <w:jc w:val="left"/>
              <w:outlineLvl w:val="0"/>
            </w:pPr>
          </w:p>
        </w:tc>
        <w:tc>
          <w:tcPr>
            <w:tcW w:w="984" w:type="dxa"/>
            <w:vMerge w:val="continue"/>
            <w:shd w:val="clear" w:color="auto" w:fill="auto"/>
            <w:vAlign w:val="center"/>
          </w:tcPr>
          <w:p>
            <w:pPr>
              <w:spacing w:line="300" w:lineRule="exact"/>
              <w:jc w:val="left"/>
              <w:outlineLvl w:val="0"/>
            </w:pPr>
          </w:p>
        </w:tc>
        <w:tc>
          <w:tcPr>
            <w:tcW w:w="1091" w:type="dxa"/>
            <w:vMerge w:val="continue"/>
            <w:shd w:val="clear" w:color="auto" w:fill="auto"/>
            <w:vAlign w:val="center"/>
          </w:tcPr>
          <w:p>
            <w:pPr>
              <w:spacing w:line="300" w:lineRule="exact"/>
              <w:jc w:val="left"/>
              <w:outlineLvl w:val="0"/>
            </w:pPr>
          </w:p>
        </w:tc>
        <w:tc>
          <w:tcPr>
            <w:tcW w:w="1123" w:type="dxa"/>
            <w:vMerge w:val="continue"/>
            <w:shd w:val="clear" w:color="auto" w:fill="auto"/>
            <w:vAlign w:val="center"/>
          </w:tcPr>
          <w:p>
            <w:pPr>
              <w:spacing w:line="300" w:lineRule="exact"/>
              <w:jc w:val="left"/>
              <w:outlineLvl w:val="0"/>
            </w:pPr>
          </w:p>
        </w:tc>
        <w:tc>
          <w:tcPr>
            <w:tcW w:w="734" w:type="dxa"/>
            <w:vMerge w:val="continue"/>
            <w:shd w:val="clear" w:color="auto" w:fill="auto"/>
            <w:vAlign w:val="center"/>
          </w:tcPr>
          <w:p>
            <w:pPr>
              <w:spacing w:line="300" w:lineRule="exact"/>
              <w:jc w:val="left"/>
              <w:outlineLvl w:val="0"/>
            </w:pPr>
          </w:p>
        </w:tc>
        <w:tc>
          <w:tcPr>
            <w:tcW w:w="858" w:type="dxa"/>
            <w:vMerge w:val="continue"/>
            <w:shd w:val="clear" w:color="auto" w:fill="auto"/>
            <w:vAlign w:val="center"/>
          </w:tcPr>
          <w:p>
            <w:pPr>
              <w:spacing w:line="300" w:lineRule="exact"/>
              <w:jc w:val="left"/>
              <w:outlineLvl w:val="0"/>
            </w:pPr>
          </w:p>
        </w:tc>
        <w:tc>
          <w:tcPr>
            <w:tcW w:w="945" w:type="dxa"/>
            <w:vMerge w:val="continue"/>
            <w:shd w:val="clear" w:color="auto" w:fill="auto"/>
            <w:vAlign w:val="center"/>
          </w:tcPr>
          <w:p>
            <w:pPr>
              <w:spacing w:line="300" w:lineRule="exact"/>
              <w:jc w:val="left"/>
              <w:outlineLvl w:val="0"/>
            </w:pPr>
          </w:p>
        </w:tc>
        <w:tc>
          <w:tcPr>
            <w:tcW w:w="984" w:type="dxa"/>
            <w:vMerge w:val="continue"/>
            <w:shd w:val="clear" w:color="auto" w:fill="auto"/>
            <w:vAlign w:val="center"/>
          </w:tcPr>
          <w:p>
            <w:pPr>
              <w:spacing w:line="300" w:lineRule="exact"/>
              <w:jc w:val="left"/>
              <w:outlineLvl w:val="0"/>
            </w:pPr>
          </w:p>
        </w:tc>
        <w:tc>
          <w:tcPr>
            <w:tcW w:w="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6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617"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17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合　计</w:t>
            </w:r>
          </w:p>
        </w:tc>
        <w:tc>
          <w:tcPr>
            <w:tcW w:w="984" w:type="dxa"/>
            <w:shd w:val="clear" w:color="auto" w:fill="auto"/>
            <w:vAlign w:val="center"/>
          </w:tcPr>
          <w:p>
            <w:pPr>
              <w:spacing w:line="300" w:lineRule="exact"/>
              <w:jc w:val="right"/>
              <w:rPr>
                <w:rFonts w:ascii="方正书宋_GBK" w:eastAsia="方正书宋_GBK"/>
              </w:rPr>
            </w:pPr>
          </w:p>
        </w:tc>
        <w:tc>
          <w:tcPr>
            <w:tcW w:w="1091" w:type="dxa"/>
            <w:shd w:val="clear" w:color="auto" w:fill="auto"/>
            <w:vAlign w:val="center"/>
          </w:tcPr>
          <w:p>
            <w:pPr>
              <w:spacing w:line="300" w:lineRule="exact"/>
              <w:jc w:val="left"/>
              <w:rPr>
                <w:rFonts w:ascii="方正书宋_GBK" w:eastAsia="方正书宋_GBK"/>
              </w:rPr>
            </w:pPr>
          </w:p>
        </w:tc>
        <w:tc>
          <w:tcPr>
            <w:tcW w:w="1123" w:type="dxa"/>
            <w:shd w:val="clear" w:color="auto" w:fill="auto"/>
            <w:vAlign w:val="center"/>
          </w:tcPr>
          <w:p>
            <w:pPr>
              <w:spacing w:line="300" w:lineRule="exact"/>
              <w:jc w:val="left"/>
              <w:rPr>
                <w:rFonts w:ascii="方正书宋_GBK" w:eastAsia="方正书宋_GBK"/>
              </w:rPr>
            </w:pPr>
          </w:p>
        </w:tc>
        <w:tc>
          <w:tcPr>
            <w:tcW w:w="734" w:type="dxa"/>
            <w:shd w:val="clear" w:color="auto" w:fill="auto"/>
            <w:vAlign w:val="center"/>
          </w:tcPr>
          <w:p>
            <w:pPr>
              <w:spacing w:line="300" w:lineRule="exact"/>
              <w:jc w:val="left"/>
              <w:rPr>
                <w:rFonts w:ascii="方正书宋_GBK" w:eastAsia="方正书宋_GBK"/>
              </w:rPr>
            </w:pPr>
          </w:p>
        </w:tc>
        <w:tc>
          <w:tcPr>
            <w:tcW w:w="858" w:type="dxa"/>
            <w:shd w:val="clear" w:color="auto" w:fill="auto"/>
            <w:vAlign w:val="center"/>
          </w:tcPr>
          <w:p>
            <w:pPr>
              <w:spacing w:line="300" w:lineRule="exact"/>
              <w:jc w:val="right"/>
              <w:rPr>
                <w:rFonts w:ascii="方正书宋_GBK"/>
              </w:rPr>
            </w:pPr>
          </w:p>
        </w:tc>
        <w:tc>
          <w:tcPr>
            <w:tcW w:w="945" w:type="dxa"/>
            <w:shd w:val="clear" w:color="auto" w:fill="auto"/>
            <w:vAlign w:val="center"/>
          </w:tcPr>
          <w:p>
            <w:pPr>
              <w:spacing w:line="300" w:lineRule="exact"/>
              <w:jc w:val="right"/>
              <w:rPr>
                <w:rFonts w:ascii="方正书宋_GBK" w:eastAsia="方正书宋_GBK"/>
              </w:rPr>
            </w:pPr>
          </w:p>
        </w:tc>
        <w:tc>
          <w:tcPr>
            <w:tcW w:w="984" w:type="dxa"/>
            <w:shd w:val="clear" w:color="auto" w:fill="auto"/>
            <w:vAlign w:val="center"/>
          </w:tcPr>
          <w:p>
            <w:pPr>
              <w:spacing w:line="300" w:lineRule="exact"/>
              <w:ind w:right="420"/>
              <w:rPr>
                <w:rFonts w:ascii="方正书宋_GBK"/>
              </w:rPr>
            </w:pPr>
            <w:r>
              <w:rPr>
                <w:rFonts w:hint="eastAsia" w:ascii="方正书宋_GBK"/>
              </w:rPr>
              <w:t>592</w:t>
            </w:r>
          </w:p>
        </w:tc>
        <w:tc>
          <w:tcPr>
            <w:tcW w:w="984" w:type="dxa"/>
            <w:shd w:val="clear" w:color="auto" w:fill="auto"/>
            <w:vAlign w:val="center"/>
          </w:tcPr>
          <w:p>
            <w:pPr>
              <w:spacing w:line="300" w:lineRule="exact"/>
              <w:ind w:right="420"/>
              <w:rPr>
                <w:rFonts w:ascii="方正书宋_GBK"/>
              </w:rPr>
            </w:pPr>
            <w:r>
              <w:rPr>
                <w:rFonts w:hint="eastAsia" w:ascii="方正书宋_GBK"/>
              </w:rPr>
              <w:t>592</w:t>
            </w:r>
          </w:p>
        </w:tc>
        <w:tc>
          <w:tcPr>
            <w:tcW w:w="984" w:type="dxa"/>
            <w:shd w:val="clear" w:color="auto" w:fill="auto"/>
            <w:vAlign w:val="center"/>
          </w:tcPr>
          <w:p>
            <w:pPr>
              <w:spacing w:line="300" w:lineRule="exact"/>
              <w:ind w:right="315"/>
              <w:jc w:val="right"/>
              <w:rPr>
                <w:rFonts w:ascii="方正书宋_GBK"/>
              </w:rPr>
            </w:pPr>
            <w:r>
              <w:rPr>
                <w:rFonts w:hint="eastAsia" w:ascii="方正书宋_GBK"/>
              </w:rPr>
              <w:t>592</w:t>
            </w:r>
          </w:p>
        </w:tc>
        <w:tc>
          <w:tcPr>
            <w:tcW w:w="760" w:type="dxa"/>
            <w:shd w:val="clear" w:color="auto" w:fill="auto"/>
            <w:vAlign w:val="center"/>
          </w:tcPr>
          <w:p>
            <w:pPr>
              <w:spacing w:line="300" w:lineRule="exact"/>
              <w:jc w:val="right"/>
              <w:rPr>
                <w:rFonts w:ascii="方正书宋_GBK" w:eastAsia="方正书宋_GBK"/>
                <w:b/>
              </w:rPr>
            </w:pPr>
          </w:p>
        </w:tc>
        <w:tc>
          <w:tcPr>
            <w:tcW w:w="762" w:type="dxa"/>
            <w:shd w:val="clear" w:color="auto" w:fill="auto"/>
            <w:vAlign w:val="center"/>
          </w:tcPr>
          <w:p>
            <w:pPr>
              <w:spacing w:line="300" w:lineRule="exact"/>
              <w:jc w:val="right"/>
              <w:rPr>
                <w:rFonts w:ascii="方正书宋_GBK" w:eastAsia="方正书宋_GBK"/>
                <w:b/>
              </w:rPr>
            </w:pPr>
          </w:p>
        </w:tc>
        <w:tc>
          <w:tcPr>
            <w:tcW w:w="867" w:type="dxa"/>
            <w:shd w:val="clear" w:color="auto" w:fill="auto"/>
            <w:vAlign w:val="center"/>
          </w:tcPr>
          <w:p>
            <w:pPr>
              <w:spacing w:line="300" w:lineRule="exact"/>
              <w:ind w:right="420"/>
              <w:rPr>
                <w:rFonts w:ascii="方正书宋_GBK"/>
                <w:b/>
              </w:rPr>
            </w:pPr>
          </w:p>
        </w:tc>
        <w:tc>
          <w:tcPr>
            <w:tcW w:w="617"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173" w:type="dxa"/>
            <w:shd w:val="clear" w:color="auto" w:fill="auto"/>
            <w:vAlign w:val="center"/>
          </w:tcPr>
          <w:p>
            <w:pPr>
              <w:spacing w:line="300" w:lineRule="exact"/>
              <w:jc w:val="center"/>
              <w:rPr>
                <w:rFonts w:ascii="方正书宋_GBK"/>
              </w:rPr>
            </w:pPr>
            <w:r>
              <w:rPr>
                <w:rFonts w:hint="eastAsia" w:ascii="方正书宋_GBK"/>
              </w:rPr>
              <w:t>融媒体中心建设</w:t>
            </w:r>
          </w:p>
        </w:tc>
        <w:tc>
          <w:tcPr>
            <w:tcW w:w="984" w:type="dxa"/>
            <w:shd w:val="clear" w:color="auto" w:fill="auto"/>
            <w:vAlign w:val="center"/>
          </w:tcPr>
          <w:p>
            <w:pPr>
              <w:spacing w:line="300" w:lineRule="exact"/>
              <w:jc w:val="right"/>
              <w:rPr>
                <w:rFonts w:ascii="方正书宋_GBK"/>
              </w:rPr>
            </w:pPr>
            <w:r>
              <w:rPr>
                <w:rFonts w:hint="eastAsia" w:ascii="方正书宋_GBK"/>
              </w:rPr>
              <w:t>592</w:t>
            </w:r>
          </w:p>
        </w:tc>
        <w:tc>
          <w:tcPr>
            <w:tcW w:w="1091" w:type="dxa"/>
            <w:shd w:val="clear" w:color="auto" w:fill="auto"/>
            <w:vAlign w:val="center"/>
          </w:tcPr>
          <w:p>
            <w:pPr>
              <w:spacing w:line="300" w:lineRule="exact"/>
              <w:jc w:val="left"/>
              <w:rPr>
                <w:rFonts w:ascii="方正书宋_GBK"/>
              </w:rPr>
            </w:pPr>
            <w:r>
              <w:rPr>
                <w:rFonts w:hint="eastAsia" w:ascii="方正书宋_GBK"/>
              </w:rPr>
              <w:t>建筑材料</w:t>
            </w:r>
          </w:p>
        </w:tc>
        <w:tc>
          <w:tcPr>
            <w:tcW w:w="1123" w:type="dxa"/>
            <w:shd w:val="clear" w:color="auto" w:fill="auto"/>
            <w:vAlign w:val="center"/>
          </w:tcPr>
          <w:p>
            <w:pPr>
              <w:spacing w:line="300" w:lineRule="exact"/>
              <w:jc w:val="left"/>
              <w:rPr>
                <w:rFonts w:ascii="方正书宋_GBK"/>
              </w:rPr>
            </w:pPr>
            <w:r>
              <w:rPr>
                <w:rFonts w:ascii="方正书宋_GBK"/>
              </w:rPr>
              <w:t>A</w:t>
            </w:r>
            <w:r>
              <w:rPr>
                <w:rFonts w:hint="eastAsia" w:ascii="方正书宋_GBK"/>
              </w:rPr>
              <w:t>10</w:t>
            </w:r>
          </w:p>
        </w:tc>
        <w:tc>
          <w:tcPr>
            <w:tcW w:w="734" w:type="dxa"/>
            <w:shd w:val="clear" w:color="auto" w:fill="auto"/>
            <w:vAlign w:val="center"/>
          </w:tcPr>
          <w:p>
            <w:pPr>
              <w:spacing w:line="300" w:lineRule="exact"/>
              <w:jc w:val="left"/>
              <w:rPr>
                <w:rFonts w:ascii="方正书宋_GBK"/>
              </w:rPr>
            </w:pPr>
          </w:p>
        </w:tc>
        <w:tc>
          <w:tcPr>
            <w:tcW w:w="858" w:type="dxa"/>
            <w:shd w:val="clear" w:color="auto" w:fill="auto"/>
            <w:vAlign w:val="center"/>
          </w:tcPr>
          <w:p>
            <w:pPr>
              <w:spacing w:line="300" w:lineRule="exact"/>
              <w:jc w:val="right"/>
              <w:rPr>
                <w:rFonts w:ascii="方正书宋_GBK"/>
              </w:rPr>
            </w:pPr>
            <w:r>
              <w:rPr>
                <w:rFonts w:hint="eastAsia" w:ascii="方正书宋_GBK"/>
              </w:rPr>
              <w:t>1.00</w:t>
            </w:r>
          </w:p>
        </w:tc>
        <w:tc>
          <w:tcPr>
            <w:tcW w:w="945" w:type="dxa"/>
            <w:shd w:val="clear" w:color="auto" w:fill="auto"/>
            <w:vAlign w:val="center"/>
          </w:tcPr>
          <w:p>
            <w:pPr>
              <w:spacing w:line="300" w:lineRule="exact"/>
              <w:jc w:val="right"/>
              <w:rPr>
                <w:rFonts w:ascii="方正书宋_GBK"/>
              </w:rPr>
            </w:pPr>
            <w:r>
              <w:rPr>
                <w:rFonts w:hint="eastAsia" w:ascii="方正书宋_GBK"/>
              </w:rPr>
              <w:t>255</w:t>
            </w:r>
          </w:p>
        </w:tc>
        <w:tc>
          <w:tcPr>
            <w:tcW w:w="984" w:type="dxa"/>
            <w:shd w:val="clear" w:color="auto" w:fill="auto"/>
            <w:vAlign w:val="center"/>
          </w:tcPr>
          <w:p>
            <w:pPr>
              <w:spacing w:line="300" w:lineRule="exact"/>
              <w:ind w:right="420"/>
              <w:rPr>
                <w:rFonts w:ascii="方正书宋_GBK"/>
              </w:rPr>
            </w:pPr>
            <w:r>
              <w:rPr>
                <w:rFonts w:hint="eastAsia" w:ascii="方正书宋_GBK"/>
              </w:rPr>
              <w:t>255</w:t>
            </w:r>
          </w:p>
        </w:tc>
        <w:tc>
          <w:tcPr>
            <w:tcW w:w="984" w:type="dxa"/>
            <w:shd w:val="clear" w:color="auto" w:fill="auto"/>
            <w:vAlign w:val="center"/>
          </w:tcPr>
          <w:p>
            <w:pPr>
              <w:spacing w:line="300" w:lineRule="exact"/>
              <w:ind w:right="420"/>
              <w:rPr>
                <w:rFonts w:ascii="方正书宋_GBK"/>
              </w:rPr>
            </w:pPr>
            <w:r>
              <w:rPr>
                <w:rFonts w:hint="eastAsia" w:ascii="方正书宋_GBK"/>
              </w:rPr>
              <w:t>255</w:t>
            </w:r>
          </w:p>
        </w:tc>
        <w:tc>
          <w:tcPr>
            <w:tcW w:w="984" w:type="dxa"/>
            <w:shd w:val="clear" w:color="auto" w:fill="auto"/>
            <w:vAlign w:val="center"/>
          </w:tcPr>
          <w:p>
            <w:pPr>
              <w:spacing w:line="300" w:lineRule="exact"/>
              <w:ind w:right="315"/>
              <w:jc w:val="right"/>
              <w:rPr>
                <w:rFonts w:ascii="方正书宋_GBK"/>
              </w:rPr>
            </w:pPr>
            <w:r>
              <w:rPr>
                <w:rFonts w:hint="eastAsia" w:ascii="方正书宋_GBK"/>
              </w:rPr>
              <w:t>255</w:t>
            </w:r>
          </w:p>
        </w:tc>
        <w:tc>
          <w:tcPr>
            <w:tcW w:w="760" w:type="dxa"/>
            <w:shd w:val="clear" w:color="auto" w:fill="auto"/>
            <w:vAlign w:val="center"/>
          </w:tcPr>
          <w:p>
            <w:pPr>
              <w:spacing w:line="300" w:lineRule="exact"/>
              <w:jc w:val="right"/>
              <w:rPr>
                <w:rFonts w:ascii="方正书宋_GBK" w:eastAsia="方正书宋_GBK"/>
                <w:b/>
              </w:rPr>
            </w:pPr>
          </w:p>
        </w:tc>
        <w:tc>
          <w:tcPr>
            <w:tcW w:w="762" w:type="dxa"/>
            <w:shd w:val="clear" w:color="auto" w:fill="auto"/>
            <w:vAlign w:val="center"/>
          </w:tcPr>
          <w:p>
            <w:pPr>
              <w:spacing w:line="300" w:lineRule="exact"/>
              <w:jc w:val="right"/>
              <w:rPr>
                <w:rFonts w:ascii="方正书宋_GBK" w:eastAsia="方正书宋_GBK"/>
                <w:b/>
              </w:rPr>
            </w:pPr>
          </w:p>
        </w:tc>
        <w:tc>
          <w:tcPr>
            <w:tcW w:w="867" w:type="dxa"/>
            <w:shd w:val="clear" w:color="auto" w:fill="auto"/>
            <w:vAlign w:val="center"/>
          </w:tcPr>
          <w:p>
            <w:pPr>
              <w:spacing w:line="300" w:lineRule="exact"/>
              <w:ind w:right="420"/>
              <w:rPr>
                <w:rFonts w:ascii="方正书宋_GBK"/>
                <w:b/>
              </w:rPr>
            </w:pPr>
          </w:p>
        </w:tc>
        <w:tc>
          <w:tcPr>
            <w:tcW w:w="617"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173" w:type="dxa"/>
            <w:shd w:val="clear" w:color="auto" w:fill="auto"/>
            <w:vAlign w:val="center"/>
          </w:tcPr>
          <w:p>
            <w:pPr>
              <w:spacing w:line="300" w:lineRule="exact"/>
              <w:jc w:val="center"/>
              <w:rPr>
                <w:rFonts w:ascii="方正书宋_GBK"/>
              </w:rPr>
            </w:pPr>
            <w:r>
              <w:rPr>
                <w:rFonts w:hint="eastAsia" w:ascii="方正书宋_GBK"/>
              </w:rPr>
              <w:t>融媒体中心建设</w:t>
            </w:r>
          </w:p>
        </w:tc>
        <w:tc>
          <w:tcPr>
            <w:tcW w:w="984" w:type="dxa"/>
            <w:shd w:val="clear" w:color="auto" w:fill="auto"/>
            <w:vAlign w:val="center"/>
          </w:tcPr>
          <w:p>
            <w:pPr>
              <w:spacing w:line="300" w:lineRule="exact"/>
              <w:jc w:val="right"/>
              <w:rPr>
                <w:rFonts w:ascii="方正书宋_GBK"/>
              </w:rPr>
            </w:pPr>
            <w:r>
              <w:rPr>
                <w:rFonts w:hint="eastAsia" w:ascii="方正书宋_GBK"/>
              </w:rPr>
              <w:t>592</w:t>
            </w:r>
          </w:p>
        </w:tc>
        <w:tc>
          <w:tcPr>
            <w:tcW w:w="1091" w:type="dxa"/>
            <w:shd w:val="clear" w:color="auto" w:fill="auto"/>
            <w:vAlign w:val="center"/>
          </w:tcPr>
          <w:p>
            <w:pPr>
              <w:spacing w:line="300" w:lineRule="exact"/>
              <w:jc w:val="left"/>
              <w:rPr>
                <w:rFonts w:ascii="方正书宋_GBK"/>
              </w:rPr>
            </w:pPr>
            <w:r>
              <w:rPr>
                <w:rFonts w:hint="eastAsia" w:ascii="方正书宋_GBK"/>
              </w:rPr>
              <w:t>终端设备</w:t>
            </w:r>
          </w:p>
        </w:tc>
        <w:tc>
          <w:tcPr>
            <w:tcW w:w="1123" w:type="dxa"/>
            <w:shd w:val="clear" w:color="auto" w:fill="auto"/>
            <w:vAlign w:val="center"/>
          </w:tcPr>
          <w:p>
            <w:pPr>
              <w:spacing w:line="300" w:lineRule="exact"/>
              <w:jc w:val="left"/>
              <w:rPr>
                <w:rFonts w:ascii="方正书宋_GBK"/>
              </w:rPr>
            </w:pPr>
            <w:r>
              <w:rPr>
                <w:rFonts w:ascii="方正书宋_GBK"/>
              </w:rPr>
              <w:t>A</w:t>
            </w:r>
            <w:r>
              <w:rPr>
                <w:rFonts w:hint="eastAsia" w:ascii="方正书宋_GBK"/>
              </w:rPr>
              <w:t>020104</w:t>
            </w:r>
          </w:p>
        </w:tc>
        <w:tc>
          <w:tcPr>
            <w:tcW w:w="734" w:type="dxa"/>
            <w:shd w:val="clear" w:color="auto" w:fill="auto"/>
            <w:vAlign w:val="center"/>
          </w:tcPr>
          <w:p>
            <w:pPr>
              <w:spacing w:line="300" w:lineRule="exact"/>
              <w:jc w:val="left"/>
              <w:rPr>
                <w:rFonts w:ascii="方正书宋_GBK" w:eastAsia="方正书宋_GBK"/>
              </w:rPr>
            </w:pPr>
          </w:p>
        </w:tc>
        <w:tc>
          <w:tcPr>
            <w:tcW w:w="858" w:type="dxa"/>
            <w:shd w:val="clear" w:color="auto" w:fill="auto"/>
            <w:vAlign w:val="center"/>
          </w:tcPr>
          <w:p>
            <w:pPr>
              <w:spacing w:line="300" w:lineRule="exact"/>
              <w:jc w:val="right"/>
              <w:rPr>
                <w:rFonts w:ascii="方正书宋_GBK"/>
              </w:rPr>
            </w:pPr>
            <w:r>
              <w:rPr>
                <w:rFonts w:hint="eastAsia" w:ascii="方正书宋_GBK"/>
              </w:rPr>
              <w:t>1.00</w:t>
            </w:r>
          </w:p>
        </w:tc>
        <w:tc>
          <w:tcPr>
            <w:tcW w:w="945" w:type="dxa"/>
            <w:shd w:val="clear" w:color="auto" w:fill="auto"/>
            <w:vAlign w:val="center"/>
          </w:tcPr>
          <w:p>
            <w:pPr>
              <w:spacing w:line="300" w:lineRule="exact"/>
              <w:jc w:val="right"/>
              <w:rPr>
                <w:rFonts w:ascii="方正书宋_GBK"/>
              </w:rPr>
            </w:pPr>
            <w:r>
              <w:rPr>
                <w:rFonts w:hint="eastAsia" w:ascii="方正书宋_GBK"/>
              </w:rPr>
              <w:t>208</w:t>
            </w:r>
          </w:p>
        </w:tc>
        <w:tc>
          <w:tcPr>
            <w:tcW w:w="984" w:type="dxa"/>
            <w:shd w:val="clear" w:color="auto" w:fill="auto"/>
            <w:vAlign w:val="center"/>
          </w:tcPr>
          <w:p>
            <w:pPr>
              <w:spacing w:line="300" w:lineRule="exact"/>
              <w:ind w:right="420"/>
              <w:rPr>
                <w:rFonts w:ascii="方正书宋_GBK"/>
              </w:rPr>
            </w:pPr>
            <w:r>
              <w:rPr>
                <w:rFonts w:hint="eastAsia" w:ascii="方正书宋_GBK"/>
              </w:rPr>
              <w:t>208</w:t>
            </w:r>
          </w:p>
        </w:tc>
        <w:tc>
          <w:tcPr>
            <w:tcW w:w="984" w:type="dxa"/>
            <w:shd w:val="clear" w:color="auto" w:fill="auto"/>
            <w:vAlign w:val="center"/>
          </w:tcPr>
          <w:p>
            <w:pPr>
              <w:spacing w:line="300" w:lineRule="exact"/>
              <w:ind w:right="420"/>
              <w:rPr>
                <w:rFonts w:ascii="方正书宋_GBK"/>
              </w:rPr>
            </w:pPr>
            <w:r>
              <w:rPr>
                <w:rFonts w:hint="eastAsia" w:ascii="方正书宋_GBK"/>
              </w:rPr>
              <w:t>208</w:t>
            </w:r>
          </w:p>
        </w:tc>
        <w:tc>
          <w:tcPr>
            <w:tcW w:w="984" w:type="dxa"/>
            <w:shd w:val="clear" w:color="auto" w:fill="auto"/>
            <w:vAlign w:val="center"/>
          </w:tcPr>
          <w:p>
            <w:pPr>
              <w:spacing w:line="300" w:lineRule="exact"/>
              <w:ind w:right="315"/>
              <w:jc w:val="right"/>
              <w:rPr>
                <w:rFonts w:ascii="方正书宋_GBK"/>
              </w:rPr>
            </w:pPr>
            <w:r>
              <w:rPr>
                <w:rFonts w:hint="eastAsia" w:ascii="方正书宋_GBK"/>
              </w:rPr>
              <w:t>208</w:t>
            </w:r>
          </w:p>
        </w:tc>
        <w:tc>
          <w:tcPr>
            <w:tcW w:w="760" w:type="dxa"/>
            <w:shd w:val="clear" w:color="auto" w:fill="auto"/>
            <w:vAlign w:val="center"/>
          </w:tcPr>
          <w:p>
            <w:pPr>
              <w:spacing w:line="300" w:lineRule="exact"/>
              <w:jc w:val="right"/>
              <w:rPr>
                <w:rFonts w:ascii="方正书宋_GBK" w:eastAsia="方正书宋_GBK"/>
                <w:b/>
              </w:rPr>
            </w:pPr>
          </w:p>
        </w:tc>
        <w:tc>
          <w:tcPr>
            <w:tcW w:w="762" w:type="dxa"/>
            <w:shd w:val="clear" w:color="auto" w:fill="auto"/>
            <w:vAlign w:val="center"/>
          </w:tcPr>
          <w:p>
            <w:pPr>
              <w:spacing w:line="300" w:lineRule="exact"/>
              <w:jc w:val="right"/>
              <w:rPr>
                <w:rFonts w:ascii="方正书宋_GBK" w:eastAsia="方正书宋_GBK"/>
                <w:b/>
              </w:rPr>
            </w:pPr>
          </w:p>
        </w:tc>
        <w:tc>
          <w:tcPr>
            <w:tcW w:w="867" w:type="dxa"/>
            <w:shd w:val="clear" w:color="auto" w:fill="auto"/>
            <w:vAlign w:val="center"/>
          </w:tcPr>
          <w:p>
            <w:pPr>
              <w:spacing w:line="300" w:lineRule="exact"/>
              <w:ind w:right="420"/>
              <w:rPr>
                <w:rFonts w:ascii="方正书宋_GBK"/>
                <w:b/>
              </w:rPr>
            </w:pPr>
          </w:p>
        </w:tc>
        <w:tc>
          <w:tcPr>
            <w:tcW w:w="617"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3" w:hRule="atLeast"/>
          <w:jc w:val="center"/>
        </w:trPr>
        <w:tc>
          <w:tcPr>
            <w:tcW w:w="2173" w:type="dxa"/>
            <w:shd w:val="clear" w:color="auto" w:fill="auto"/>
            <w:vAlign w:val="center"/>
          </w:tcPr>
          <w:p>
            <w:pPr>
              <w:spacing w:line="300" w:lineRule="exact"/>
              <w:jc w:val="center"/>
              <w:rPr>
                <w:rFonts w:ascii="方正书宋_GBK"/>
              </w:rPr>
            </w:pPr>
            <w:r>
              <w:rPr>
                <w:rFonts w:hint="eastAsia" w:ascii="方正书宋_GBK"/>
              </w:rPr>
              <w:t>融媒体中心建设</w:t>
            </w:r>
          </w:p>
        </w:tc>
        <w:tc>
          <w:tcPr>
            <w:tcW w:w="984" w:type="dxa"/>
            <w:shd w:val="clear" w:color="auto" w:fill="auto"/>
            <w:vAlign w:val="center"/>
          </w:tcPr>
          <w:p>
            <w:pPr>
              <w:spacing w:line="300" w:lineRule="exact"/>
              <w:jc w:val="right"/>
              <w:rPr>
                <w:rFonts w:ascii="方正书宋_GBK"/>
              </w:rPr>
            </w:pPr>
            <w:r>
              <w:rPr>
                <w:rFonts w:hint="eastAsia" w:ascii="方正书宋_GBK"/>
              </w:rPr>
              <w:t>592</w:t>
            </w:r>
          </w:p>
        </w:tc>
        <w:tc>
          <w:tcPr>
            <w:tcW w:w="1091" w:type="dxa"/>
            <w:shd w:val="clear" w:color="auto" w:fill="auto"/>
            <w:vAlign w:val="center"/>
          </w:tcPr>
          <w:p>
            <w:pPr>
              <w:spacing w:line="300" w:lineRule="exact"/>
              <w:jc w:val="left"/>
              <w:rPr>
                <w:rFonts w:ascii="方正书宋_GBK"/>
              </w:rPr>
            </w:pPr>
            <w:r>
              <w:rPr>
                <w:rFonts w:hint="eastAsia" w:ascii="方正书宋_GBK"/>
              </w:rPr>
              <w:t>其他服务</w:t>
            </w:r>
          </w:p>
        </w:tc>
        <w:tc>
          <w:tcPr>
            <w:tcW w:w="1123" w:type="dxa"/>
            <w:shd w:val="clear" w:color="auto" w:fill="auto"/>
            <w:vAlign w:val="center"/>
          </w:tcPr>
          <w:p>
            <w:pPr>
              <w:spacing w:line="300" w:lineRule="exact"/>
              <w:jc w:val="left"/>
              <w:rPr>
                <w:rFonts w:ascii="方正书宋_GBK"/>
              </w:rPr>
            </w:pPr>
            <w:r>
              <w:rPr>
                <w:rFonts w:ascii="方正书宋_GBK"/>
              </w:rPr>
              <w:t>C</w:t>
            </w:r>
            <w:r>
              <w:rPr>
                <w:rFonts w:hint="eastAsia" w:ascii="方正书宋_GBK"/>
              </w:rPr>
              <w:t>99</w:t>
            </w:r>
          </w:p>
        </w:tc>
        <w:tc>
          <w:tcPr>
            <w:tcW w:w="734" w:type="dxa"/>
            <w:shd w:val="clear" w:color="auto" w:fill="auto"/>
            <w:vAlign w:val="center"/>
          </w:tcPr>
          <w:p>
            <w:pPr>
              <w:spacing w:line="300" w:lineRule="exact"/>
              <w:jc w:val="left"/>
              <w:rPr>
                <w:rFonts w:ascii="方正书宋_GBK" w:eastAsia="方正书宋_GBK"/>
              </w:rPr>
            </w:pPr>
          </w:p>
        </w:tc>
        <w:tc>
          <w:tcPr>
            <w:tcW w:w="858" w:type="dxa"/>
            <w:shd w:val="clear" w:color="auto" w:fill="auto"/>
            <w:vAlign w:val="center"/>
          </w:tcPr>
          <w:p>
            <w:pPr>
              <w:spacing w:line="300" w:lineRule="exact"/>
              <w:jc w:val="right"/>
              <w:rPr>
                <w:rFonts w:ascii="方正书宋_GBK"/>
              </w:rPr>
            </w:pPr>
            <w:r>
              <w:rPr>
                <w:rFonts w:hint="eastAsia" w:ascii="方正书宋_GBK"/>
              </w:rPr>
              <w:t>1.00</w:t>
            </w:r>
          </w:p>
        </w:tc>
        <w:tc>
          <w:tcPr>
            <w:tcW w:w="945" w:type="dxa"/>
            <w:shd w:val="clear" w:color="auto" w:fill="auto"/>
            <w:vAlign w:val="center"/>
          </w:tcPr>
          <w:p>
            <w:pPr>
              <w:spacing w:line="300" w:lineRule="exact"/>
              <w:jc w:val="right"/>
              <w:rPr>
                <w:rFonts w:ascii="方正书宋_GBK"/>
              </w:rPr>
            </w:pPr>
            <w:r>
              <w:rPr>
                <w:rFonts w:hint="eastAsia" w:ascii="方正书宋_GBK"/>
              </w:rPr>
              <w:t>129</w:t>
            </w:r>
          </w:p>
        </w:tc>
        <w:tc>
          <w:tcPr>
            <w:tcW w:w="984" w:type="dxa"/>
            <w:shd w:val="clear" w:color="auto" w:fill="auto"/>
            <w:vAlign w:val="center"/>
          </w:tcPr>
          <w:p>
            <w:pPr>
              <w:spacing w:line="300" w:lineRule="exact"/>
              <w:ind w:right="420"/>
              <w:rPr>
                <w:rFonts w:ascii="方正书宋_GBK"/>
              </w:rPr>
            </w:pPr>
            <w:r>
              <w:rPr>
                <w:rFonts w:hint="eastAsia" w:ascii="方正书宋_GBK"/>
              </w:rPr>
              <w:t>129</w:t>
            </w:r>
          </w:p>
        </w:tc>
        <w:tc>
          <w:tcPr>
            <w:tcW w:w="984" w:type="dxa"/>
            <w:shd w:val="clear" w:color="auto" w:fill="auto"/>
            <w:vAlign w:val="center"/>
          </w:tcPr>
          <w:p>
            <w:pPr>
              <w:spacing w:line="300" w:lineRule="exact"/>
              <w:ind w:right="420"/>
              <w:rPr>
                <w:rFonts w:ascii="方正书宋_GBK"/>
              </w:rPr>
            </w:pPr>
            <w:r>
              <w:rPr>
                <w:rFonts w:hint="eastAsia" w:ascii="方正书宋_GBK"/>
              </w:rPr>
              <w:t>129</w:t>
            </w:r>
          </w:p>
        </w:tc>
        <w:tc>
          <w:tcPr>
            <w:tcW w:w="984" w:type="dxa"/>
            <w:shd w:val="clear" w:color="auto" w:fill="auto"/>
            <w:vAlign w:val="center"/>
          </w:tcPr>
          <w:p>
            <w:pPr>
              <w:spacing w:line="300" w:lineRule="exact"/>
              <w:ind w:right="315"/>
              <w:jc w:val="right"/>
              <w:rPr>
                <w:rFonts w:ascii="方正书宋_GBK"/>
              </w:rPr>
            </w:pPr>
            <w:r>
              <w:rPr>
                <w:rFonts w:hint="eastAsia" w:ascii="方正书宋_GBK"/>
              </w:rPr>
              <w:t>129</w:t>
            </w:r>
          </w:p>
        </w:tc>
        <w:tc>
          <w:tcPr>
            <w:tcW w:w="760" w:type="dxa"/>
            <w:shd w:val="clear" w:color="auto" w:fill="auto"/>
            <w:vAlign w:val="center"/>
          </w:tcPr>
          <w:p>
            <w:pPr>
              <w:spacing w:line="300" w:lineRule="exact"/>
              <w:jc w:val="right"/>
              <w:rPr>
                <w:rFonts w:ascii="方正书宋_GBK" w:eastAsia="方正书宋_GBK"/>
                <w:b/>
              </w:rPr>
            </w:pPr>
          </w:p>
        </w:tc>
        <w:tc>
          <w:tcPr>
            <w:tcW w:w="762" w:type="dxa"/>
            <w:shd w:val="clear" w:color="auto" w:fill="auto"/>
            <w:vAlign w:val="center"/>
          </w:tcPr>
          <w:p>
            <w:pPr>
              <w:spacing w:line="300" w:lineRule="exact"/>
              <w:jc w:val="right"/>
              <w:rPr>
                <w:rFonts w:ascii="方正书宋_GBK" w:eastAsia="方正书宋_GBK"/>
                <w:b/>
              </w:rPr>
            </w:pPr>
          </w:p>
        </w:tc>
        <w:tc>
          <w:tcPr>
            <w:tcW w:w="867" w:type="dxa"/>
            <w:shd w:val="clear" w:color="auto" w:fill="auto"/>
            <w:vAlign w:val="center"/>
          </w:tcPr>
          <w:p>
            <w:pPr>
              <w:spacing w:line="300" w:lineRule="exact"/>
              <w:ind w:right="420"/>
              <w:rPr>
                <w:rFonts w:ascii="方正书宋_GBK"/>
                <w:b/>
              </w:rPr>
            </w:pPr>
          </w:p>
        </w:tc>
        <w:tc>
          <w:tcPr>
            <w:tcW w:w="617" w:type="dxa"/>
            <w:shd w:val="clear" w:color="auto" w:fill="auto"/>
            <w:vAlign w:val="center"/>
          </w:tcPr>
          <w:p>
            <w:pPr>
              <w:spacing w:line="300" w:lineRule="exact"/>
              <w:jc w:val="right"/>
              <w:rPr>
                <w:rFonts w:ascii="方正书宋_GBK" w:eastAsia="方正书宋_GBK"/>
                <w:b/>
              </w:rPr>
            </w:pPr>
          </w:p>
        </w:tc>
      </w:tr>
    </w:tbl>
    <w:p>
      <w:pPr>
        <w:autoSpaceDE w:val="0"/>
        <w:autoSpaceDN w:val="0"/>
        <w:adjustRightInd w:val="0"/>
        <w:jc w:val="left"/>
        <w:rPr>
          <w:rFonts w:ascii="仿宋_GB2312" w:hAnsi="仿宋_GB2312" w:eastAsia="仿宋_GB2312" w:cs="仿宋_GB2312"/>
          <w:sz w:val="32"/>
        </w:rPr>
      </w:pPr>
    </w:p>
    <w:p>
      <w:pPr>
        <w:autoSpaceDE w:val="0"/>
        <w:autoSpaceDN w:val="0"/>
        <w:adjustRightInd w:val="0"/>
        <w:jc w:val="left"/>
        <w:rPr>
          <w:rFonts w:ascii="仿宋_GB2312" w:hAnsi="仿宋_GB2312" w:eastAsia="仿宋_GB2312" w:cs="仿宋_GB2312"/>
          <w:sz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sectPr>
          <w:footerReference r:id="rId5" w:type="default"/>
          <w:pgSz w:w="16839" w:h="11907" w:orient="landscape"/>
          <w:pgMar w:top="1021" w:right="1361" w:bottom="1021" w:left="1361" w:header="851" w:footer="992" w:gutter="0"/>
          <w:cols w:space="720" w:num="1"/>
          <w:docGrid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_GB2312" w:hAnsi="黑体" w:eastAsia="仿宋_GB2312" w:cs="Times New Roman"/>
          <w:sz w:val="32"/>
          <w:szCs w:val="32"/>
        </w:rPr>
      </w:pPr>
      <w:r>
        <w:rPr>
          <w:rFonts w:hint="eastAsia" w:ascii="仿宋" w:hAnsi="仿宋" w:eastAsia="仿宋" w:cs="仿宋"/>
          <w:sz w:val="32"/>
          <w:szCs w:val="32"/>
        </w:rPr>
        <w:t>上年末固定资产金额为399.18万元（详见下表）。本年度拟购置的固定资产为0万元。</w:t>
      </w:r>
    </w:p>
    <w:tbl>
      <w:tblPr>
        <w:tblStyle w:val="6"/>
        <w:tblpPr w:leftFromText="180" w:rightFromText="180" w:vertAnchor="text" w:horzAnchor="page" w:tblpX="1928" w:tblpY="536"/>
        <w:tblOverlap w:val="never"/>
        <w:tblW w:w="9136" w:type="dxa"/>
        <w:tblInd w:w="0" w:type="dxa"/>
        <w:tblLayout w:type="fixed"/>
        <w:tblCellMar>
          <w:top w:w="0" w:type="dxa"/>
          <w:left w:w="108" w:type="dxa"/>
          <w:bottom w:w="0" w:type="dxa"/>
          <w:right w:w="108" w:type="dxa"/>
        </w:tblCellMar>
      </w:tblPr>
      <w:tblGrid>
        <w:gridCol w:w="3223"/>
        <w:gridCol w:w="2375"/>
        <w:gridCol w:w="3538"/>
      </w:tblGrid>
      <w:tr>
        <w:tblPrEx>
          <w:tblCellMar>
            <w:top w:w="0" w:type="dxa"/>
            <w:left w:w="108" w:type="dxa"/>
            <w:bottom w:w="0" w:type="dxa"/>
            <w:right w:w="108" w:type="dxa"/>
          </w:tblCellMar>
        </w:tblPrEx>
        <w:trPr>
          <w:trHeight w:val="705" w:hRule="atLeast"/>
        </w:trPr>
        <w:tc>
          <w:tcPr>
            <w:tcW w:w="9136"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赞皇县县直部门固定资产占用情况表</w:t>
            </w:r>
          </w:p>
        </w:tc>
      </w:tr>
      <w:tr>
        <w:tblPrEx>
          <w:tblCellMar>
            <w:top w:w="0" w:type="dxa"/>
            <w:left w:w="108" w:type="dxa"/>
            <w:bottom w:w="0" w:type="dxa"/>
            <w:right w:w="108" w:type="dxa"/>
          </w:tblCellMar>
        </w:tblPrEx>
        <w:trPr>
          <w:trHeight w:val="510" w:hRule="atLeast"/>
        </w:trPr>
        <w:tc>
          <w:tcPr>
            <w:tcW w:w="5598"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编制部门：赞皇县委宣传部  </w:t>
            </w:r>
          </w:p>
        </w:tc>
        <w:tc>
          <w:tcPr>
            <w:tcW w:w="3538"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322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237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53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399.18</w:t>
            </w: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1100</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66</w:t>
            </w: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600</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36</w:t>
            </w: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31</w:t>
            </w: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trPr>
        <w:tc>
          <w:tcPr>
            <w:tcW w:w="3223"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237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538"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266.18</w:t>
            </w:r>
          </w:p>
        </w:tc>
      </w:tr>
    </w:tbl>
    <w:p>
      <w:pPr>
        <w:tabs>
          <w:tab w:val="left" w:pos="729"/>
        </w:tabs>
        <w:autoSpaceDE w:val="0"/>
        <w:autoSpaceDN w:val="0"/>
        <w:adjustRightInd w:val="0"/>
        <w:ind w:left="420" w:leftChars="2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ind w:left="420" w:leftChars="200" w:firstLine="320" w:firstLineChars="100"/>
        <w:jc w:val="left"/>
        <w:rPr>
          <w:rFonts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hint="eastAsia" w:ascii="黑体" w:hAnsi="黑体" w:eastAsia="黑体" w:cs="Times New Roman"/>
          <w:sz w:val="32"/>
          <w:szCs w:val="32"/>
        </w:rPr>
      </w:pPr>
    </w:p>
    <w:p>
      <w:pPr>
        <w:tabs>
          <w:tab w:val="left" w:pos="729"/>
        </w:tabs>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 xml:space="preserve"> </w:t>
      </w: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县</w:t>
      </w:r>
      <w:r>
        <w:rPr>
          <w:rFonts w:hint="eastAsia" w:ascii="仿宋" w:hAnsi="仿宋" w:eastAsia="仿宋" w:cs="仿宋"/>
          <w:sz w:val="32"/>
          <w:szCs w:val="32"/>
        </w:rPr>
        <w:t>级财政当年拨付的资金。</w:t>
      </w:r>
    </w:p>
    <w:p>
      <w:pPr>
        <w:ind w:firstLine="800" w:firstLineChars="250"/>
        <w:rPr>
          <w:rFonts w:ascii="仿宋" w:hAnsi="仿宋" w:eastAsia="仿宋" w:cs="仿宋"/>
          <w:sz w:val="32"/>
          <w:szCs w:val="32"/>
        </w:rPr>
      </w:pPr>
      <w:r>
        <w:rPr>
          <w:rFonts w:hint="eastAsia" w:ascii="仿宋" w:hAnsi="仿宋" w:eastAsia="仿宋" w:cs="仿宋"/>
          <w:sz w:val="32"/>
          <w:szCs w:val="32"/>
        </w:rPr>
        <w:t>2、基本支出：指为保障机构正常运转、完成日常工作任务而发生的人员支出和公用支出。</w:t>
      </w:r>
    </w:p>
    <w:p>
      <w:pPr>
        <w:ind w:firstLine="800" w:firstLineChars="250"/>
        <w:rPr>
          <w:rFonts w:ascii="仿宋" w:hAnsi="仿宋" w:eastAsia="仿宋" w:cs="仿宋"/>
          <w:sz w:val="32"/>
          <w:szCs w:val="32"/>
        </w:rPr>
      </w:pPr>
      <w:r>
        <w:rPr>
          <w:rFonts w:hint="eastAsia" w:ascii="仿宋" w:hAnsi="仿宋" w:eastAsia="仿宋" w:cs="仿宋"/>
          <w:sz w:val="32"/>
          <w:szCs w:val="32"/>
        </w:rPr>
        <w:t>3、项目支出：指在基本支出之外为完成特定行政任务和事业发展目标所发生的支出。</w:t>
      </w:r>
    </w:p>
    <w:p>
      <w:pPr>
        <w:ind w:firstLine="800" w:firstLineChars="250"/>
        <w:rPr>
          <w:rFonts w:ascii="仿宋" w:hAnsi="仿宋" w:eastAsia="仿宋" w:cs="仿宋"/>
          <w:sz w:val="32"/>
          <w:szCs w:val="32"/>
        </w:rPr>
      </w:pPr>
      <w:r>
        <w:rPr>
          <w:rFonts w:hint="eastAsia" w:ascii="仿宋" w:hAnsi="仿宋" w:eastAsia="仿宋" w:cs="仿宋"/>
          <w:sz w:val="32"/>
          <w:szCs w:val="32"/>
        </w:rPr>
        <w:t>4、“三公”经费：纳入</w:t>
      </w:r>
      <w:r>
        <w:rPr>
          <w:rFonts w:hint="eastAsia" w:ascii="仿宋" w:hAnsi="仿宋" w:eastAsia="仿宋" w:cs="仿宋"/>
          <w:sz w:val="32"/>
          <w:szCs w:val="32"/>
          <w:lang w:eastAsia="zh-CN"/>
        </w:rPr>
        <w:t>县</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县</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800" w:firstLineChars="250"/>
        <w:rPr>
          <w:rFonts w:hint="eastAsia" w:ascii="仿宋" w:hAnsi="仿宋" w:eastAsia="仿宋" w:cs="仿宋"/>
          <w:sz w:val="32"/>
          <w:szCs w:val="32"/>
        </w:rPr>
      </w:pPr>
      <w:r>
        <w:rPr>
          <w:rFonts w:hint="eastAsia" w:ascii="仿宋" w:hAnsi="仿宋" w:eastAsia="仿宋" w:cs="仿宋"/>
          <w:sz w:val="32"/>
          <w:szCs w:val="32"/>
        </w:rPr>
        <w:t>5、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800" w:firstLineChars="250"/>
        <w:rPr>
          <w:rFonts w:hint="eastAsia" w:ascii="仿宋" w:hAnsi="仿宋" w:eastAsia="仿宋" w:cs="仿宋"/>
          <w:sz w:val="32"/>
          <w:szCs w:val="32"/>
        </w:rPr>
      </w:pPr>
      <w:r>
        <w:rPr>
          <w:rFonts w:hint="eastAsia" w:ascii="仿宋" w:hAnsi="仿宋" w:eastAsia="仿宋" w:cs="仿宋"/>
          <w:sz w:val="32"/>
          <w:szCs w:val="32"/>
        </w:rPr>
        <w:t>6、理论学习：</w:t>
      </w:r>
      <w:r>
        <w:rPr>
          <w:rFonts w:ascii="仿宋" w:hAnsi="仿宋" w:eastAsia="仿宋" w:cs="仿宋"/>
          <w:sz w:val="32"/>
          <w:szCs w:val="32"/>
        </w:rPr>
        <w:t>主要宗旨是以宣传党的路线方针政策和纲领、开展理论研究，为各级党委中心组学习提供理论辅导</w:t>
      </w:r>
      <w:r>
        <w:rPr>
          <w:rFonts w:hint="eastAsia" w:ascii="仿宋" w:hAnsi="仿宋" w:eastAsia="仿宋" w:cs="仿宋"/>
          <w:sz w:val="32"/>
          <w:szCs w:val="32"/>
        </w:rPr>
        <w:t>。</w:t>
      </w:r>
    </w:p>
    <w:p>
      <w:pPr>
        <w:ind w:firstLine="800" w:firstLineChars="250"/>
        <w:rPr>
          <w:rFonts w:hint="eastAsia" w:ascii="仿宋" w:hAnsi="仿宋" w:eastAsia="仿宋" w:cs="仿宋"/>
          <w:sz w:val="32"/>
          <w:szCs w:val="32"/>
        </w:rPr>
      </w:pPr>
      <w:r>
        <w:rPr>
          <w:rFonts w:hint="eastAsia" w:ascii="仿宋" w:hAnsi="仿宋" w:eastAsia="仿宋" w:cs="仿宋"/>
          <w:sz w:val="32"/>
          <w:szCs w:val="32"/>
        </w:rPr>
        <w:t>7、新闻舆情：</w:t>
      </w:r>
      <w:r>
        <w:rPr>
          <w:rFonts w:ascii="仿宋" w:hAnsi="仿宋" w:eastAsia="仿宋" w:cs="仿宋"/>
          <w:sz w:val="32"/>
          <w:szCs w:val="32"/>
        </w:rPr>
        <w:t>新闻舆情就是新闻媒体作为中间个体，对作为客体的社会管理者的政治取向产生和持有的政治态度，以及作为主观个体对此产生反应的综合分析及相应报道。</w:t>
      </w:r>
    </w:p>
    <w:p>
      <w:pPr>
        <w:ind w:firstLine="800" w:firstLineChars="250"/>
        <w:rPr>
          <w:rFonts w:ascii="仿宋" w:hAnsi="仿宋" w:eastAsia="仿宋" w:cs="仿宋"/>
          <w:sz w:val="32"/>
          <w:szCs w:val="32"/>
        </w:rPr>
      </w:pPr>
      <w:r>
        <w:rPr>
          <w:rFonts w:hint="eastAsia" w:ascii="仿宋" w:hAnsi="仿宋" w:eastAsia="仿宋" w:cs="仿宋"/>
          <w:sz w:val="32"/>
          <w:szCs w:val="32"/>
        </w:rPr>
        <w:t>8、安全播出：安全播出是指在广播电视节目播出、传输过程中的节目完整、信号安全和技术安全。</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p>
      <w:pPr>
        <w:rPr>
          <w:rFonts w:ascii="方正小标宋简体" w:hAnsi="方正小标宋简体" w:eastAsia="方正小标宋简体" w:cs="方正小标宋简体"/>
          <w:sz w:val="32"/>
          <w:szCs w:val="32"/>
        </w:rPr>
      </w:pPr>
    </w:p>
    <w:sectPr>
      <w:pgSz w:w="11907" w:h="16839"/>
      <w:pgMar w:top="1361" w:right="1020" w:bottom="1361" w:left="1020" w:header="851" w:footer="992"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Times New Roman"/>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仿宋_GBK">
    <w:altName w:val="Times New Roman"/>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c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center" w:pos="7058"/>
        <w:tab w:val="clear" w:pos="4153"/>
        <w:tab w:val="clear" w:pos="8306"/>
      </w:tabs>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DoI+MdEAIAAAcEAAAOAAAAAAAAAAEAIAAA&#10;AB8BAABkcnMvZTJvRG9jLnhtbFBLBQYAAAAABgAGAFkBAAChBQAAAAA=&#10;">
          <v:path/>
          <v:fill on="f" focussize="0,0"/>
          <v:stroke on="f" weight="0.5pt" joinstyle="miter"/>
          <v:imagedata o:title=""/>
          <o:lock v:ext="edit"/>
          <v:textbox inset="0mm,0mm,0mm,0mm" style="mso-fit-shape-to-text:t;">
            <w:txbxContent>
              <w:p>
                <w:pPr>
                  <w:snapToGrid w:val="0"/>
                  <w:rPr>
                    <w:sz w:val="18"/>
                  </w:rPr>
                </w:pP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7A841619"/>
    <w:rsid w:val="00014531"/>
    <w:rsid w:val="000226B7"/>
    <w:rsid w:val="00027118"/>
    <w:rsid w:val="000327AA"/>
    <w:rsid w:val="00032A53"/>
    <w:rsid w:val="0004631D"/>
    <w:rsid w:val="00064311"/>
    <w:rsid w:val="000660CA"/>
    <w:rsid w:val="00084100"/>
    <w:rsid w:val="0009159E"/>
    <w:rsid w:val="000D6207"/>
    <w:rsid w:val="000E242B"/>
    <w:rsid w:val="000F7AB7"/>
    <w:rsid w:val="001002A9"/>
    <w:rsid w:val="00134136"/>
    <w:rsid w:val="001658A1"/>
    <w:rsid w:val="0018782F"/>
    <w:rsid w:val="00197A76"/>
    <w:rsid w:val="001A249D"/>
    <w:rsid w:val="001C0EAC"/>
    <w:rsid w:val="001C23FF"/>
    <w:rsid w:val="002537FF"/>
    <w:rsid w:val="002E005C"/>
    <w:rsid w:val="00334A8F"/>
    <w:rsid w:val="00353F09"/>
    <w:rsid w:val="003711E9"/>
    <w:rsid w:val="00373452"/>
    <w:rsid w:val="00376A47"/>
    <w:rsid w:val="00390029"/>
    <w:rsid w:val="003B47D9"/>
    <w:rsid w:val="003E24ED"/>
    <w:rsid w:val="003F12AE"/>
    <w:rsid w:val="00427E94"/>
    <w:rsid w:val="00465524"/>
    <w:rsid w:val="004D3207"/>
    <w:rsid w:val="00520841"/>
    <w:rsid w:val="00535103"/>
    <w:rsid w:val="00551933"/>
    <w:rsid w:val="005563DE"/>
    <w:rsid w:val="005776C7"/>
    <w:rsid w:val="005C2460"/>
    <w:rsid w:val="005C313F"/>
    <w:rsid w:val="005D52C9"/>
    <w:rsid w:val="005E63F5"/>
    <w:rsid w:val="00622223"/>
    <w:rsid w:val="00627237"/>
    <w:rsid w:val="00640046"/>
    <w:rsid w:val="00656113"/>
    <w:rsid w:val="00662F18"/>
    <w:rsid w:val="00674260"/>
    <w:rsid w:val="00681AD9"/>
    <w:rsid w:val="00691526"/>
    <w:rsid w:val="006B37EB"/>
    <w:rsid w:val="00710E8E"/>
    <w:rsid w:val="00711B41"/>
    <w:rsid w:val="007530BF"/>
    <w:rsid w:val="00797A1F"/>
    <w:rsid w:val="007C5709"/>
    <w:rsid w:val="007F0BB4"/>
    <w:rsid w:val="007F7AAE"/>
    <w:rsid w:val="0081080D"/>
    <w:rsid w:val="00852B79"/>
    <w:rsid w:val="00853187"/>
    <w:rsid w:val="00854F85"/>
    <w:rsid w:val="008602E0"/>
    <w:rsid w:val="0086108F"/>
    <w:rsid w:val="008664E9"/>
    <w:rsid w:val="008B5639"/>
    <w:rsid w:val="008C5556"/>
    <w:rsid w:val="008D5A9C"/>
    <w:rsid w:val="008E0989"/>
    <w:rsid w:val="008E39AF"/>
    <w:rsid w:val="0091572C"/>
    <w:rsid w:val="00916CA7"/>
    <w:rsid w:val="00925865"/>
    <w:rsid w:val="0093056D"/>
    <w:rsid w:val="00945BF7"/>
    <w:rsid w:val="00985600"/>
    <w:rsid w:val="00993C8E"/>
    <w:rsid w:val="009D21D7"/>
    <w:rsid w:val="009F0AA7"/>
    <w:rsid w:val="00A25F7F"/>
    <w:rsid w:val="00A4013B"/>
    <w:rsid w:val="00A4499B"/>
    <w:rsid w:val="00A638B4"/>
    <w:rsid w:val="00A94B7B"/>
    <w:rsid w:val="00AD7B50"/>
    <w:rsid w:val="00B01F44"/>
    <w:rsid w:val="00B93CC6"/>
    <w:rsid w:val="00B9782C"/>
    <w:rsid w:val="00BB4E6F"/>
    <w:rsid w:val="00C8187F"/>
    <w:rsid w:val="00C916D4"/>
    <w:rsid w:val="00CB20D4"/>
    <w:rsid w:val="00CC33D2"/>
    <w:rsid w:val="00CE228F"/>
    <w:rsid w:val="00CF5BAF"/>
    <w:rsid w:val="00DC01E9"/>
    <w:rsid w:val="00DF41FE"/>
    <w:rsid w:val="00E04966"/>
    <w:rsid w:val="00E42D1C"/>
    <w:rsid w:val="00E621B8"/>
    <w:rsid w:val="00E74814"/>
    <w:rsid w:val="00EC4508"/>
    <w:rsid w:val="00EE138C"/>
    <w:rsid w:val="00EF45D9"/>
    <w:rsid w:val="00EF67E4"/>
    <w:rsid w:val="00F03683"/>
    <w:rsid w:val="00F06ABF"/>
    <w:rsid w:val="00F10275"/>
    <w:rsid w:val="00F70C04"/>
    <w:rsid w:val="00FA00BC"/>
    <w:rsid w:val="03433182"/>
    <w:rsid w:val="04550B57"/>
    <w:rsid w:val="049702F8"/>
    <w:rsid w:val="05104C83"/>
    <w:rsid w:val="077C3AAC"/>
    <w:rsid w:val="083B6A9F"/>
    <w:rsid w:val="0B8804A2"/>
    <w:rsid w:val="105B19A3"/>
    <w:rsid w:val="11336F0B"/>
    <w:rsid w:val="119016D6"/>
    <w:rsid w:val="12E34050"/>
    <w:rsid w:val="13746775"/>
    <w:rsid w:val="13AC693C"/>
    <w:rsid w:val="14BE14D3"/>
    <w:rsid w:val="173C14C4"/>
    <w:rsid w:val="18E83164"/>
    <w:rsid w:val="19967514"/>
    <w:rsid w:val="19AF6426"/>
    <w:rsid w:val="19C05289"/>
    <w:rsid w:val="1A4465DD"/>
    <w:rsid w:val="1AEB43E3"/>
    <w:rsid w:val="1CCD67C3"/>
    <w:rsid w:val="203E0E62"/>
    <w:rsid w:val="20B4276F"/>
    <w:rsid w:val="20DB2948"/>
    <w:rsid w:val="21406294"/>
    <w:rsid w:val="235B3273"/>
    <w:rsid w:val="261372E6"/>
    <w:rsid w:val="26243193"/>
    <w:rsid w:val="263237F2"/>
    <w:rsid w:val="267B0B5D"/>
    <w:rsid w:val="27790A1D"/>
    <w:rsid w:val="28D7576C"/>
    <w:rsid w:val="2911754D"/>
    <w:rsid w:val="29AE62C5"/>
    <w:rsid w:val="2B614999"/>
    <w:rsid w:val="2BD82EBF"/>
    <w:rsid w:val="2CB8294C"/>
    <w:rsid w:val="2D766D98"/>
    <w:rsid w:val="2EB577F4"/>
    <w:rsid w:val="319F5D24"/>
    <w:rsid w:val="320E1C3A"/>
    <w:rsid w:val="32B56E13"/>
    <w:rsid w:val="38BA59E4"/>
    <w:rsid w:val="3B5A6234"/>
    <w:rsid w:val="3C8A528C"/>
    <w:rsid w:val="3DDE7F4F"/>
    <w:rsid w:val="3E0E6155"/>
    <w:rsid w:val="3E2F1A87"/>
    <w:rsid w:val="3E8E04FF"/>
    <w:rsid w:val="410C1B03"/>
    <w:rsid w:val="43B57269"/>
    <w:rsid w:val="44EA726F"/>
    <w:rsid w:val="45A53400"/>
    <w:rsid w:val="46E920B7"/>
    <w:rsid w:val="471D6569"/>
    <w:rsid w:val="480B1545"/>
    <w:rsid w:val="4837217D"/>
    <w:rsid w:val="4BB33B1B"/>
    <w:rsid w:val="4CE27D52"/>
    <w:rsid w:val="4E52418A"/>
    <w:rsid w:val="4EE04E0D"/>
    <w:rsid w:val="501C7A54"/>
    <w:rsid w:val="51464739"/>
    <w:rsid w:val="5237185D"/>
    <w:rsid w:val="529736B3"/>
    <w:rsid w:val="553C4AE2"/>
    <w:rsid w:val="56DE59D4"/>
    <w:rsid w:val="598465FB"/>
    <w:rsid w:val="5A612EB3"/>
    <w:rsid w:val="5B3547FF"/>
    <w:rsid w:val="5BE7333C"/>
    <w:rsid w:val="5BF2114B"/>
    <w:rsid w:val="5E803271"/>
    <w:rsid w:val="5EA13601"/>
    <w:rsid w:val="5EDA59F8"/>
    <w:rsid w:val="5F2B2758"/>
    <w:rsid w:val="60126ED5"/>
    <w:rsid w:val="603A5854"/>
    <w:rsid w:val="62CE4576"/>
    <w:rsid w:val="63C04C73"/>
    <w:rsid w:val="64802196"/>
    <w:rsid w:val="65E847DE"/>
    <w:rsid w:val="663608A8"/>
    <w:rsid w:val="68092F64"/>
    <w:rsid w:val="682807B6"/>
    <w:rsid w:val="68F70DA3"/>
    <w:rsid w:val="691E34C3"/>
    <w:rsid w:val="69C052A3"/>
    <w:rsid w:val="69EE1081"/>
    <w:rsid w:val="6A6B528F"/>
    <w:rsid w:val="6ACB7DA5"/>
    <w:rsid w:val="6AD14337"/>
    <w:rsid w:val="6C290A00"/>
    <w:rsid w:val="6C552C70"/>
    <w:rsid w:val="6CA95997"/>
    <w:rsid w:val="6D332D90"/>
    <w:rsid w:val="6D3F2F34"/>
    <w:rsid w:val="6FFE070E"/>
    <w:rsid w:val="717032AA"/>
    <w:rsid w:val="719064F1"/>
    <w:rsid w:val="72820BEF"/>
    <w:rsid w:val="7334776B"/>
    <w:rsid w:val="73DD3A2D"/>
    <w:rsid w:val="767635F5"/>
    <w:rsid w:val="772C07FB"/>
    <w:rsid w:val="79547D01"/>
    <w:rsid w:val="7A841619"/>
    <w:rsid w:val="7BEF1D91"/>
    <w:rsid w:val="7D080F94"/>
    <w:rsid w:val="7D336A4E"/>
    <w:rsid w:val="7DFC3ACB"/>
    <w:rsid w:val="7F2869B7"/>
    <w:rsid w:val="7F4D31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toc 1"/>
    <w:basedOn w:val="1"/>
    <w:next w:val="1"/>
    <w:qFormat/>
    <w:uiPriority w:val="0"/>
  </w:style>
  <w:style w:type="paragraph" w:styleId="5">
    <w:name w:val="footnote text"/>
    <w:basedOn w:val="1"/>
    <w:link w:val="12"/>
    <w:qFormat/>
    <w:uiPriority w:val="0"/>
    <w:pPr>
      <w:snapToGrid w:val="0"/>
      <w:jc w:val="left"/>
    </w:pPr>
    <w:rPr>
      <w:rFonts w:ascii="Times New Roman" w:hAnsi="Times New Roman" w:eastAsia="宋体" w:cs="Times New Roman"/>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basedOn w:val="8"/>
    <w:unhideWhenUsed/>
    <w:qFormat/>
    <w:uiPriority w:val="99"/>
    <w:rPr>
      <w:color w:val="0000FF"/>
      <w:u w:val="single"/>
    </w:rPr>
  </w:style>
  <w:style w:type="character" w:styleId="10">
    <w:name w:val="footnote reference"/>
    <w:basedOn w:val="8"/>
    <w:qFormat/>
    <w:uiPriority w:val="0"/>
    <w:rPr>
      <w:vertAlign w:val="superscript"/>
    </w:rPr>
  </w:style>
  <w:style w:type="paragraph" w:customStyle="1" w:styleId="11">
    <w:name w:val="列出段落1"/>
    <w:basedOn w:val="1"/>
    <w:qFormat/>
    <w:uiPriority w:val="99"/>
    <w:pPr>
      <w:ind w:firstLine="420" w:firstLineChars="200"/>
    </w:pPr>
  </w:style>
  <w:style w:type="character" w:customStyle="1" w:styleId="12">
    <w:name w:val="脚注文本 Char"/>
    <w:basedOn w:val="8"/>
    <w:link w:val="5"/>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1006</Words>
  <Characters>5737</Characters>
  <Lines>47</Lines>
  <Paragraphs>13</Paragraphs>
  <TotalTime>17</TotalTime>
  <ScaleCrop>false</ScaleCrop>
  <LinksUpToDate>false</LinksUpToDate>
  <CharactersWithSpaces>6730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2017-03-16T03:04:00Z</dcterms:created>
  <dc:creator>Administrator</dc:creator>
  <cp:lastModifiedBy>匆匆那年</cp:lastModifiedBy>
  <cp:lastPrinted>2019-02-28T09:10:00Z</cp:lastPrinted>
  <dcterms:modified xsi:type="dcterms:W3CDTF">2024-01-15T02:23:17Z</dcterms:modified>
  <cp:revision>107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20E4972753D54696B35185ADCBA4B0AE</vt:lpwstr>
  </property>
</Properties>
</file>