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仿宋_GB2312" w:eastAsia="仿宋_GB2312"/>
          <w:sz w:val="32"/>
          <w:szCs w:val="32"/>
        </w:rPr>
      </w:pPr>
      <w:r>
        <w:rPr>
          <w:rFonts w:hint="eastAsia" w:ascii="仿宋_GB2312" w:eastAsia="仿宋_GB2312"/>
          <w:sz w:val="32"/>
          <w:szCs w:val="32"/>
        </w:rPr>
        <w:t>附件4</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住建局</w:t>
      </w:r>
      <w:r>
        <w:rPr>
          <w:rFonts w:hint="eastAsia" w:ascii="宋体" w:hAnsi="宋体" w:cs="宋体"/>
          <w:b/>
          <w:bCs/>
          <w:sz w:val="44"/>
          <w:szCs w:val="44"/>
        </w:rPr>
        <w:t>部门</w:t>
      </w:r>
    </w:p>
    <w:p>
      <w:pPr>
        <w:spacing w:line="560" w:lineRule="exact"/>
        <w:jc w:val="center"/>
        <w:rPr>
          <w:rFonts w:ascii="宋体" w:hAnsi="宋体" w:cs="宋体"/>
          <w:sz w:val="32"/>
          <w:szCs w:val="32"/>
        </w:rPr>
      </w:pPr>
      <w:r>
        <w:rPr>
          <w:rFonts w:hint="eastAsia" w:ascii="宋体" w:hAnsi="宋体" w:cs="宋体"/>
          <w:b/>
          <w:bCs/>
          <w:sz w:val="44"/>
          <w:szCs w:val="44"/>
        </w:rPr>
        <w:t>2022年度整体支出绩效自评报告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县</w:t>
      </w:r>
      <w:r>
        <w:rPr>
          <w:rFonts w:hint="eastAsia" w:ascii="仿宋" w:hAnsi="仿宋" w:eastAsia="仿宋"/>
          <w:sz w:val="32"/>
          <w:szCs w:val="32"/>
        </w:rPr>
        <w:t>委</w:t>
      </w:r>
      <w:r>
        <w:rPr>
          <w:rFonts w:hint="eastAsia" w:ascii="仿宋" w:hAnsi="仿宋" w:eastAsia="仿宋"/>
          <w:sz w:val="32"/>
          <w:szCs w:val="32"/>
          <w:lang w:eastAsia="zh-CN"/>
        </w:rPr>
        <w:t>县</w:t>
      </w:r>
      <w:r>
        <w:rPr>
          <w:rFonts w:hint="eastAsia" w:ascii="仿宋" w:hAnsi="仿宋" w:eastAsia="仿宋"/>
          <w:sz w:val="32"/>
          <w:szCs w:val="32"/>
        </w:rPr>
        <w:t>政府《关于全面</w:t>
      </w:r>
      <w:r>
        <w:rPr>
          <w:rFonts w:hint="eastAsia" w:ascii="仿宋" w:hAnsi="仿宋" w:eastAsia="仿宋"/>
          <w:sz w:val="32"/>
          <w:szCs w:val="32"/>
          <w:lang w:eastAsia="zh-CN"/>
        </w:rPr>
        <w:t>实施</w:t>
      </w:r>
      <w:r>
        <w:rPr>
          <w:rFonts w:hint="eastAsia" w:ascii="仿宋" w:hAnsi="仿宋" w:eastAsia="仿宋"/>
          <w:sz w:val="32"/>
          <w:szCs w:val="32"/>
        </w:rPr>
        <w:t>预算绩效管理</w:t>
      </w:r>
      <w:r>
        <w:rPr>
          <w:rFonts w:hint="eastAsia" w:ascii="仿宋" w:hAnsi="仿宋" w:eastAsia="仿宋"/>
          <w:sz w:val="32"/>
          <w:szCs w:val="32"/>
          <w:lang w:eastAsia="zh-CN"/>
        </w:rPr>
        <w:t>工作方案</w:t>
      </w:r>
      <w:r>
        <w:rPr>
          <w:rFonts w:hint="eastAsia" w:ascii="仿宋" w:hAnsi="仿宋" w:eastAsia="仿宋"/>
          <w:sz w:val="32"/>
          <w:szCs w:val="32"/>
        </w:rPr>
        <w:t>》（</w:t>
      </w:r>
      <w:r>
        <w:rPr>
          <w:rFonts w:hint="eastAsia" w:ascii="仿宋" w:hAnsi="仿宋" w:eastAsia="仿宋"/>
          <w:sz w:val="32"/>
          <w:szCs w:val="32"/>
          <w:lang w:eastAsia="zh-CN"/>
        </w:rPr>
        <w:t>赞财预</w:t>
      </w:r>
      <w:r>
        <w:rPr>
          <w:rFonts w:hint="eastAsia" w:ascii="仿宋" w:hAnsi="仿宋" w:eastAsia="仿宋"/>
          <w:sz w:val="32"/>
          <w:szCs w:val="32"/>
        </w:rPr>
        <w:t>﹝2019﹞</w:t>
      </w:r>
      <w:r>
        <w:rPr>
          <w:rFonts w:hint="eastAsia" w:ascii="仿宋" w:hAnsi="仿宋" w:eastAsia="仿宋"/>
          <w:sz w:val="32"/>
          <w:szCs w:val="32"/>
          <w:lang w:eastAsia="zh-CN"/>
        </w:rPr>
        <w:t>７</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eastAsia="zh-CN"/>
        </w:rPr>
        <w:t>住建局</w:t>
      </w:r>
      <w:r>
        <w:rPr>
          <w:rFonts w:hint="eastAsia" w:ascii="仿宋" w:hAnsi="仿宋" w:eastAsia="仿宋"/>
          <w:sz w:val="32"/>
          <w:szCs w:val="32"/>
        </w:rPr>
        <w:t>部门2022年整体支出情况实施了财政支出绩效自评价，形成本评价报告。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pStyle w:val="8"/>
        <w:rPr>
          <w:rFonts w:hint="eastAsia" w:ascii="楷体" w:hAnsi="楷体" w:eastAsia="楷体" w:cs="楷体"/>
          <w:sz w:val="32"/>
          <w:szCs w:val="32"/>
        </w:rPr>
      </w:pPr>
      <w:r>
        <w:rPr>
          <w:rFonts w:hint="eastAsia" w:ascii="楷体" w:hAnsi="楷体" w:eastAsia="楷体" w:cs="楷体"/>
          <w:sz w:val="32"/>
          <w:szCs w:val="32"/>
        </w:rPr>
        <w:t>根据《住建局职能配置、内设机构和人员编制规定》，住建局的主要职责是：</w:t>
      </w:r>
    </w:p>
    <w:p>
      <w:pPr>
        <w:pStyle w:val="8"/>
        <w:rPr>
          <w:rFonts w:hint="eastAsia" w:ascii="楷体" w:hAnsi="楷体" w:eastAsia="楷体" w:cs="楷体"/>
          <w:sz w:val="32"/>
          <w:szCs w:val="32"/>
        </w:rPr>
      </w:pPr>
      <w:r>
        <w:rPr>
          <w:rFonts w:hint="eastAsia" w:ascii="楷体" w:hAnsi="楷体" w:eastAsia="楷体" w:cs="楷体"/>
          <w:sz w:val="32"/>
          <w:szCs w:val="32"/>
          <w:lang w:val="en-US" w:eastAsia="zh-CN"/>
        </w:rPr>
        <w:t>1、</w:t>
      </w:r>
      <w:r>
        <w:rPr>
          <w:rFonts w:hint="eastAsia" w:ascii="楷体" w:hAnsi="楷体" w:eastAsia="楷体" w:cs="楷体"/>
          <w:sz w:val="32"/>
          <w:szCs w:val="32"/>
        </w:rPr>
        <w:t>贯彻执行上级有关住房保障、城乡建设、工程建设、园林绿化、城市管理、房地产行业管理等方面的法律、法规、规章和政策；研究拟定相关地方规范性文件，并指导实施和进行行业监督管理；负责行业诚信体系建设工作。</w:t>
      </w:r>
    </w:p>
    <w:p>
      <w:pPr>
        <w:pStyle w:val="8"/>
        <w:rPr>
          <w:rFonts w:hint="eastAsia" w:ascii="楷体" w:hAnsi="楷体" w:eastAsia="楷体" w:cs="楷体"/>
          <w:sz w:val="32"/>
          <w:szCs w:val="32"/>
        </w:rPr>
      </w:pPr>
      <w:r>
        <w:rPr>
          <w:rFonts w:hint="eastAsia" w:ascii="楷体" w:hAnsi="楷体" w:eastAsia="楷体" w:cs="楷体"/>
          <w:sz w:val="32"/>
          <w:szCs w:val="32"/>
          <w:lang w:val="en-US" w:eastAsia="zh-CN"/>
        </w:rPr>
        <w:t>2、</w:t>
      </w:r>
      <w:r>
        <w:rPr>
          <w:rFonts w:hint="eastAsia" w:ascii="楷体" w:hAnsi="楷体" w:eastAsia="楷体" w:cs="楷体"/>
          <w:sz w:val="32"/>
          <w:szCs w:val="32"/>
        </w:rPr>
        <w:t>负责城市道路、排水、路灯、园林绿化公用事业的建设等城市市政基础设施的建设、管理及维护工作，指导城市供热、燃气建设、管理及运营。</w:t>
      </w:r>
    </w:p>
    <w:p>
      <w:pPr>
        <w:pStyle w:val="8"/>
        <w:rPr>
          <w:rFonts w:hint="eastAsia" w:ascii="楷体" w:hAnsi="楷体" w:eastAsia="楷体" w:cs="楷体"/>
          <w:sz w:val="32"/>
          <w:szCs w:val="32"/>
        </w:rPr>
      </w:pPr>
      <w:r>
        <w:rPr>
          <w:rFonts w:hint="eastAsia" w:ascii="楷体" w:hAnsi="楷体" w:eastAsia="楷体" w:cs="楷体"/>
          <w:sz w:val="32"/>
          <w:szCs w:val="32"/>
          <w:lang w:val="en-US" w:eastAsia="zh-CN"/>
        </w:rPr>
        <w:t>3、</w:t>
      </w:r>
      <w:r>
        <w:rPr>
          <w:rFonts w:hint="eastAsia" w:ascii="楷体" w:hAnsi="楷体" w:eastAsia="楷体" w:cs="楷体"/>
          <w:sz w:val="32"/>
          <w:szCs w:val="32"/>
        </w:rPr>
        <w:t>负责房地产行业管理，依法对房地产开发建设、产权产籍、直管公房、物业服务进行管理，并落实住房保障和住房制度改革相关工作。</w:t>
      </w:r>
    </w:p>
    <w:p>
      <w:pPr>
        <w:pStyle w:val="8"/>
        <w:rPr>
          <w:rFonts w:hint="eastAsia" w:ascii="楷体" w:hAnsi="楷体" w:eastAsia="楷体" w:cs="楷体"/>
          <w:sz w:val="32"/>
          <w:szCs w:val="32"/>
        </w:rPr>
      </w:pPr>
      <w:r>
        <w:rPr>
          <w:rFonts w:hint="eastAsia" w:ascii="楷体" w:hAnsi="楷体" w:eastAsia="楷体" w:cs="楷体"/>
          <w:sz w:val="32"/>
          <w:szCs w:val="32"/>
          <w:lang w:val="en-US" w:eastAsia="zh-CN"/>
        </w:rPr>
        <w:t>4、</w:t>
      </w:r>
      <w:r>
        <w:rPr>
          <w:rFonts w:hint="eastAsia" w:ascii="楷体" w:hAnsi="楷体" w:eastAsia="楷体" w:cs="楷体"/>
          <w:sz w:val="32"/>
          <w:szCs w:val="32"/>
        </w:rPr>
        <w:t>负责城市房屋拆迁行业管理，依法进行监督、管理、指导工作。</w:t>
      </w:r>
    </w:p>
    <w:p>
      <w:pPr>
        <w:pStyle w:val="8"/>
        <w:rPr>
          <w:rFonts w:hint="eastAsia" w:ascii="楷体" w:hAnsi="楷体" w:eastAsia="楷体" w:cs="楷体"/>
          <w:sz w:val="32"/>
          <w:szCs w:val="32"/>
        </w:rPr>
      </w:pPr>
      <w:r>
        <w:rPr>
          <w:rFonts w:hint="eastAsia" w:ascii="楷体" w:hAnsi="楷体" w:eastAsia="楷体" w:cs="楷体"/>
          <w:sz w:val="32"/>
          <w:szCs w:val="32"/>
          <w:lang w:val="en-US" w:eastAsia="zh-CN"/>
        </w:rPr>
        <w:t>5、</w:t>
      </w:r>
      <w:r>
        <w:rPr>
          <w:rFonts w:hint="eastAsia" w:ascii="楷体" w:hAnsi="楷体" w:eastAsia="楷体" w:cs="楷体"/>
          <w:sz w:val="32"/>
          <w:szCs w:val="32"/>
        </w:rPr>
        <w:t>负责建筑行业管理工作，对全县建筑市场、招投标、建筑节能、质量、安全、文明施工进行监督管理，指导建设领域技术、新材料的推广应用和技术成果转化工作。</w:t>
      </w:r>
    </w:p>
    <w:p>
      <w:pPr>
        <w:pStyle w:val="8"/>
        <w:rPr>
          <w:rFonts w:hint="eastAsia" w:ascii="楷体" w:hAnsi="楷体" w:eastAsia="楷体" w:cs="楷体"/>
          <w:sz w:val="32"/>
          <w:szCs w:val="32"/>
        </w:rPr>
      </w:pPr>
      <w:r>
        <w:rPr>
          <w:rFonts w:hint="eastAsia" w:ascii="楷体" w:hAnsi="楷体" w:eastAsia="楷体" w:cs="楷体"/>
          <w:sz w:val="32"/>
          <w:szCs w:val="32"/>
          <w:lang w:val="en-US" w:eastAsia="zh-CN"/>
        </w:rPr>
        <w:t>6、</w:t>
      </w:r>
      <w:r>
        <w:rPr>
          <w:rFonts w:hint="eastAsia" w:ascii="楷体" w:hAnsi="楷体" w:eastAsia="楷体" w:cs="楷体"/>
          <w:sz w:val="32"/>
          <w:szCs w:val="32"/>
        </w:rPr>
        <w:t>负责推进城市化建设，抓好城市建设、村镇建设的组织、协调、指导。</w:t>
      </w:r>
    </w:p>
    <w:p>
      <w:pPr>
        <w:pStyle w:val="8"/>
        <w:rPr>
          <w:rFonts w:hint="eastAsia" w:ascii="楷体" w:hAnsi="楷体" w:eastAsia="楷体" w:cs="楷体"/>
          <w:sz w:val="32"/>
          <w:szCs w:val="32"/>
        </w:rPr>
      </w:pPr>
      <w:r>
        <w:rPr>
          <w:rFonts w:hint="eastAsia" w:ascii="楷体" w:hAnsi="楷体" w:eastAsia="楷体" w:cs="楷体"/>
          <w:sz w:val="32"/>
          <w:szCs w:val="32"/>
          <w:lang w:val="en-US" w:eastAsia="zh-CN"/>
        </w:rPr>
        <w:t>7、</w:t>
      </w:r>
      <w:r>
        <w:rPr>
          <w:rFonts w:hint="eastAsia" w:ascii="楷体" w:hAnsi="楷体" w:eastAsia="楷体" w:cs="楷体"/>
          <w:sz w:val="32"/>
          <w:szCs w:val="32"/>
        </w:rPr>
        <w:t>负责指导风景名胜区建（构）筑物建设相关工作；指导风景名胜区内生物多样性保护工作和历史文化名城保护建筑的修复建设工作。</w:t>
      </w:r>
    </w:p>
    <w:p>
      <w:pPr>
        <w:pStyle w:val="8"/>
        <w:rPr>
          <w:rFonts w:hint="eastAsia" w:ascii="楷体" w:hAnsi="楷体" w:eastAsia="楷体" w:cs="楷体"/>
          <w:sz w:val="32"/>
          <w:szCs w:val="32"/>
        </w:rPr>
      </w:pPr>
      <w:r>
        <w:rPr>
          <w:rFonts w:hint="eastAsia" w:ascii="楷体" w:hAnsi="楷体" w:eastAsia="楷体" w:cs="楷体"/>
          <w:sz w:val="32"/>
          <w:szCs w:val="32"/>
          <w:lang w:val="en-US" w:eastAsia="zh-CN"/>
        </w:rPr>
        <w:t>8、</w:t>
      </w:r>
      <w:r>
        <w:rPr>
          <w:rFonts w:hint="eastAsia" w:ascii="楷体" w:hAnsi="楷体" w:eastAsia="楷体" w:cs="楷体"/>
          <w:sz w:val="32"/>
          <w:szCs w:val="32"/>
        </w:rPr>
        <w:t>负责城市污水、垃圾处理等工作。</w:t>
      </w:r>
    </w:p>
    <w:p>
      <w:pPr>
        <w:pStyle w:val="8"/>
        <w:rPr>
          <w:rFonts w:hint="eastAsia" w:ascii="楷体" w:hAnsi="楷体" w:eastAsia="楷体" w:cs="楷体"/>
          <w:sz w:val="32"/>
          <w:szCs w:val="32"/>
        </w:rPr>
      </w:pPr>
      <w:r>
        <w:rPr>
          <w:rFonts w:hint="eastAsia" w:ascii="楷体" w:hAnsi="楷体" w:eastAsia="楷体" w:cs="楷体"/>
          <w:sz w:val="32"/>
          <w:szCs w:val="32"/>
          <w:lang w:val="en-US" w:eastAsia="zh-CN"/>
        </w:rPr>
        <w:t>9、</w:t>
      </w:r>
      <w:r>
        <w:rPr>
          <w:rFonts w:hint="eastAsia" w:ascii="楷体" w:hAnsi="楷体" w:eastAsia="楷体" w:cs="楷体"/>
          <w:sz w:val="32"/>
          <w:szCs w:val="32"/>
        </w:rPr>
        <w:t>负责承办上级主管部门交办的其它事项。</w:t>
      </w:r>
    </w:p>
    <w:p>
      <w:pPr>
        <w:adjustRightInd w:val="0"/>
        <w:snapToGrid w:val="0"/>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rPr>
        <w:t>赞皇县住房和城乡建设局为县政府工作部门，机构规格正科级。下列内设机构：办公室、住房保障科、建筑市场监管科、市政管理科、园林绿化管理科、综合执法科。 县住房城乡建设局机关行政编制15名。股级领导职数6名，其中，正股级6名。科级领导职数设置另行明确。</w:t>
      </w:r>
    </w:p>
    <w:p>
      <w:pPr>
        <w:ind w:firstLine="648"/>
        <w:rPr>
          <w:rFonts w:ascii="楷体" w:hAnsi="楷体" w:eastAsia="楷体" w:cs="Times New Roman"/>
          <w:b/>
          <w:sz w:val="32"/>
          <w:szCs w:val="32"/>
        </w:rPr>
      </w:pPr>
      <w:r>
        <w:rPr>
          <w:rFonts w:hint="eastAsia" w:ascii="楷体" w:hAnsi="楷体" w:eastAsia="楷体" w:cs="Times New Roman"/>
          <w:b/>
          <w:sz w:val="32"/>
          <w:szCs w:val="32"/>
        </w:rPr>
        <w:t>机构设置：</w:t>
      </w:r>
    </w:p>
    <w:p>
      <w:pPr>
        <w:jc w:val="center"/>
        <w:outlineLvl w:val="0"/>
        <w:rPr>
          <w:rFonts w:ascii="仿宋" w:hAnsi="仿宋" w:eastAsia="仿宋" w:cs="Times New Roman"/>
          <w:sz w:val="32"/>
          <w:szCs w:val="24"/>
        </w:rPr>
      </w:pPr>
      <w:r>
        <w:rPr>
          <w:rFonts w:ascii="仿宋" w:hAnsi="仿宋" w:eastAsia="仿宋" w:cs="Times New Roman"/>
          <w:sz w:val="32"/>
          <w:szCs w:val="24"/>
        </w:rPr>
        <w:t>部门</w:t>
      </w:r>
      <w:r>
        <w:rPr>
          <w:rFonts w:hint="eastAsia" w:ascii="仿宋" w:hAnsi="仿宋" w:eastAsia="仿宋" w:cs="Times New Roman"/>
          <w:sz w:val="32"/>
          <w:szCs w:val="24"/>
        </w:rPr>
        <w:t>机构设置情况</w:t>
      </w:r>
    </w:p>
    <w:tbl>
      <w:tblPr>
        <w:tblStyle w:val="6"/>
        <w:tblW w:w="84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54"/>
        <w:gridCol w:w="1348"/>
        <w:gridCol w:w="1500"/>
        <w:gridCol w:w="22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354" w:type="dxa"/>
            <w:vMerge w:val="restart"/>
            <w:vAlign w:val="center"/>
          </w:tcPr>
          <w:p>
            <w:pPr>
              <w:spacing w:line="300" w:lineRule="exact"/>
              <w:jc w:val="center"/>
              <w:rPr>
                <w:rFonts w:hint="eastAsia" w:ascii="仿宋" w:hAnsi="仿宋" w:eastAsia="仿宋" w:cs="仿宋"/>
                <w:b/>
                <w:sz w:val="28"/>
                <w:szCs w:val="28"/>
              </w:rPr>
            </w:pPr>
            <w:r>
              <w:rPr>
                <w:rFonts w:hint="eastAsia" w:ascii="仿宋" w:hAnsi="仿宋" w:eastAsia="仿宋" w:cs="仿宋"/>
                <w:b/>
                <w:sz w:val="28"/>
                <w:szCs w:val="28"/>
              </w:rPr>
              <w:t>单位名称</w:t>
            </w:r>
          </w:p>
        </w:tc>
        <w:tc>
          <w:tcPr>
            <w:tcW w:w="1348" w:type="dxa"/>
            <w:vMerge w:val="restart"/>
            <w:vAlign w:val="center"/>
          </w:tcPr>
          <w:p>
            <w:pPr>
              <w:spacing w:line="300" w:lineRule="exact"/>
              <w:jc w:val="center"/>
              <w:rPr>
                <w:rFonts w:hint="eastAsia" w:ascii="仿宋" w:hAnsi="仿宋" w:eastAsia="仿宋" w:cs="仿宋"/>
                <w:b/>
                <w:sz w:val="28"/>
                <w:szCs w:val="28"/>
              </w:rPr>
            </w:pPr>
            <w:r>
              <w:rPr>
                <w:rFonts w:hint="eastAsia" w:ascii="仿宋" w:hAnsi="仿宋" w:eastAsia="仿宋" w:cs="仿宋"/>
                <w:b/>
                <w:sz w:val="28"/>
                <w:szCs w:val="28"/>
              </w:rPr>
              <w:t>单位性质</w:t>
            </w:r>
          </w:p>
        </w:tc>
        <w:tc>
          <w:tcPr>
            <w:tcW w:w="1500" w:type="dxa"/>
            <w:vMerge w:val="restart"/>
            <w:vAlign w:val="center"/>
          </w:tcPr>
          <w:p>
            <w:pPr>
              <w:spacing w:line="300" w:lineRule="exact"/>
              <w:jc w:val="center"/>
              <w:rPr>
                <w:rFonts w:hint="eastAsia" w:ascii="仿宋" w:hAnsi="仿宋" w:eastAsia="仿宋" w:cs="仿宋"/>
                <w:b/>
                <w:sz w:val="28"/>
                <w:szCs w:val="28"/>
              </w:rPr>
            </w:pPr>
            <w:r>
              <w:rPr>
                <w:rFonts w:hint="eastAsia" w:ascii="仿宋" w:hAnsi="仿宋" w:eastAsia="仿宋" w:cs="仿宋"/>
                <w:b/>
                <w:sz w:val="28"/>
                <w:szCs w:val="28"/>
              </w:rPr>
              <w:t>单位规格</w:t>
            </w:r>
          </w:p>
        </w:tc>
        <w:tc>
          <w:tcPr>
            <w:tcW w:w="2255" w:type="dxa"/>
            <w:vMerge w:val="restart"/>
            <w:vAlign w:val="center"/>
          </w:tcPr>
          <w:p>
            <w:pPr>
              <w:spacing w:line="300" w:lineRule="exact"/>
              <w:jc w:val="center"/>
              <w:rPr>
                <w:rFonts w:hint="eastAsia" w:ascii="仿宋" w:hAnsi="仿宋" w:eastAsia="仿宋" w:cs="仿宋"/>
                <w:b/>
                <w:sz w:val="28"/>
                <w:szCs w:val="28"/>
              </w:rPr>
            </w:pPr>
            <w:r>
              <w:rPr>
                <w:rFonts w:hint="eastAsia" w:ascii="仿宋" w:hAnsi="仿宋" w:eastAsia="仿宋" w:cs="仿宋"/>
                <w:b/>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354" w:type="dxa"/>
            <w:vMerge w:val="continue"/>
            <w:vAlign w:val="center"/>
          </w:tcPr>
          <w:p>
            <w:pPr>
              <w:spacing w:line="300" w:lineRule="exact"/>
              <w:jc w:val="left"/>
              <w:outlineLvl w:val="0"/>
              <w:rPr>
                <w:rFonts w:hint="eastAsia" w:ascii="仿宋" w:hAnsi="仿宋" w:eastAsia="仿宋" w:cs="仿宋"/>
                <w:sz w:val="28"/>
                <w:szCs w:val="28"/>
              </w:rPr>
            </w:pPr>
          </w:p>
        </w:tc>
        <w:tc>
          <w:tcPr>
            <w:tcW w:w="1348" w:type="dxa"/>
            <w:vMerge w:val="continue"/>
            <w:vAlign w:val="center"/>
          </w:tcPr>
          <w:p>
            <w:pPr>
              <w:spacing w:line="300" w:lineRule="exact"/>
              <w:jc w:val="left"/>
              <w:outlineLvl w:val="0"/>
              <w:rPr>
                <w:rFonts w:hint="eastAsia" w:ascii="仿宋" w:hAnsi="仿宋" w:eastAsia="仿宋" w:cs="仿宋"/>
                <w:sz w:val="28"/>
                <w:szCs w:val="28"/>
              </w:rPr>
            </w:pPr>
          </w:p>
        </w:tc>
        <w:tc>
          <w:tcPr>
            <w:tcW w:w="1500" w:type="dxa"/>
            <w:vMerge w:val="continue"/>
            <w:vAlign w:val="center"/>
          </w:tcPr>
          <w:p>
            <w:pPr>
              <w:spacing w:line="300" w:lineRule="exact"/>
              <w:jc w:val="left"/>
              <w:outlineLvl w:val="0"/>
              <w:rPr>
                <w:rFonts w:hint="eastAsia" w:ascii="仿宋" w:hAnsi="仿宋" w:eastAsia="仿宋" w:cs="仿宋"/>
                <w:sz w:val="28"/>
                <w:szCs w:val="28"/>
              </w:rPr>
            </w:pPr>
          </w:p>
        </w:tc>
        <w:tc>
          <w:tcPr>
            <w:tcW w:w="2255" w:type="dxa"/>
            <w:vMerge w:val="continue"/>
            <w:vAlign w:val="center"/>
          </w:tcPr>
          <w:p>
            <w:pPr>
              <w:spacing w:line="300" w:lineRule="exact"/>
              <w:jc w:val="left"/>
              <w:outlineLvl w:val="0"/>
              <w:rPr>
                <w:rFonts w:hint="eastAsia" w:ascii="仿宋" w:hAnsi="仿宋" w:eastAsia="仿宋" w:cs="仿宋"/>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0" w:hRule="atLeast"/>
          <w:jc w:val="center"/>
        </w:trPr>
        <w:tc>
          <w:tcPr>
            <w:tcW w:w="3354" w:type="dxa"/>
            <w:vAlign w:val="center"/>
          </w:tcPr>
          <w:p>
            <w:pPr>
              <w:spacing w:line="300" w:lineRule="exact"/>
              <w:jc w:val="left"/>
              <w:rPr>
                <w:rFonts w:hint="eastAsia" w:ascii="仿宋" w:hAnsi="仿宋" w:eastAsia="仿宋" w:cs="仿宋"/>
                <w:sz w:val="28"/>
                <w:szCs w:val="28"/>
              </w:rPr>
            </w:pPr>
            <w:r>
              <w:rPr>
                <w:rFonts w:hint="eastAsia" w:ascii="仿宋" w:hAnsi="仿宋" w:eastAsia="仿宋" w:cs="仿宋"/>
                <w:sz w:val="28"/>
                <w:szCs w:val="28"/>
              </w:rPr>
              <w:t>赞皇县住房和城乡建设局</w:t>
            </w:r>
          </w:p>
        </w:tc>
        <w:tc>
          <w:tcPr>
            <w:tcW w:w="1348" w:type="dxa"/>
            <w:vAlign w:val="center"/>
          </w:tcPr>
          <w:p>
            <w:pPr>
              <w:spacing w:line="300" w:lineRule="exact"/>
              <w:jc w:val="center"/>
              <w:rPr>
                <w:rFonts w:hint="eastAsia" w:ascii="仿宋" w:hAnsi="仿宋" w:eastAsia="仿宋" w:cs="仿宋"/>
                <w:sz w:val="28"/>
                <w:szCs w:val="28"/>
              </w:rPr>
            </w:pPr>
            <w:r>
              <w:rPr>
                <w:rFonts w:hint="eastAsia" w:ascii="仿宋" w:hAnsi="仿宋" w:eastAsia="仿宋" w:cs="仿宋"/>
                <w:sz w:val="28"/>
                <w:szCs w:val="28"/>
              </w:rPr>
              <w:t>行政</w:t>
            </w:r>
          </w:p>
        </w:tc>
        <w:tc>
          <w:tcPr>
            <w:tcW w:w="1500" w:type="dxa"/>
            <w:vAlign w:val="center"/>
          </w:tcPr>
          <w:p>
            <w:pPr>
              <w:spacing w:line="300" w:lineRule="exact"/>
              <w:jc w:val="center"/>
              <w:rPr>
                <w:rFonts w:hint="eastAsia" w:ascii="仿宋" w:hAnsi="仿宋" w:eastAsia="仿宋" w:cs="仿宋"/>
                <w:sz w:val="28"/>
                <w:szCs w:val="28"/>
              </w:rPr>
            </w:pPr>
            <w:r>
              <w:rPr>
                <w:rFonts w:hint="eastAsia" w:ascii="仿宋" w:hAnsi="仿宋" w:eastAsia="仿宋" w:cs="仿宋"/>
                <w:sz w:val="28"/>
                <w:szCs w:val="28"/>
              </w:rPr>
              <w:t>正科级</w:t>
            </w:r>
          </w:p>
        </w:tc>
        <w:tc>
          <w:tcPr>
            <w:tcW w:w="2255" w:type="dxa"/>
            <w:vAlign w:val="center"/>
          </w:tcPr>
          <w:p>
            <w:pPr>
              <w:spacing w:line="300" w:lineRule="exact"/>
              <w:jc w:val="center"/>
              <w:rPr>
                <w:rFonts w:hint="eastAsia" w:ascii="仿宋" w:hAnsi="仿宋" w:eastAsia="仿宋" w:cs="仿宋"/>
                <w:sz w:val="28"/>
                <w:szCs w:val="28"/>
              </w:rPr>
            </w:pPr>
            <w:r>
              <w:rPr>
                <w:rFonts w:hint="eastAsia" w:ascii="仿宋" w:hAnsi="仿宋" w:eastAsia="仿宋" w:cs="仿宋"/>
                <w:sz w:val="28"/>
                <w:szCs w:val="28"/>
              </w:rPr>
              <w:t>财政拨款</w:t>
            </w:r>
          </w:p>
        </w:tc>
      </w:tr>
    </w:tbl>
    <w:p>
      <w:pPr>
        <w:adjustRightInd w:val="0"/>
        <w:snapToGrid w:val="0"/>
        <w:spacing w:line="560" w:lineRule="exact"/>
        <w:ind w:firstLine="420" w:firstLineChars="200"/>
      </w:pP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keepNext w:val="0"/>
        <w:keepLines w:val="0"/>
        <w:pageBreakBefore w:val="0"/>
        <w:widowControl w:val="0"/>
        <w:kinsoku/>
        <w:wordWrap/>
        <w:overflowPunct/>
        <w:topLinePunct w:val="0"/>
        <w:bidi w:val="0"/>
        <w:snapToGrid/>
        <w:spacing w:line="500" w:lineRule="exact"/>
        <w:ind w:firstLine="640"/>
        <w:textAlignment w:val="auto"/>
        <w:rPr>
          <w:rFonts w:hint="eastAsia" w:ascii="仿宋" w:hAnsi="仿宋" w:eastAsia="仿宋" w:cs="Times New Roman"/>
          <w:sz w:val="32"/>
          <w:szCs w:val="32"/>
        </w:rPr>
      </w:pPr>
      <w:r>
        <w:rPr>
          <w:rFonts w:ascii="仿宋" w:hAnsi="仿宋" w:eastAsia="仿宋" w:cs="Times New Roman"/>
          <w:sz w:val="32"/>
          <w:szCs w:val="32"/>
        </w:rPr>
        <w:t>按照预算管理有关规定，</w:t>
      </w:r>
      <w:r>
        <w:rPr>
          <w:rFonts w:hint="eastAsia" w:ascii="仿宋" w:hAnsi="仿宋" w:eastAsia="仿宋" w:cs="Times New Roman"/>
          <w:sz w:val="32"/>
          <w:szCs w:val="32"/>
        </w:rPr>
        <w:t>目前，我部门预算编制</w:t>
      </w:r>
      <w:r>
        <w:rPr>
          <w:rFonts w:ascii="仿宋" w:hAnsi="仿宋" w:eastAsia="仿宋" w:cs="Times New Roman"/>
          <w:sz w:val="32"/>
          <w:szCs w:val="32"/>
        </w:rPr>
        <w:t>实行综合预算，即全部收入和支出都反映</w:t>
      </w:r>
      <w:r>
        <w:rPr>
          <w:rFonts w:hint="eastAsia" w:ascii="仿宋" w:hAnsi="仿宋" w:eastAsia="仿宋" w:cs="Times New Roman"/>
          <w:sz w:val="32"/>
          <w:szCs w:val="32"/>
        </w:rPr>
        <w:t>在</w:t>
      </w:r>
      <w:r>
        <w:rPr>
          <w:rFonts w:ascii="仿宋" w:hAnsi="仿宋" w:eastAsia="仿宋" w:cs="Times New Roman"/>
          <w:sz w:val="32"/>
          <w:szCs w:val="32"/>
        </w:rPr>
        <w:t>预算中。</w:t>
      </w:r>
      <w:r>
        <w:rPr>
          <w:rFonts w:hint="eastAsia" w:ascii="仿宋" w:hAnsi="仿宋" w:eastAsia="仿宋" w:cs="Times New Roman"/>
          <w:sz w:val="32"/>
          <w:szCs w:val="32"/>
        </w:rPr>
        <w:t>具体情况如下：</w:t>
      </w:r>
    </w:p>
    <w:p>
      <w:pPr>
        <w:keepNext w:val="0"/>
        <w:keepLines w:val="0"/>
        <w:pageBreakBefore w:val="0"/>
        <w:widowControl w:val="0"/>
        <w:kinsoku/>
        <w:wordWrap/>
        <w:overflowPunct/>
        <w:topLinePunct w:val="0"/>
        <w:bidi w:val="0"/>
        <w:snapToGrid/>
        <w:spacing w:line="500" w:lineRule="exact"/>
        <w:ind w:firstLine="643" w:firstLineChars="200"/>
        <w:textAlignment w:val="auto"/>
        <w:rPr>
          <w:rFonts w:ascii="楷体" w:hAnsi="楷体" w:eastAsia="楷体" w:cs="仿宋"/>
          <w:b/>
          <w:sz w:val="32"/>
          <w:szCs w:val="32"/>
        </w:rPr>
      </w:pPr>
      <w:r>
        <w:rPr>
          <w:rFonts w:hint="eastAsia" w:ascii="楷体" w:hAnsi="楷体" w:eastAsia="楷体" w:cs="仿宋"/>
          <w:b/>
          <w:sz w:val="32"/>
          <w:szCs w:val="32"/>
        </w:rPr>
        <w:t>1.收入说明</w:t>
      </w:r>
    </w:p>
    <w:p>
      <w:pPr>
        <w:keepNext w:val="0"/>
        <w:keepLines w:val="0"/>
        <w:pageBreakBefore w:val="0"/>
        <w:widowControl w:val="0"/>
        <w:kinsoku/>
        <w:wordWrap/>
        <w:overflowPunct/>
        <w:topLinePunct w:val="0"/>
        <w:bidi w:val="0"/>
        <w:snapToGrid/>
        <w:spacing w:line="500" w:lineRule="exact"/>
        <w:ind w:firstLine="640" w:firstLineChars="200"/>
        <w:textAlignment w:val="auto"/>
        <w:rPr>
          <w:rFonts w:ascii="仿宋" w:hAnsi="仿宋" w:eastAsia="仿宋" w:cs="仿宋"/>
          <w:sz w:val="32"/>
          <w:szCs w:val="32"/>
          <w:u w:val="none"/>
        </w:rPr>
      </w:pPr>
      <w:r>
        <w:rPr>
          <w:rFonts w:hint="eastAsia" w:ascii="仿宋" w:hAnsi="仿宋" w:eastAsia="仿宋" w:cs="仿宋"/>
          <w:sz w:val="32"/>
          <w:szCs w:val="32"/>
        </w:rPr>
        <w:t>202</w:t>
      </w:r>
      <w:r>
        <w:rPr>
          <w:rFonts w:hint="eastAsia" w:ascii="仿宋" w:hAnsi="仿宋" w:eastAsia="仿宋" w:cs="仿宋"/>
          <w:sz w:val="32"/>
          <w:szCs w:val="32"/>
          <w:lang w:val="en-US" w:eastAsia="zh-CN"/>
        </w:rPr>
        <w:t>2</w:t>
      </w:r>
      <w:r>
        <w:rPr>
          <w:rFonts w:hint="eastAsia" w:ascii="仿宋" w:hAnsi="仿宋" w:eastAsia="仿宋" w:cs="仿宋"/>
          <w:sz w:val="32"/>
          <w:szCs w:val="32"/>
        </w:rPr>
        <w:t>年预算收入</w:t>
      </w:r>
      <w:r>
        <w:rPr>
          <w:rFonts w:hint="eastAsia" w:ascii="仿宋" w:hAnsi="仿宋" w:eastAsia="仿宋" w:cs="仿宋"/>
          <w:sz w:val="32"/>
          <w:szCs w:val="32"/>
          <w:lang w:eastAsia="zh-CN"/>
        </w:rPr>
        <w:t>（调整后）</w:t>
      </w:r>
      <w:r>
        <w:rPr>
          <w:rFonts w:hint="eastAsia" w:ascii="仿宋_GB2312" w:eastAsia="仿宋_GB2312"/>
          <w:kern w:val="0"/>
          <w:sz w:val="32"/>
          <w:szCs w:val="32"/>
          <w:lang w:val="en-US" w:eastAsia="zh-CN"/>
        </w:rPr>
        <w:t>13387.8033553</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4345.9529</w:t>
      </w:r>
      <w:r>
        <w:rPr>
          <w:rFonts w:hint="eastAsia" w:ascii="仿宋" w:hAnsi="仿宋" w:eastAsia="仿宋" w:cs="仿宋"/>
          <w:sz w:val="32"/>
          <w:szCs w:val="32"/>
        </w:rPr>
        <w:t>万元，基金预算收入</w:t>
      </w:r>
      <w:r>
        <w:rPr>
          <w:rFonts w:hint="eastAsia" w:ascii="仿宋" w:hAnsi="仿宋" w:eastAsia="仿宋" w:cs="仿宋"/>
          <w:sz w:val="32"/>
          <w:szCs w:val="32"/>
          <w:lang w:val="en-US" w:eastAsia="zh-CN"/>
        </w:rPr>
        <w:t>2729.180495</w:t>
      </w:r>
      <w:r>
        <w:rPr>
          <w:rFonts w:hint="eastAsia" w:ascii="仿宋" w:hAnsi="仿宋" w:eastAsia="仿宋" w:cs="仿宋"/>
          <w:sz w:val="32"/>
          <w:szCs w:val="32"/>
        </w:rPr>
        <w:t>万元，</w:t>
      </w:r>
      <w:r>
        <w:rPr>
          <w:rFonts w:hint="eastAsia" w:ascii="仿宋" w:hAnsi="仿宋" w:eastAsia="仿宋" w:cs="仿宋"/>
          <w:sz w:val="32"/>
          <w:szCs w:val="32"/>
          <w:lang w:eastAsia="zh-CN"/>
        </w:rPr>
        <w:t>上级提前下达转移支付</w:t>
      </w:r>
      <w:r>
        <w:rPr>
          <w:rFonts w:hint="eastAsia" w:ascii="仿宋" w:hAnsi="仿宋" w:eastAsia="仿宋" w:cs="仿宋"/>
          <w:sz w:val="32"/>
          <w:szCs w:val="32"/>
          <w:lang w:val="en-US" w:eastAsia="zh-CN"/>
        </w:rPr>
        <w:t>5843.3万元，</w:t>
      </w:r>
      <w:r>
        <w:rPr>
          <w:rFonts w:hint="eastAsia" w:ascii="仿宋" w:hAnsi="仿宋" w:eastAsia="仿宋" w:cs="仿宋"/>
          <w:sz w:val="32"/>
          <w:szCs w:val="32"/>
        </w:rPr>
        <w:t>国有资本经营预算收入</w:t>
      </w:r>
      <w:r>
        <w:rPr>
          <w:rFonts w:hint="eastAsia" w:ascii="仿宋" w:hAnsi="仿宋" w:eastAsia="仿宋" w:cs="仿宋"/>
          <w:sz w:val="32"/>
          <w:szCs w:val="32"/>
          <w:u w:val="none"/>
        </w:rPr>
        <w:t>0万元，财政专户核拨收</w:t>
      </w:r>
      <w:bookmarkStart w:id="2" w:name="_GoBack"/>
      <w:bookmarkEnd w:id="2"/>
      <w:r>
        <w:rPr>
          <w:rFonts w:hint="eastAsia" w:ascii="仿宋" w:hAnsi="仿宋" w:eastAsia="仿宋" w:cs="仿宋"/>
          <w:sz w:val="32"/>
          <w:szCs w:val="32"/>
          <w:u w:val="none"/>
        </w:rPr>
        <w:t>入0万元，其他来源收入0万元。</w:t>
      </w:r>
    </w:p>
    <w:p>
      <w:pPr>
        <w:keepNext w:val="0"/>
        <w:keepLines w:val="0"/>
        <w:pageBreakBefore w:val="0"/>
        <w:widowControl w:val="0"/>
        <w:kinsoku/>
        <w:wordWrap/>
        <w:overflowPunct/>
        <w:topLinePunct w:val="0"/>
        <w:bidi w:val="0"/>
        <w:snapToGrid/>
        <w:spacing w:line="500" w:lineRule="exact"/>
        <w:ind w:firstLine="643" w:firstLineChars="200"/>
        <w:textAlignment w:val="auto"/>
        <w:rPr>
          <w:rFonts w:ascii="楷体" w:hAnsi="楷体" w:eastAsia="楷体" w:cs="仿宋"/>
          <w:b/>
          <w:sz w:val="32"/>
          <w:szCs w:val="32"/>
        </w:rPr>
      </w:pPr>
      <w:r>
        <w:rPr>
          <w:rFonts w:hint="eastAsia" w:ascii="楷体" w:hAnsi="楷体" w:eastAsia="楷体" w:cs="仿宋"/>
          <w:b/>
          <w:sz w:val="32"/>
          <w:szCs w:val="32"/>
        </w:rPr>
        <w:t>2.支出说明</w:t>
      </w:r>
    </w:p>
    <w:p>
      <w:pPr>
        <w:keepNext w:val="0"/>
        <w:keepLines w:val="0"/>
        <w:pageBreakBefore w:val="0"/>
        <w:widowControl w:val="0"/>
        <w:kinsoku/>
        <w:wordWrap/>
        <w:overflowPunct/>
        <w:topLinePunct w:val="0"/>
        <w:bidi w:val="0"/>
        <w:snapToGrid/>
        <w:spacing w:line="500" w:lineRule="exact"/>
        <w:ind w:firstLine="640"/>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收支预算总表支出栏、基本支出表、项目支出表按经济分类和支出功能分类科目编制，反映</w:t>
      </w:r>
      <w:r>
        <w:rPr>
          <w:rFonts w:hint="eastAsia" w:ascii="仿宋" w:hAnsi="仿宋" w:eastAsia="仿宋" w:cs="仿宋"/>
          <w:sz w:val="32"/>
          <w:szCs w:val="32"/>
          <w:lang w:eastAsia="zh-CN"/>
        </w:rPr>
        <w:t>赞皇县住建</w:t>
      </w:r>
      <w:r>
        <w:rPr>
          <w:rFonts w:hint="eastAsia" w:ascii="仿宋" w:hAnsi="仿宋" w:eastAsia="仿宋" w:cs="仿宋"/>
          <w:sz w:val="32"/>
          <w:szCs w:val="32"/>
        </w:rPr>
        <w:t>局年度部门预算中支出预算的总体情况。</w:t>
      </w:r>
      <w:r>
        <w:rPr>
          <w:rFonts w:hint="eastAsia" w:ascii="仿宋" w:hAnsi="仿宋" w:eastAsia="仿宋" w:cs="仿宋"/>
          <w:sz w:val="32"/>
          <w:szCs w:val="32"/>
          <w:lang w:eastAsia="zh-CN"/>
        </w:rPr>
        <w:t>202</w:t>
      </w:r>
      <w:r>
        <w:rPr>
          <w:rFonts w:hint="eastAsia" w:ascii="仿宋" w:hAnsi="仿宋" w:eastAsia="仿宋" w:cs="仿宋"/>
          <w:sz w:val="32"/>
          <w:szCs w:val="32"/>
          <w:lang w:val="en-US" w:eastAsia="zh-CN"/>
        </w:rPr>
        <w:t>2</w:t>
      </w:r>
      <w:r>
        <w:rPr>
          <w:rFonts w:hint="eastAsia" w:ascii="仿宋" w:hAnsi="仿宋" w:eastAsia="仿宋" w:cs="仿宋"/>
          <w:sz w:val="32"/>
          <w:szCs w:val="32"/>
        </w:rPr>
        <w:t>年支出预算</w:t>
      </w:r>
      <w:r>
        <w:rPr>
          <w:rFonts w:hint="eastAsia" w:ascii="仿宋" w:hAnsi="仿宋" w:eastAsia="仿宋" w:cs="仿宋"/>
          <w:sz w:val="32"/>
          <w:szCs w:val="32"/>
          <w:lang w:eastAsia="zh-CN"/>
        </w:rPr>
        <w:t>（调整后）</w:t>
      </w:r>
      <w:r>
        <w:rPr>
          <w:rFonts w:hint="eastAsia" w:ascii="仿宋_GB2312" w:eastAsia="仿宋_GB2312"/>
          <w:kern w:val="0"/>
          <w:sz w:val="32"/>
          <w:szCs w:val="32"/>
          <w:lang w:val="en-US" w:eastAsia="zh-CN"/>
        </w:rPr>
        <w:t>11541.717371</w:t>
      </w:r>
      <w:r>
        <w:rPr>
          <w:rFonts w:hint="eastAsia" w:ascii="仿宋" w:hAnsi="仿宋" w:eastAsia="仿宋" w:cs="仿宋"/>
          <w:sz w:val="32"/>
          <w:szCs w:val="32"/>
        </w:rPr>
        <w:t>万元，其中基本支出</w:t>
      </w:r>
      <w:r>
        <w:rPr>
          <w:rFonts w:hint="eastAsia" w:ascii="仿宋_GB2312" w:eastAsia="仿宋_GB2312"/>
          <w:kern w:val="0"/>
          <w:sz w:val="32"/>
          <w:szCs w:val="32"/>
          <w:lang w:val="en-US" w:eastAsia="zh-CN"/>
        </w:rPr>
        <w:t>885.37</w:t>
      </w:r>
      <w:r>
        <w:rPr>
          <w:rFonts w:hint="eastAsia" w:ascii="仿宋" w:hAnsi="仿宋" w:eastAsia="仿宋" w:cs="仿宋"/>
          <w:sz w:val="32"/>
          <w:szCs w:val="32"/>
        </w:rPr>
        <w:t>万元，包括人员经费</w:t>
      </w:r>
      <w:r>
        <w:rPr>
          <w:rFonts w:hint="eastAsia" w:ascii="仿宋_GB2312" w:eastAsia="仿宋_GB2312"/>
          <w:kern w:val="0"/>
          <w:sz w:val="32"/>
          <w:szCs w:val="32"/>
          <w:lang w:val="en-US" w:eastAsia="zh-CN"/>
        </w:rPr>
        <w:t>694.41</w:t>
      </w:r>
      <w:r>
        <w:rPr>
          <w:rFonts w:hint="eastAsia" w:ascii="仿宋" w:hAnsi="仿宋" w:eastAsia="仿宋" w:cs="仿宋"/>
          <w:sz w:val="32"/>
          <w:szCs w:val="32"/>
        </w:rPr>
        <w:t>万元和日常公用经费</w:t>
      </w:r>
      <w:r>
        <w:rPr>
          <w:rFonts w:hint="eastAsia" w:ascii="仿宋_GB2312" w:eastAsia="仿宋_GB2312"/>
          <w:kern w:val="0"/>
          <w:sz w:val="32"/>
          <w:szCs w:val="32"/>
          <w:lang w:val="en-US" w:eastAsia="zh-CN"/>
        </w:rPr>
        <w:t>190.96</w:t>
      </w:r>
      <w:r>
        <w:rPr>
          <w:rFonts w:hint="eastAsia" w:ascii="仿宋" w:hAnsi="仿宋" w:eastAsia="仿宋" w:cs="仿宋"/>
          <w:sz w:val="32"/>
          <w:szCs w:val="32"/>
        </w:rPr>
        <w:t>万元；项目支出</w:t>
      </w:r>
      <w:r>
        <w:rPr>
          <w:rFonts w:hint="eastAsia" w:ascii="仿宋_GB2312" w:eastAsia="仿宋_GB2312"/>
          <w:kern w:val="0"/>
          <w:sz w:val="32"/>
          <w:szCs w:val="32"/>
          <w:lang w:val="en-US" w:eastAsia="zh-CN"/>
        </w:rPr>
        <w:t>10656.3473733</w:t>
      </w:r>
      <w:r>
        <w:rPr>
          <w:rFonts w:hint="eastAsia" w:ascii="仿宋" w:hAnsi="仿宋" w:eastAsia="仿宋" w:cs="仿宋"/>
          <w:sz w:val="32"/>
          <w:szCs w:val="32"/>
        </w:rPr>
        <w:t>万元，主要为</w:t>
      </w:r>
      <w:r>
        <w:rPr>
          <w:rFonts w:hint="eastAsia" w:ascii="仿宋" w:hAnsi="仿宋" w:eastAsia="仿宋" w:cs="仿宋"/>
          <w:color w:val="000000"/>
          <w:sz w:val="32"/>
          <w:szCs w:val="32"/>
        </w:rPr>
        <w:t>住建局2018-2019年度供热煤款（县安排）</w:t>
      </w:r>
      <w:r>
        <w:rPr>
          <w:rFonts w:hint="eastAsia" w:ascii="仿宋" w:hAnsi="仿宋" w:eastAsia="仿宋" w:cs="仿宋"/>
          <w:color w:val="000000"/>
          <w:sz w:val="32"/>
          <w:szCs w:val="32"/>
          <w:lang w:val="en-US" w:eastAsia="zh-CN"/>
        </w:rPr>
        <w:t>635.96万元，</w:t>
      </w:r>
      <w:r>
        <w:rPr>
          <w:rFonts w:hint="eastAsia" w:ascii="仿宋" w:hAnsi="仿宋" w:eastAsia="仿宋" w:cs="仿宋"/>
          <w:color w:val="000000"/>
          <w:sz w:val="32"/>
          <w:szCs w:val="32"/>
        </w:rPr>
        <w:t>住建局2019-2020年度采暖季延期供热期间煤款（县安排）</w:t>
      </w:r>
      <w:r>
        <w:rPr>
          <w:rFonts w:hint="eastAsia" w:ascii="仿宋" w:hAnsi="仿宋" w:eastAsia="仿宋" w:cs="仿宋"/>
          <w:color w:val="000000"/>
          <w:sz w:val="32"/>
          <w:szCs w:val="32"/>
          <w:lang w:val="en-US" w:eastAsia="zh-CN"/>
        </w:rPr>
        <w:t>586万元，</w:t>
      </w:r>
      <w:r>
        <w:rPr>
          <w:rFonts w:hint="eastAsia" w:ascii="仿宋" w:hAnsi="仿宋" w:eastAsia="仿宋" w:cs="仿宋"/>
          <w:color w:val="000000"/>
          <w:sz w:val="32"/>
          <w:szCs w:val="32"/>
        </w:rPr>
        <w:t>住建局2020年2月至2021年8月金隅水泥厂垃圾焚烧处置（县安排）</w:t>
      </w:r>
      <w:r>
        <w:rPr>
          <w:rFonts w:hint="eastAsia" w:ascii="仿宋" w:hAnsi="仿宋" w:eastAsia="仿宋" w:cs="仿宋"/>
          <w:color w:val="000000"/>
          <w:sz w:val="32"/>
          <w:szCs w:val="32"/>
          <w:lang w:val="en-US" w:eastAsia="zh-CN"/>
        </w:rPr>
        <w:t>263.5546万元，</w:t>
      </w:r>
      <w:r>
        <w:rPr>
          <w:rFonts w:hint="eastAsia" w:ascii="仿宋" w:hAnsi="仿宋" w:eastAsia="仿宋" w:cs="仿宋"/>
          <w:color w:val="000000"/>
          <w:sz w:val="32"/>
          <w:szCs w:val="32"/>
        </w:rPr>
        <w:t>住建局县城建设工程租地（县安排）</w:t>
      </w:r>
      <w:r>
        <w:rPr>
          <w:rFonts w:hint="eastAsia" w:ascii="仿宋" w:hAnsi="仿宋" w:eastAsia="仿宋" w:cs="仿宋"/>
          <w:color w:val="000000"/>
          <w:sz w:val="32"/>
          <w:szCs w:val="32"/>
          <w:lang w:val="en-US" w:eastAsia="zh-CN"/>
        </w:rPr>
        <w:t>7.45684万元，</w:t>
      </w:r>
      <w:r>
        <w:rPr>
          <w:rFonts w:hint="eastAsia" w:ascii="仿宋" w:hAnsi="仿宋" w:eastAsia="仿宋" w:cs="仿宋"/>
          <w:color w:val="000000"/>
          <w:sz w:val="32"/>
          <w:szCs w:val="32"/>
        </w:rPr>
        <w:t>住建局城乡生活垃圾处置（县安排）</w:t>
      </w:r>
      <w:r>
        <w:rPr>
          <w:rFonts w:hint="eastAsia" w:ascii="仿宋" w:hAnsi="仿宋" w:eastAsia="仿宋" w:cs="仿宋"/>
          <w:color w:val="000000"/>
          <w:sz w:val="32"/>
          <w:szCs w:val="32"/>
          <w:lang w:val="en-US" w:eastAsia="zh-CN"/>
        </w:rPr>
        <w:t>296.01993万元，</w:t>
      </w:r>
      <w:r>
        <w:rPr>
          <w:rFonts w:hint="eastAsia" w:ascii="仿宋" w:hAnsi="仿宋" w:eastAsia="仿宋" w:cs="仿宋"/>
          <w:color w:val="000000"/>
          <w:sz w:val="32"/>
          <w:szCs w:val="32"/>
        </w:rPr>
        <w:t>住建局赞皇县2021年人才公寓基础装修及购置生活配套设施（县安排）</w:t>
      </w:r>
      <w:r>
        <w:rPr>
          <w:rFonts w:hint="eastAsia" w:ascii="仿宋" w:hAnsi="仿宋" w:eastAsia="仿宋" w:cs="仿宋"/>
          <w:color w:val="000000"/>
          <w:sz w:val="32"/>
          <w:szCs w:val="32"/>
          <w:lang w:val="en-US" w:eastAsia="zh-CN"/>
        </w:rPr>
        <w:t>131.2万元，</w:t>
      </w:r>
      <w:r>
        <w:rPr>
          <w:rFonts w:hint="eastAsia" w:ascii="仿宋" w:hAnsi="仿宋" w:eastAsia="仿宋" w:cs="仿宋"/>
          <w:sz w:val="32"/>
          <w:szCs w:val="32"/>
          <w:lang w:eastAsia="zh-CN"/>
        </w:rPr>
        <w:t>住建局赞皇县202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年老旧小区改造（冀财综【202</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】3</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号）</w:t>
      </w:r>
      <w:r>
        <w:rPr>
          <w:rFonts w:hint="eastAsia" w:ascii="仿宋" w:hAnsi="仿宋" w:eastAsia="仿宋" w:cs="仿宋"/>
          <w:sz w:val="32"/>
          <w:szCs w:val="32"/>
          <w:lang w:val="en-US" w:eastAsia="zh-CN"/>
        </w:rPr>
        <w:t>222万元，</w:t>
      </w:r>
      <w:r>
        <w:rPr>
          <w:rFonts w:hint="eastAsia" w:ascii="仿宋" w:hAnsi="仿宋" w:eastAsia="仿宋" w:cs="仿宋"/>
          <w:color w:val="000000"/>
          <w:sz w:val="32"/>
          <w:szCs w:val="32"/>
        </w:rPr>
        <w:t>住建局农村地区清洁取暖任务2021年采暖季运行补贴（石财建【2021】80号）</w:t>
      </w:r>
      <w:r>
        <w:rPr>
          <w:rFonts w:hint="eastAsia" w:ascii="仿宋" w:hAnsi="仿宋" w:eastAsia="仿宋" w:cs="仿宋"/>
          <w:color w:val="000000"/>
          <w:sz w:val="32"/>
          <w:szCs w:val="32"/>
          <w:lang w:val="en-US" w:eastAsia="zh-CN"/>
        </w:rPr>
        <w:t>238万元</w:t>
      </w:r>
      <w:r>
        <w:rPr>
          <w:rFonts w:hint="eastAsia" w:ascii="仿宋" w:hAnsi="仿宋" w:eastAsia="仿宋" w:cs="仿宋"/>
          <w:sz w:val="32"/>
          <w:szCs w:val="32"/>
          <w:lang w:val="en-US" w:eastAsia="zh-CN"/>
        </w:rPr>
        <w:t>，住建局农村地区清洁取暖2021年改造任务设备补助（冀财建【2022】83号）700万元，</w:t>
      </w:r>
      <w:r>
        <w:rPr>
          <w:rFonts w:hint="eastAsia" w:ascii="仿宋" w:hAnsi="仿宋" w:eastAsia="仿宋" w:cs="仿宋"/>
          <w:sz w:val="32"/>
          <w:szCs w:val="32"/>
          <w:lang w:eastAsia="zh-CN"/>
        </w:rPr>
        <w:t>住建局202</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年度“双代”改造县级补贴（县安排）</w:t>
      </w:r>
      <w:r>
        <w:rPr>
          <w:rFonts w:hint="eastAsia" w:ascii="仿宋" w:hAnsi="仿宋" w:eastAsia="仿宋" w:cs="仿宋"/>
          <w:sz w:val="32"/>
          <w:szCs w:val="32"/>
          <w:lang w:val="en-US" w:eastAsia="zh-CN"/>
        </w:rPr>
        <w:t>508万元，</w:t>
      </w:r>
      <w:r>
        <w:rPr>
          <w:rFonts w:hint="eastAsia" w:ascii="仿宋" w:hAnsi="仿宋" w:eastAsia="仿宋" w:cs="仿宋"/>
          <w:sz w:val="32"/>
          <w:szCs w:val="32"/>
          <w:lang w:eastAsia="zh-CN"/>
        </w:rPr>
        <w:t>住建局农村地区清洁取暖任务</w:t>
      </w:r>
      <w:r>
        <w:rPr>
          <w:rFonts w:hint="eastAsia" w:ascii="仿宋" w:hAnsi="仿宋" w:eastAsia="仿宋" w:cs="仿宋"/>
          <w:sz w:val="32"/>
          <w:szCs w:val="32"/>
          <w:lang w:val="en-US" w:eastAsia="zh-CN"/>
        </w:rPr>
        <w:t>2022年</w:t>
      </w:r>
      <w:r>
        <w:rPr>
          <w:rFonts w:hint="eastAsia" w:ascii="仿宋" w:hAnsi="仿宋" w:eastAsia="仿宋" w:cs="仿宋"/>
          <w:sz w:val="32"/>
          <w:szCs w:val="32"/>
          <w:lang w:eastAsia="zh-CN"/>
        </w:rPr>
        <w:t>运行补贴（冀财资环【202</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103号</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46万元，</w:t>
      </w:r>
      <w:r>
        <w:rPr>
          <w:rFonts w:hint="eastAsia" w:ascii="仿宋" w:hAnsi="仿宋" w:eastAsia="仿宋" w:cs="仿宋"/>
          <w:sz w:val="32"/>
          <w:szCs w:val="32"/>
          <w:lang w:eastAsia="zh-CN"/>
        </w:rPr>
        <w:t>住建局农村地区清洁取暖任务</w:t>
      </w:r>
      <w:r>
        <w:rPr>
          <w:rFonts w:hint="eastAsia" w:ascii="仿宋" w:hAnsi="仿宋" w:eastAsia="仿宋" w:cs="仿宋"/>
          <w:sz w:val="32"/>
          <w:szCs w:val="32"/>
          <w:lang w:val="en-US" w:eastAsia="zh-CN"/>
        </w:rPr>
        <w:t>2022年</w:t>
      </w:r>
      <w:r>
        <w:rPr>
          <w:rFonts w:hint="eastAsia" w:ascii="仿宋" w:hAnsi="仿宋" w:eastAsia="仿宋" w:cs="仿宋"/>
          <w:sz w:val="32"/>
          <w:szCs w:val="32"/>
          <w:lang w:eastAsia="zh-CN"/>
        </w:rPr>
        <w:t>运行补助(冀财建【202</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】2</w:t>
      </w:r>
      <w:r>
        <w:rPr>
          <w:rFonts w:hint="eastAsia" w:ascii="仿宋" w:hAnsi="仿宋" w:eastAsia="仿宋" w:cs="仿宋"/>
          <w:sz w:val="32"/>
          <w:szCs w:val="32"/>
          <w:lang w:val="en-US" w:eastAsia="zh-CN"/>
        </w:rPr>
        <w:t>00</w:t>
      </w:r>
      <w:r>
        <w:rPr>
          <w:rFonts w:hint="eastAsia" w:ascii="仿宋" w:hAnsi="仿宋" w:eastAsia="仿宋" w:cs="仿宋"/>
          <w:sz w:val="32"/>
          <w:szCs w:val="32"/>
          <w:lang w:eastAsia="zh-CN"/>
        </w:rPr>
        <w:t>号)</w:t>
      </w:r>
      <w:r>
        <w:rPr>
          <w:rFonts w:hint="eastAsia" w:ascii="仿宋" w:hAnsi="仿宋" w:eastAsia="仿宋" w:cs="仿宋"/>
          <w:sz w:val="32"/>
          <w:szCs w:val="32"/>
          <w:lang w:val="en-US" w:eastAsia="zh-CN"/>
        </w:rPr>
        <w:t>34.3万元，</w:t>
      </w:r>
      <w:r>
        <w:rPr>
          <w:rFonts w:hint="eastAsia" w:ascii="仿宋" w:hAnsi="仿宋" w:eastAsia="仿宋" w:cs="仿宋"/>
          <w:sz w:val="32"/>
          <w:szCs w:val="32"/>
        </w:rPr>
        <w:t>住建局农村地区清洁取暖2021年改造任务设备补助（冀财建【2021】248号）</w:t>
      </w:r>
      <w:r>
        <w:rPr>
          <w:rFonts w:hint="eastAsia" w:ascii="仿宋" w:hAnsi="仿宋" w:eastAsia="仿宋" w:cs="仿宋"/>
          <w:sz w:val="32"/>
          <w:szCs w:val="32"/>
          <w:lang w:val="en-US" w:eastAsia="zh-CN"/>
        </w:rPr>
        <w:t>833万元</w:t>
      </w:r>
      <w:r>
        <w:rPr>
          <w:rFonts w:hint="eastAsia" w:ascii="仿宋" w:hAnsi="仿宋" w:eastAsia="仿宋" w:cs="仿宋"/>
          <w:sz w:val="32"/>
          <w:szCs w:val="32"/>
          <w:lang w:eastAsia="zh-CN"/>
        </w:rPr>
        <w:t>，住建局城区污水处理系统运营服务(县安排)59</w:t>
      </w:r>
      <w:r>
        <w:rPr>
          <w:rFonts w:hint="eastAsia" w:ascii="仿宋" w:hAnsi="仿宋" w:eastAsia="仿宋" w:cs="仿宋"/>
          <w:sz w:val="32"/>
          <w:szCs w:val="32"/>
          <w:lang w:val="en-US" w:eastAsia="zh-CN"/>
        </w:rPr>
        <w:t>0.9429万元，</w:t>
      </w:r>
      <w:r>
        <w:rPr>
          <w:rFonts w:hint="eastAsia" w:ascii="仿宋" w:hAnsi="仿宋" w:eastAsia="仿宋" w:cs="仿宋"/>
          <w:sz w:val="32"/>
          <w:szCs w:val="32"/>
          <w:lang w:eastAsia="zh-CN"/>
        </w:rPr>
        <w:t>住建局垃圾填埋场渗滤液处理（县安排）</w:t>
      </w:r>
      <w:r>
        <w:rPr>
          <w:rFonts w:hint="eastAsia" w:ascii="仿宋" w:hAnsi="仿宋" w:eastAsia="仿宋" w:cs="仿宋"/>
          <w:sz w:val="32"/>
          <w:szCs w:val="32"/>
          <w:lang w:val="en-US" w:eastAsia="zh-CN"/>
        </w:rPr>
        <w:t>104万元，</w:t>
      </w:r>
      <w:r>
        <w:rPr>
          <w:rFonts w:hint="eastAsia" w:ascii="仿宋" w:hAnsi="仿宋" w:eastAsia="仿宋" w:cs="仿宋"/>
          <w:sz w:val="32"/>
          <w:szCs w:val="32"/>
          <w:lang w:eastAsia="zh-CN"/>
        </w:rPr>
        <w:t>住建局垃圾填埋场运行费（县安排）177.6</w:t>
      </w:r>
      <w:r>
        <w:rPr>
          <w:rFonts w:hint="eastAsia" w:ascii="仿宋" w:hAnsi="仿宋" w:eastAsia="仿宋" w:cs="仿宋"/>
          <w:sz w:val="32"/>
          <w:szCs w:val="32"/>
          <w:lang w:val="en-US" w:eastAsia="zh-CN"/>
        </w:rPr>
        <w:t>万元，</w:t>
      </w:r>
      <w:r>
        <w:rPr>
          <w:rFonts w:hint="eastAsia" w:ascii="仿宋" w:hAnsi="仿宋" w:eastAsia="仿宋" w:cs="仿宋"/>
          <w:color w:val="000000"/>
          <w:sz w:val="32"/>
          <w:szCs w:val="32"/>
        </w:rPr>
        <w:t>住建局赞皇县生活垃圾卫生填埋场环保设施提升改造（县安排）</w:t>
      </w:r>
      <w:r>
        <w:rPr>
          <w:rFonts w:hint="eastAsia" w:ascii="仿宋" w:hAnsi="仿宋" w:eastAsia="仿宋" w:cs="仿宋"/>
          <w:color w:val="000000"/>
          <w:sz w:val="32"/>
          <w:szCs w:val="32"/>
          <w:lang w:val="en-US" w:eastAsia="zh-CN"/>
        </w:rPr>
        <w:t>180</w:t>
      </w:r>
      <w:r>
        <w:rPr>
          <w:rFonts w:hint="eastAsia" w:ascii="仿宋" w:hAnsi="仿宋" w:eastAsia="仿宋" w:cs="仿宋"/>
          <w:sz w:val="32"/>
          <w:szCs w:val="32"/>
          <w:lang w:val="en-US" w:eastAsia="zh-CN"/>
        </w:rPr>
        <w:t>万元，</w:t>
      </w:r>
      <w:r>
        <w:rPr>
          <w:rFonts w:hint="eastAsia" w:ascii="仿宋" w:hAnsi="仿宋" w:eastAsia="仿宋" w:cs="仿宋"/>
          <w:sz w:val="32"/>
          <w:szCs w:val="32"/>
          <w:lang w:eastAsia="zh-CN"/>
        </w:rPr>
        <w:t>住建局污水管网维护管理（县安排）10</w:t>
      </w:r>
      <w:r>
        <w:rPr>
          <w:rFonts w:hint="eastAsia" w:ascii="仿宋" w:hAnsi="仿宋" w:eastAsia="仿宋" w:cs="仿宋"/>
          <w:sz w:val="32"/>
          <w:szCs w:val="32"/>
          <w:lang w:val="en-US" w:eastAsia="zh-CN"/>
        </w:rPr>
        <w:t>1.57925万元，</w:t>
      </w:r>
      <w:r>
        <w:rPr>
          <w:rFonts w:hint="eastAsia" w:ascii="仿宋" w:hAnsi="仿宋" w:eastAsia="仿宋" w:cs="仿宋"/>
          <w:sz w:val="32"/>
          <w:szCs w:val="32"/>
          <w:lang w:eastAsia="zh-CN"/>
        </w:rPr>
        <w:t>住建局城市公共设施维护与管理(县安排)</w:t>
      </w:r>
      <w:r>
        <w:rPr>
          <w:rFonts w:hint="eastAsia" w:ascii="仿宋" w:hAnsi="仿宋" w:eastAsia="仿宋" w:cs="仿宋"/>
          <w:sz w:val="32"/>
          <w:szCs w:val="32"/>
          <w:lang w:val="en-US" w:eastAsia="zh-CN"/>
        </w:rPr>
        <w:t>24万元，</w:t>
      </w:r>
      <w:r>
        <w:rPr>
          <w:rFonts w:hint="eastAsia" w:ascii="仿宋" w:hAnsi="仿宋" w:eastAsia="仿宋" w:cs="仿宋"/>
          <w:sz w:val="32"/>
          <w:szCs w:val="32"/>
          <w:lang w:eastAsia="zh-CN"/>
        </w:rPr>
        <w:t>住建局城乡环卫一体化工作(县安排)23</w:t>
      </w:r>
      <w:r>
        <w:rPr>
          <w:rFonts w:hint="eastAsia" w:ascii="仿宋" w:hAnsi="仿宋" w:eastAsia="仿宋" w:cs="仿宋"/>
          <w:sz w:val="32"/>
          <w:szCs w:val="32"/>
          <w:lang w:val="en-US" w:eastAsia="zh-CN"/>
        </w:rPr>
        <w:t>30</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41万元，</w:t>
      </w:r>
      <w:r>
        <w:rPr>
          <w:rFonts w:hint="eastAsia" w:ascii="仿宋" w:hAnsi="仿宋" w:eastAsia="仿宋" w:cs="仿宋"/>
          <w:sz w:val="32"/>
          <w:szCs w:val="32"/>
          <w:lang w:eastAsia="zh-CN"/>
        </w:rPr>
        <w:t>住建局公园及县城街道绿化管护费(县安排)</w:t>
      </w:r>
      <w:r>
        <w:rPr>
          <w:rFonts w:hint="eastAsia" w:ascii="仿宋" w:hAnsi="仿宋" w:eastAsia="仿宋" w:cs="仿宋"/>
          <w:sz w:val="32"/>
          <w:szCs w:val="32"/>
          <w:lang w:val="en-US" w:eastAsia="zh-CN"/>
        </w:rPr>
        <w:t>19.8312万元，</w:t>
      </w:r>
      <w:r>
        <w:rPr>
          <w:rFonts w:hint="eastAsia" w:ascii="仿宋" w:hAnsi="仿宋" w:eastAsia="仿宋" w:cs="仿宋"/>
          <w:sz w:val="32"/>
          <w:szCs w:val="32"/>
          <w:lang w:eastAsia="zh-CN"/>
        </w:rPr>
        <w:t>住建局环境卫生工作（县安排）</w:t>
      </w:r>
      <w:r>
        <w:rPr>
          <w:rFonts w:hint="eastAsia" w:ascii="仿宋" w:hAnsi="仿宋" w:eastAsia="仿宋" w:cs="仿宋"/>
          <w:sz w:val="32"/>
          <w:szCs w:val="32"/>
          <w:lang w:val="en-US" w:eastAsia="zh-CN"/>
        </w:rPr>
        <w:t>700万元，</w:t>
      </w:r>
      <w:r>
        <w:rPr>
          <w:rFonts w:hint="eastAsia" w:ascii="仿宋" w:hAnsi="仿宋" w:eastAsia="仿宋" w:cs="仿宋"/>
          <w:sz w:val="32"/>
          <w:szCs w:val="32"/>
          <w:lang w:eastAsia="zh-CN"/>
        </w:rPr>
        <w:t>住建局农村危房改造(县安排)</w:t>
      </w:r>
      <w:r>
        <w:rPr>
          <w:rFonts w:hint="eastAsia" w:ascii="仿宋" w:hAnsi="仿宋" w:eastAsia="仿宋" w:cs="仿宋"/>
          <w:sz w:val="32"/>
          <w:szCs w:val="32"/>
          <w:lang w:val="en-US" w:eastAsia="zh-CN"/>
        </w:rPr>
        <w:t>15万元，</w:t>
      </w:r>
      <w:r>
        <w:rPr>
          <w:rFonts w:hint="eastAsia" w:ascii="仿宋" w:hAnsi="仿宋" w:eastAsia="仿宋" w:cs="仿宋"/>
          <w:sz w:val="32"/>
          <w:szCs w:val="32"/>
          <w:lang w:eastAsia="zh-CN"/>
        </w:rPr>
        <w:t>住建局森林公园、龙门游园、街旁绿地等绿化管护费（县安排）</w:t>
      </w:r>
      <w:r>
        <w:rPr>
          <w:rFonts w:hint="eastAsia" w:ascii="仿宋" w:hAnsi="仿宋" w:eastAsia="仿宋" w:cs="仿宋"/>
          <w:sz w:val="32"/>
          <w:szCs w:val="32"/>
          <w:lang w:val="en-US" w:eastAsia="zh-CN"/>
        </w:rPr>
        <w:t>328万元，</w:t>
      </w:r>
      <w:r>
        <w:rPr>
          <w:rFonts w:hint="eastAsia" w:ascii="仿宋" w:hAnsi="仿宋" w:eastAsia="仿宋" w:cs="仿宋"/>
          <w:sz w:val="32"/>
          <w:szCs w:val="32"/>
          <w:lang w:eastAsia="zh-CN"/>
        </w:rPr>
        <w:t>住建局市政设施维护与管理(县安排)180</w:t>
      </w:r>
      <w:r>
        <w:rPr>
          <w:rFonts w:hint="eastAsia" w:ascii="仿宋" w:hAnsi="仿宋" w:eastAsia="仿宋" w:cs="仿宋"/>
          <w:sz w:val="32"/>
          <w:szCs w:val="32"/>
          <w:lang w:val="en-US" w:eastAsia="zh-CN"/>
        </w:rPr>
        <w:t>万元，住建局赞皇县住房租赁市场发展（石财城【2021】45号）1885万元，</w:t>
      </w:r>
      <w:r>
        <w:rPr>
          <w:rFonts w:hint="eastAsia" w:ascii="仿宋" w:hAnsi="仿宋" w:eastAsia="仿宋" w:cs="仿宋"/>
          <w:color w:val="000000"/>
          <w:sz w:val="32"/>
          <w:szCs w:val="32"/>
        </w:rPr>
        <w:t>住建局赞皇县住房租赁市场发展（石财城【2021】34号）</w:t>
      </w:r>
      <w:r>
        <w:rPr>
          <w:rFonts w:hint="eastAsia" w:ascii="仿宋" w:hAnsi="仿宋" w:eastAsia="仿宋" w:cs="仿宋"/>
          <w:color w:val="000000"/>
          <w:sz w:val="32"/>
          <w:szCs w:val="32"/>
          <w:lang w:val="en-US" w:eastAsia="zh-CN"/>
        </w:rPr>
        <w:t>1885万元</w:t>
      </w:r>
      <w:r>
        <w:rPr>
          <w:rFonts w:hint="eastAsia" w:ascii="仿宋" w:hAnsi="仿宋" w:eastAsia="仿宋" w:cs="仿宋"/>
          <w:sz w:val="32"/>
          <w:szCs w:val="32"/>
          <w:lang w:val="en-US" w:eastAsia="zh-CN"/>
        </w:rPr>
        <w:t xml:space="preserve">。 </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spacing w:before="10" w:after="10"/>
        <w:ind w:firstLine="560"/>
        <w:jc w:val="left"/>
        <w:outlineLvl w:val="1"/>
        <w:rPr>
          <w:rFonts w:hint="eastAsia" w:ascii="仿宋" w:hAnsi="仿宋" w:eastAsia="仿宋" w:cs="仿宋"/>
          <w:sz w:val="32"/>
          <w:szCs w:val="32"/>
        </w:rPr>
      </w:pPr>
      <w:bookmarkStart w:id="0" w:name="_Toc_2_2_0000000001"/>
      <w:r>
        <w:rPr>
          <w:rFonts w:hint="eastAsia" w:ascii="楷体" w:hAnsi="楷体" w:eastAsia="楷体" w:cs="楷体"/>
          <w:b/>
          <w:bCs/>
          <w:color w:val="000000"/>
          <w:sz w:val="32"/>
          <w:szCs w:val="32"/>
          <w:lang w:val="en-US" w:eastAsia="zh-CN"/>
        </w:rPr>
        <w:t>1</w:t>
      </w:r>
      <w:r>
        <w:rPr>
          <w:rFonts w:hint="eastAsia" w:ascii="楷体" w:hAnsi="楷体" w:eastAsia="楷体" w:cs="楷体"/>
          <w:b/>
          <w:bCs/>
          <w:color w:val="000000"/>
          <w:sz w:val="32"/>
          <w:szCs w:val="32"/>
        </w:rPr>
        <w:t>、总体绩效目标</w:t>
      </w:r>
      <w:bookmarkEnd w:id="0"/>
    </w:p>
    <w:p>
      <w:pPr>
        <w:pStyle w:val="9"/>
        <w:rPr>
          <w:rFonts w:hint="eastAsia" w:ascii="仿宋" w:hAnsi="仿宋" w:eastAsia="仿宋" w:cs="仿宋"/>
          <w:sz w:val="32"/>
          <w:szCs w:val="32"/>
        </w:rPr>
      </w:pPr>
      <w:r>
        <w:rPr>
          <w:rFonts w:hint="eastAsia" w:ascii="仿宋" w:hAnsi="仿宋" w:eastAsia="仿宋" w:cs="仿宋"/>
          <w:sz w:val="32"/>
          <w:szCs w:val="32"/>
        </w:rPr>
        <w:t>提高住房保障效率，着力改善城镇住房困难家庭居住条件；加强燃气行业监管，进一步规范燃气行业管理，坚持源头管控与点面管控相结合，加强气源企业与跟踪服务确保燃气行业安全稳定；完善基础设施建设，加快市政公用、园林绿化、供热供气、污水垃圾处理等基础设施建设，提供城市综合承载力；增强建筑企业竞争力，保障建筑业以及房地产市场健康稳定发展；强化绿色发展理念，实现新建建筑节能设计达到100%要求，新建居住建筑执行75%节能标准，公共建筑65%以上的节能标准，大力提升建筑能效；进一步规范行政执法行为，执法水平进一步提高，违法行为得到及时查处，违法建设情况得到有效遏制；促进行业人才队伍建设，夯实人才支撑，为打造“绿水青山就是金山银山”的赞皇实践、赞皇样板作出更大贡献。</w:t>
      </w:r>
    </w:p>
    <w:p>
      <w:pPr>
        <w:spacing w:before="10" w:after="10"/>
        <w:ind w:firstLine="560"/>
        <w:jc w:val="left"/>
        <w:outlineLvl w:val="1"/>
        <w:rPr>
          <w:rFonts w:hint="eastAsia" w:ascii="仿宋" w:hAnsi="仿宋" w:eastAsia="仿宋" w:cs="仿宋"/>
          <w:sz w:val="32"/>
          <w:szCs w:val="32"/>
        </w:rPr>
      </w:pPr>
      <w:bookmarkStart w:id="1" w:name="_Toc_2_2_0000000002"/>
      <w:r>
        <w:rPr>
          <w:rFonts w:hint="eastAsia" w:ascii="楷体" w:hAnsi="楷体" w:eastAsia="楷体" w:cs="楷体"/>
          <w:b/>
          <w:bCs/>
          <w:color w:val="000000"/>
          <w:sz w:val="32"/>
          <w:szCs w:val="32"/>
          <w:lang w:val="en-US" w:eastAsia="zh-CN"/>
        </w:rPr>
        <w:t>2</w:t>
      </w:r>
      <w:r>
        <w:rPr>
          <w:rFonts w:hint="eastAsia" w:ascii="楷体" w:hAnsi="楷体" w:eastAsia="楷体" w:cs="楷体"/>
          <w:b/>
          <w:bCs/>
          <w:color w:val="000000"/>
          <w:sz w:val="32"/>
          <w:szCs w:val="32"/>
        </w:rPr>
        <w:t>、分项绩效目标</w:t>
      </w:r>
      <w:bookmarkEnd w:id="1"/>
    </w:p>
    <w:p>
      <w:pPr>
        <w:pStyle w:val="10"/>
        <w:rPr>
          <w:rFonts w:hint="eastAsia" w:ascii="仿宋" w:hAnsi="仿宋" w:eastAsia="仿宋" w:cs="仿宋"/>
          <w:sz w:val="32"/>
          <w:szCs w:val="32"/>
        </w:rPr>
      </w:pPr>
      <w:r>
        <w:rPr>
          <w:rFonts w:hint="eastAsia" w:ascii="仿宋" w:hAnsi="仿宋" w:eastAsia="仿宋" w:cs="仿宋"/>
          <w:sz w:val="32"/>
          <w:szCs w:val="32"/>
        </w:rPr>
        <w:t>部门职责分类绩效目标情况说明</w:t>
      </w:r>
    </w:p>
    <w:p>
      <w:pPr>
        <w:pStyle w:val="10"/>
        <w:rPr>
          <w:rFonts w:hint="eastAsia" w:ascii="仿宋" w:hAnsi="仿宋" w:eastAsia="仿宋" w:cs="仿宋"/>
          <w:b/>
          <w:bCs/>
          <w:sz w:val="32"/>
          <w:szCs w:val="32"/>
        </w:rPr>
      </w:pPr>
      <w:r>
        <w:rPr>
          <w:rFonts w:hint="eastAsia" w:ascii="仿宋" w:hAnsi="仿宋" w:eastAsia="仿宋" w:cs="仿宋"/>
          <w:b/>
          <w:bCs/>
          <w:sz w:val="32"/>
          <w:szCs w:val="32"/>
          <w:lang w:eastAsia="zh-CN"/>
        </w:rPr>
        <w:t>（</w:t>
      </w:r>
      <w:r>
        <w:rPr>
          <w:rFonts w:hint="eastAsia" w:ascii="仿宋" w:hAnsi="仿宋" w:eastAsia="仿宋" w:cs="仿宋"/>
          <w:b/>
          <w:bCs/>
          <w:sz w:val="32"/>
          <w:szCs w:val="32"/>
          <w:lang w:val="en-US" w:eastAsia="zh-CN"/>
        </w:rPr>
        <w:t>1</w:t>
      </w:r>
      <w:r>
        <w:rPr>
          <w:rFonts w:hint="eastAsia" w:ascii="仿宋" w:hAnsi="仿宋" w:eastAsia="仿宋" w:cs="仿宋"/>
          <w:b/>
          <w:bCs/>
          <w:sz w:val="32"/>
          <w:szCs w:val="32"/>
          <w:lang w:eastAsia="zh-CN"/>
        </w:rPr>
        <w:t>）</w:t>
      </w:r>
      <w:r>
        <w:rPr>
          <w:rFonts w:hint="eastAsia" w:ascii="仿宋" w:hAnsi="仿宋" w:eastAsia="仿宋" w:cs="仿宋"/>
          <w:b/>
          <w:bCs/>
          <w:sz w:val="32"/>
          <w:szCs w:val="32"/>
        </w:rPr>
        <w:t>住房保障管理</w:t>
      </w:r>
    </w:p>
    <w:p>
      <w:pPr>
        <w:pStyle w:val="10"/>
        <w:rPr>
          <w:rFonts w:hint="eastAsia" w:ascii="仿宋" w:hAnsi="仿宋" w:eastAsia="仿宋" w:cs="仿宋"/>
          <w:sz w:val="32"/>
          <w:szCs w:val="32"/>
        </w:rPr>
      </w:pPr>
      <w:r>
        <w:rPr>
          <w:rFonts w:hint="eastAsia" w:ascii="仿宋" w:hAnsi="仿宋" w:eastAsia="仿宋" w:cs="仿宋"/>
          <w:sz w:val="32"/>
          <w:szCs w:val="32"/>
        </w:rPr>
        <w:t>绩效目标：确保完成省市下达我县保障性安居工程建设责任目标。全面加快棚户区改造，鼓励和引导推行货币化安置和政府购买棚改服务工作。进一步健全保障性住房分配管理机制，做到准入标准科学、审核程序规范、分配过程公开、退出管理严格。</w:t>
      </w:r>
    </w:p>
    <w:p>
      <w:pPr>
        <w:pStyle w:val="10"/>
        <w:rPr>
          <w:rFonts w:hint="eastAsia" w:ascii="仿宋" w:hAnsi="仿宋" w:eastAsia="仿宋" w:cs="仿宋"/>
          <w:sz w:val="32"/>
          <w:szCs w:val="32"/>
        </w:rPr>
      </w:pPr>
      <w:r>
        <w:rPr>
          <w:rFonts w:hint="eastAsia" w:ascii="仿宋" w:hAnsi="仿宋" w:eastAsia="仿宋" w:cs="仿宋"/>
          <w:sz w:val="32"/>
          <w:szCs w:val="32"/>
        </w:rPr>
        <w:t>绩效指标：完成合格率，100%为优，95%以上为良，90%以上为中，90%以下为差。</w:t>
      </w:r>
    </w:p>
    <w:p>
      <w:pPr>
        <w:pStyle w:val="10"/>
        <w:rPr>
          <w:rFonts w:hint="eastAsia" w:ascii="仿宋" w:hAnsi="仿宋" w:eastAsia="仿宋" w:cs="仿宋"/>
          <w:b/>
          <w:bCs/>
          <w:sz w:val="32"/>
          <w:szCs w:val="32"/>
        </w:rPr>
      </w:pPr>
      <w:r>
        <w:rPr>
          <w:rFonts w:hint="eastAsia" w:ascii="仿宋" w:hAnsi="仿宋" w:eastAsia="仿宋" w:cs="仿宋"/>
          <w:b/>
          <w:bCs/>
          <w:sz w:val="32"/>
          <w:szCs w:val="32"/>
          <w:lang w:eastAsia="zh-CN"/>
        </w:rPr>
        <w:t>（</w:t>
      </w:r>
      <w:r>
        <w:rPr>
          <w:rFonts w:hint="eastAsia" w:ascii="仿宋" w:hAnsi="仿宋" w:eastAsia="仿宋" w:cs="仿宋"/>
          <w:b/>
          <w:bCs/>
          <w:sz w:val="32"/>
          <w:szCs w:val="32"/>
          <w:lang w:val="en-US" w:eastAsia="zh-CN"/>
        </w:rPr>
        <w:t>2</w:t>
      </w:r>
      <w:r>
        <w:rPr>
          <w:rFonts w:hint="eastAsia" w:ascii="仿宋" w:hAnsi="仿宋" w:eastAsia="仿宋" w:cs="仿宋"/>
          <w:b/>
          <w:bCs/>
          <w:sz w:val="32"/>
          <w:szCs w:val="32"/>
          <w:lang w:eastAsia="zh-CN"/>
        </w:rPr>
        <w:t>）</w:t>
      </w:r>
      <w:r>
        <w:rPr>
          <w:rFonts w:hint="eastAsia" w:ascii="仿宋" w:hAnsi="仿宋" w:eastAsia="仿宋" w:cs="仿宋"/>
          <w:b/>
          <w:bCs/>
          <w:sz w:val="32"/>
          <w:szCs w:val="32"/>
        </w:rPr>
        <w:t>城乡建设管理</w:t>
      </w:r>
    </w:p>
    <w:p>
      <w:pPr>
        <w:pStyle w:val="10"/>
        <w:rPr>
          <w:rFonts w:hint="eastAsia" w:ascii="仿宋" w:hAnsi="仿宋" w:eastAsia="仿宋" w:cs="仿宋"/>
          <w:sz w:val="32"/>
          <w:szCs w:val="32"/>
        </w:rPr>
      </w:pPr>
      <w:r>
        <w:rPr>
          <w:rFonts w:hint="eastAsia" w:ascii="仿宋" w:hAnsi="仿宋" w:eastAsia="仿宋" w:cs="仿宋"/>
          <w:sz w:val="32"/>
          <w:szCs w:val="32"/>
        </w:rPr>
        <w:t>绩效目标：以统筹城乡发展为主线，以抓试点、抓示范和加强工作指导为基本方法，以新的视角、新的理念推动城乡建设工作，提高城乡建设水平，城市基础设施系统更加完善，综合功能明显增强，环境更加优美，城市管理更加精细，城市更加宜居、舒适。</w:t>
      </w:r>
    </w:p>
    <w:p>
      <w:pPr>
        <w:pStyle w:val="10"/>
        <w:rPr>
          <w:rFonts w:hint="eastAsia" w:ascii="仿宋" w:hAnsi="仿宋" w:eastAsia="仿宋" w:cs="仿宋"/>
          <w:sz w:val="32"/>
          <w:szCs w:val="32"/>
        </w:rPr>
      </w:pPr>
      <w:r>
        <w:rPr>
          <w:rFonts w:hint="eastAsia" w:ascii="仿宋" w:hAnsi="仿宋" w:eastAsia="仿宋" w:cs="仿宋"/>
          <w:sz w:val="32"/>
          <w:szCs w:val="32"/>
        </w:rPr>
        <w:t>绩效指标：市政公用事业基础设施建设及维护工作目标完成率大于等于90%，公园绿地、植树保护完成率大于等于90%，城区住宅供热计量收费率大于等于30%，数字化城管平台使用率大于等于90%，机械化清扫率大于等于90%，城乡环卫一体化清理率100%，污水处理率大于等于90%，垃圾处理率大于等于90%，城市管理行政执法工作任务完成率大于等于90%。</w:t>
      </w:r>
    </w:p>
    <w:p>
      <w:pPr>
        <w:pStyle w:val="10"/>
        <w:rPr>
          <w:rFonts w:hint="eastAsia" w:ascii="仿宋" w:hAnsi="仿宋" w:eastAsia="仿宋" w:cs="仿宋"/>
          <w:b/>
          <w:bCs/>
          <w:sz w:val="32"/>
          <w:szCs w:val="32"/>
        </w:rPr>
      </w:pPr>
      <w:r>
        <w:rPr>
          <w:rFonts w:hint="eastAsia" w:ascii="仿宋" w:hAnsi="仿宋" w:eastAsia="仿宋" w:cs="仿宋"/>
          <w:b/>
          <w:bCs/>
          <w:sz w:val="32"/>
          <w:szCs w:val="32"/>
          <w:lang w:eastAsia="zh-CN"/>
        </w:rPr>
        <w:t>（</w:t>
      </w:r>
      <w:r>
        <w:rPr>
          <w:rFonts w:hint="eastAsia" w:ascii="仿宋" w:hAnsi="仿宋" w:eastAsia="仿宋" w:cs="仿宋"/>
          <w:b/>
          <w:bCs/>
          <w:sz w:val="32"/>
          <w:szCs w:val="32"/>
          <w:lang w:val="en-US" w:eastAsia="zh-CN"/>
        </w:rPr>
        <w:t>3</w:t>
      </w:r>
      <w:r>
        <w:rPr>
          <w:rFonts w:hint="eastAsia" w:ascii="仿宋" w:hAnsi="仿宋" w:eastAsia="仿宋" w:cs="仿宋"/>
          <w:b/>
          <w:bCs/>
          <w:sz w:val="32"/>
          <w:szCs w:val="32"/>
          <w:lang w:eastAsia="zh-CN"/>
        </w:rPr>
        <w:t>）</w:t>
      </w:r>
      <w:r>
        <w:rPr>
          <w:rFonts w:hint="eastAsia" w:ascii="仿宋" w:hAnsi="仿宋" w:eastAsia="仿宋" w:cs="仿宋"/>
          <w:b/>
          <w:bCs/>
          <w:sz w:val="32"/>
          <w:szCs w:val="32"/>
        </w:rPr>
        <w:t>建筑业、房地产市场监管</w:t>
      </w:r>
    </w:p>
    <w:p>
      <w:pPr>
        <w:pStyle w:val="10"/>
        <w:rPr>
          <w:rFonts w:hint="eastAsia" w:ascii="仿宋" w:hAnsi="仿宋" w:eastAsia="仿宋" w:cs="仿宋"/>
          <w:sz w:val="32"/>
          <w:szCs w:val="32"/>
        </w:rPr>
      </w:pPr>
      <w:r>
        <w:rPr>
          <w:rFonts w:hint="eastAsia" w:ascii="仿宋" w:hAnsi="仿宋" w:eastAsia="仿宋" w:cs="仿宋"/>
          <w:sz w:val="32"/>
          <w:szCs w:val="32"/>
        </w:rPr>
        <w:t>绩效目标：做好房地产市场监管的房屋登记、房屋概况、房屋征收、房屋拆迁、住房维修资金的统计报表工作。对房地产开发企业、房地产中介机构、物业服务企业中存在的扰乱市场秩序的行为进行专项治理。完善政策措施，规范服务行为，提高物业服务质量。进一步加强房屋征收拆迁管理。规范建筑市场各方主体行为，促进建筑市场健康发展，完善防范拖欠工程款和农民工工资的长效机制，加大监督检查力度，推行建筑劳务实名制、农民工工资预储金，防止拖欠农民工工资。维护建筑市场秩序，保证建筑工程的质量和安全，保障人民生命财产安全，促进建筑业健康发展。</w:t>
      </w:r>
    </w:p>
    <w:p>
      <w:pPr>
        <w:pStyle w:val="10"/>
        <w:rPr>
          <w:rFonts w:hint="eastAsia" w:ascii="仿宋" w:hAnsi="仿宋" w:eastAsia="仿宋" w:cs="仿宋"/>
          <w:sz w:val="32"/>
          <w:szCs w:val="32"/>
        </w:rPr>
      </w:pPr>
      <w:r>
        <w:rPr>
          <w:rFonts w:hint="eastAsia" w:ascii="仿宋" w:hAnsi="仿宋" w:eastAsia="仿宋" w:cs="仿宋"/>
          <w:sz w:val="32"/>
          <w:szCs w:val="32"/>
        </w:rPr>
        <w:t>绩效指标：工程质量投诉结案率大于等于85%，建筑工程施工现场达标率100%，施工图设计文件审查率大于等于90%,房地产市场统计分析工作完成及时率大于等于90%。</w:t>
      </w:r>
    </w:p>
    <w:p>
      <w:pPr>
        <w:pStyle w:val="10"/>
        <w:rPr>
          <w:rFonts w:hint="eastAsia" w:ascii="仿宋" w:hAnsi="仿宋" w:eastAsia="仿宋" w:cs="仿宋"/>
          <w:b/>
          <w:bCs/>
          <w:sz w:val="32"/>
          <w:szCs w:val="32"/>
        </w:rPr>
      </w:pPr>
      <w:r>
        <w:rPr>
          <w:rFonts w:hint="eastAsia" w:ascii="仿宋" w:hAnsi="仿宋" w:eastAsia="仿宋" w:cs="仿宋"/>
          <w:b/>
          <w:bCs/>
          <w:sz w:val="32"/>
          <w:szCs w:val="32"/>
          <w:lang w:eastAsia="zh-CN"/>
        </w:rPr>
        <w:t>（</w:t>
      </w:r>
      <w:r>
        <w:rPr>
          <w:rFonts w:hint="eastAsia" w:ascii="仿宋" w:hAnsi="仿宋" w:eastAsia="仿宋" w:cs="仿宋"/>
          <w:b/>
          <w:bCs/>
          <w:sz w:val="32"/>
          <w:szCs w:val="32"/>
          <w:lang w:val="en-US" w:eastAsia="zh-CN"/>
        </w:rPr>
        <w:t>4</w:t>
      </w:r>
      <w:r>
        <w:rPr>
          <w:rFonts w:hint="eastAsia" w:ascii="仿宋" w:hAnsi="仿宋" w:eastAsia="仿宋" w:cs="仿宋"/>
          <w:b/>
          <w:bCs/>
          <w:sz w:val="32"/>
          <w:szCs w:val="32"/>
          <w:lang w:eastAsia="zh-CN"/>
        </w:rPr>
        <w:t>）</w:t>
      </w:r>
      <w:r>
        <w:rPr>
          <w:rFonts w:hint="eastAsia" w:ascii="仿宋" w:hAnsi="仿宋" w:eastAsia="仿宋" w:cs="仿宋"/>
          <w:b/>
          <w:bCs/>
          <w:sz w:val="32"/>
          <w:szCs w:val="32"/>
        </w:rPr>
        <w:t>推进建筑节能</w:t>
      </w:r>
    </w:p>
    <w:p>
      <w:pPr>
        <w:pStyle w:val="10"/>
        <w:rPr>
          <w:rFonts w:hint="eastAsia" w:ascii="仿宋" w:hAnsi="仿宋" w:eastAsia="仿宋" w:cs="仿宋"/>
          <w:sz w:val="32"/>
          <w:szCs w:val="32"/>
        </w:rPr>
      </w:pPr>
      <w:r>
        <w:rPr>
          <w:rFonts w:hint="eastAsia" w:ascii="仿宋" w:hAnsi="仿宋" w:eastAsia="仿宋" w:cs="仿宋"/>
          <w:sz w:val="32"/>
          <w:szCs w:val="32"/>
        </w:rPr>
        <w:t>绩效目标：保护环境、节约能源。</w:t>
      </w:r>
    </w:p>
    <w:p>
      <w:pPr>
        <w:pStyle w:val="10"/>
        <w:rPr>
          <w:rFonts w:hint="eastAsia" w:ascii="仿宋" w:hAnsi="仿宋" w:eastAsia="仿宋" w:cs="仿宋"/>
          <w:sz w:val="32"/>
          <w:szCs w:val="32"/>
        </w:rPr>
      </w:pPr>
      <w:r>
        <w:rPr>
          <w:rFonts w:hint="eastAsia" w:ascii="仿宋" w:hAnsi="仿宋" w:eastAsia="仿宋" w:cs="仿宋"/>
          <w:sz w:val="32"/>
          <w:szCs w:val="32"/>
        </w:rPr>
        <w:t>绩效指标：新墙材利用率，95%以上为优，80%以上为良，60%以上为中，60%以下为差。</w:t>
      </w:r>
    </w:p>
    <w:p>
      <w:pPr>
        <w:pStyle w:val="10"/>
        <w:rPr>
          <w:rFonts w:hint="eastAsia" w:ascii="仿宋" w:hAnsi="仿宋" w:eastAsia="仿宋" w:cs="仿宋"/>
          <w:b/>
          <w:bCs/>
          <w:sz w:val="32"/>
          <w:szCs w:val="32"/>
        </w:rPr>
      </w:pPr>
      <w:r>
        <w:rPr>
          <w:rFonts w:hint="eastAsia" w:ascii="仿宋" w:hAnsi="仿宋" w:eastAsia="仿宋" w:cs="仿宋"/>
          <w:b/>
          <w:bCs/>
          <w:sz w:val="32"/>
          <w:szCs w:val="32"/>
          <w:lang w:eastAsia="zh-CN"/>
        </w:rPr>
        <w:t>（</w:t>
      </w:r>
      <w:r>
        <w:rPr>
          <w:rFonts w:hint="eastAsia" w:ascii="仿宋" w:hAnsi="仿宋" w:eastAsia="仿宋" w:cs="仿宋"/>
          <w:b/>
          <w:bCs/>
          <w:sz w:val="32"/>
          <w:szCs w:val="32"/>
          <w:lang w:val="en-US" w:eastAsia="zh-CN"/>
        </w:rPr>
        <w:t>5</w:t>
      </w:r>
      <w:r>
        <w:rPr>
          <w:rFonts w:hint="eastAsia" w:ascii="仿宋" w:hAnsi="仿宋" w:eastAsia="仿宋" w:cs="仿宋"/>
          <w:b/>
          <w:bCs/>
          <w:sz w:val="32"/>
          <w:szCs w:val="32"/>
          <w:lang w:eastAsia="zh-CN"/>
        </w:rPr>
        <w:t>）</w:t>
      </w:r>
      <w:r>
        <w:rPr>
          <w:rFonts w:hint="eastAsia" w:ascii="仿宋" w:hAnsi="仿宋" w:eastAsia="仿宋" w:cs="仿宋"/>
          <w:b/>
          <w:bCs/>
          <w:sz w:val="32"/>
          <w:szCs w:val="32"/>
        </w:rPr>
        <w:t>住建政务管理</w:t>
      </w:r>
    </w:p>
    <w:p>
      <w:pPr>
        <w:pStyle w:val="10"/>
        <w:rPr>
          <w:rFonts w:hint="eastAsia" w:ascii="仿宋" w:hAnsi="仿宋" w:eastAsia="仿宋" w:cs="仿宋"/>
          <w:sz w:val="32"/>
          <w:szCs w:val="32"/>
        </w:rPr>
      </w:pPr>
      <w:r>
        <w:rPr>
          <w:rFonts w:hint="eastAsia" w:ascii="仿宋" w:hAnsi="仿宋" w:eastAsia="仿宋" w:cs="仿宋"/>
          <w:sz w:val="32"/>
          <w:szCs w:val="32"/>
        </w:rPr>
        <w:t>绩效目标：加强全县住房城乡建设人才队伍建设，提高人才业务素质，激励工作热情，提高行业水平。提升机关及行业信息化水平，保障各类业务系统安全稳定运行；加大信息宣传力度，创造良好舆论氛围。规范审批行为，推进政务公开，增加服务意识，提高工作效率。</w:t>
      </w:r>
    </w:p>
    <w:p>
      <w:pPr>
        <w:adjustRightInd w:val="0"/>
        <w:snapToGrid w:val="0"/>
        <w:spacing w:line="56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rPr>
        <w:t>绩效指标：任务完成率，95%以上为优，80%以上为良，60%以上为中，60%以下为差。</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adjustRightInd w:val="0"/>
        <w:snapToGrid w:val="0"/>
        <w:spacing w:line="560" w:lineRule="exact"/>
        <w:ind w:firstLine="643" w:firstLineChars="200"/>
        <w:rPr>
          <w:rFonts w:ascii="仿宋" w:hAnsi="仿宋" w:eastAsia="仿宋" w:cs="楷体_GB2312"/>
          <w:sz w:val="32"/>
          <w:szCs w:val="32"/>
        </w:rPr>
      </w:pPr>
      <w:r>
        <w:rPr>
          <w:rFonts w:hint="eastAsia" w:ascii="仿宋" w:hAnsi="仿宋" w:eastAsia="仿宋" w:cs="楷体_GB2312"/>
          <w:b/>
          <w:bCs/>
          <w:sz w:val="32"/>
          <w:szCs w:val="32"/>
          <w:lang w:eastAsia="zh-CN"/>
        </w:rPr>
        <w:t>（一）</w:t>
      </w:r>
      <w:r>
        <w:rPr>
          <w:rFonts w:hint="eastAsia" w:ascii="楷体" w:hAnsi="楷体" w:eastAsia="楷体" w:cs="楷体_GB2312"/>
          <w:bCs/>
          <w:sz w:val="32"/>
          <w:szCs w:val="32"/>
        </w:rPr>
        <w:t>自评的组织工作</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sz w:val="32"/>
          <w:szCs w:val="32"/>
        </w:rPr>
        <w:t xml:space="preserve"> </w:t>
      </w:r>
      <w:r>
        <w:rPr>
          <w:rFonts w:hint="eastAsia" w:ascii="仿宋" w:hAnsi="仿宋" w:eastAsia="仿宋" w:cs="仿宋"/>
          <w:sz w:val="32"/>
          <w:szCs w:val="32"/>
        </w:rPr>
        <w:t>我</w:t>
      </w:r>
      <w:r>
        <w:rPr>
          <w:rFonts w:hint="eastAsia" w:ascii="仿宋" w:hAnsi="仿宋" w:eastAsia="仿宋" w:cs="仿宋"/>
          <w:sz w:val="32"/>
          <w:szCs w:val="32"/>
          <w:lang w:eastAsia="zh-CN"/>
        </w:rPr>
        <w:t>部门</w:t>
      </w:r>
      <w:r>
        <w:rPr>
          <w:rFonts w:hint="eastAsia" w:ascii="仿宋" w:hAnsi="仿宋" w:eastAsia="仿宋" w:cs="仿宋"/>
          <w:sz w:val="32"/>
          <w:szCs w:val="32"/>
          <w:lang w:val="en-US" w:eastAsia="zh-CN"/>
        </w:rPr>
        <w:t>2022</w:t>
      </w:r>
      <w:r>
        <w:rPr>
          <w:rFonts w:hint="eastAsia" w:ascii="仿宋" w:hAnsi="仿宋" w:eastAsia="仿宋" w:cs="仿宋"/>
          <w:sz w:val="32"/>
          <w:szCs w:val="32"/>
        </w:rPr>
        <w:t>年度预算项目均按照相关管理制度执行，建立了工作有计划、实施有方案、日常有监督的管理机制，工作取得了较好的成效</w:t>
      </w:r>
      <w:r>
        <w:rPr>
          <w:rFonts w:hint="eastAsia" w:ascii="仿宋" w:hAnsi="仿宋" w:eastAsia="仿宋" w:cs="仿宋"/>
          <w:sz w:val="32"/>
          <w:szCs w:val="32"/>
          <w:lang w:eastAsia="zh-CN"/>
        </w:rPr>
        <w:t>。</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（二）自评的方法和过程</w:t>
      </w:r>
    </w:p>
    <w:p>
      <w:pPr>
        <w:keepNext w:val="0"/>
        <w:keepLines w:val="0"/>
        <w:pageBreakBefore w:val="0"/>
        <w:widowControl w:val="0"/>
        <w:kinsoku/>
        <w:wordWrap/>
        <w:overflowPunct/>
        <w:topLinePunct w:val="0"/>
        <w:autoSpaceDE/>
        <w:autoSpaceDN/>
        <w:bidi w:val="0"/>
        <w:adjustRightInd/>
        <w:snapToGrid/>
        <w:spacing w:line="520" w:lineRule="exact"/>
        <w:ind w:left="0" w:leftChars="0" w:right="0" w:rightChars="0" w:firstLine="640" w:firstLineChars="200"/>
        <w:jc w:val="both"/>
        <w:textAlignment w:val="auto"/>
        <w:outlineLvl w:val="9"/>
        <w:rPr>
          <w:rFonts w:ascii="楷体" w:hAnsi="楷体" w:eastAsia="楷体" w:cs="楷体_GB2312"/>
          <w:bCs/>
          <w:sz w:val="32"/>
          <w:szCs w:val="32"/>
        </w:rPr>
      </w:pPr>
      <w:r>
        <w:rPr>
          <w:rFonts w:hint="eastAsia" w:ascii="仿宋" w:hAnsi="仿宋" w:eastAsia="仿宋" w:cs="仿宋"/>
          <w:sz w:val="32"/>
          <w:szCs w:val="32"/>
        </w:rPr>
        <w:t>我</w:t>
      </w:r>
      <w:r>
        <w:rPr>
          <w:rFonts w:hint="eastAsia" w:ascii="仿宋" w:hAnsi="仿宋" w:eastAsia="仿宋" w:cs="仿宋"/>
          <w:sz w:val="32"/>
          <w:szCs w:val="32"/>
          <w:lang w:eastAsia="zh-CN"/>
        </w:rPr>
        <w:t>部门</w:t>
      </w:r>
      <w:r>
        <w:rPr>
          <w:rFonts w:hint="eastAsia" w:ascii="仿宋" w:hAnsi="仿宋" w:eastAsia="仿宋" w:cs="仿宋"/>
          <w:sz w:val="32"/>
          <w:szCs w:val="32"/>
        </w:rPr>
        <w:t>项目资金的实施经</w:t>
      </w:r>
      <w:r>
        <w:rPr>
          <w:rFonts w:hint="eastAsia" w:ascii="仿宋" w:hAnsi="仿宋" w:eastAsia="仿宋" w:cs="仿宋"/>
          <w:sz w:val="32"/>
          <w:szCs w:val="32"/>
          <w:lang w:eastAsia="zh-CN"/>
        </w:rPr>
        <w:t>县</w:t>
      </w:r>
      <w:r>
        <w:rPr>
          <w:rFonts w:hint="eastAsia" w:ascii="仿宋" w:hAnsi="仿宋" w:eastAsia="仿宋" w:cs="仿宋"/>
          <w:sz w:val="32"/>
          <w:szCs w:val="32"/>
        </w:rPr>
        <w:t>财政局审核后,按照相关要求，认真组织项目实施，项目完</w:t>
      </w:r>
      <w:r>
        <w:rPr>
          <w:rFonts w:hint="eastAsia" w:ascii="仿宋" w:hAnsi="仿宋" w:eastAsia="仿宋" w:cs="仿宋"/>
          <w:sz w:val="32"/>
          <w:szCs w:val="32"/>
          <w:lang w:eastAsia="zh-CN"/>
        </w:rPr>
        <w:t>成</w:t>
      </w:r>
      <w:r>
        <w:rPr>
          <w:rFonts w:hint="eastAsia" w:ascii="仿宋" w:hAnsi="仿宋" w:eastAsia="仿宋" w:cs="仿宋"/>
          <w:sz w:val="32"/>
          <w:szCs w:val="32"/>
        </w:rPr>
        <w:t>后，并实施日常检查和监督管理。</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2"/>
        </w:numPr>
        <w:spacing w:line="560" w:lineRule="exact"/>
        <w:ind w:left="-10" w:leftChars="0" w:firstLine="640" w:firstLineChars="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pStyle w:val="2"/>
        <w:ind w:left="0" w:leftChars="0" w:firstLine="640" w:firstLineChars="200"/>
        <w:rPr>
          <w:rFonts w:hint="eastAsia" w:ascii="仿宋" w:hAnsi="仿宋" w:eastAsia="仿宋" w:cs="仿宋"/>
          <w:sz w:val="32"/>
          <w:szCs w:val="32"/>
        </w:rPr>
      </w:pPr>
      <w:r>
        <w:rPr>
          <w:rFonts w:hint="eastAsia" w:ascii="仿宋" w:hAnsi="仿宋" w:eastAsia="仿宋"/>
          <w:sz w:val="32"/>
          <w:szCs w:val="32"/>
        </w:rPr>
        <w:t>圆满完成</w:t>
      </w:r>
      <w:r>
        <w:rPr>
          <w:rFonts w:hint="eastAsia" w:ascii="仿宋" w:hAnsi="仿宋" w:eastAsia="仿宋"/>
          <w:sz w:val="32"/>
          <w:szCs w:val="32"/>
          <w:lang w:val="en-US" w:eastAsia="zh-CN"/>
        </w:rPr>
        <w:t>20套人才公寓装修</w:t>
      </w:r>
      <w:r>
        <w:rPr>
          <w:rFonts w:hint="eastAsia" w:ascii="仿宋" w:hAnsi="仿宋" w:eastAsia="仿宋"/>
          <w:sz w:val="32"/>
          <w:szCs w:val="32"/>
        </w:rPr>
        <w:t>工作任务，</w:t>
      </w:r>
      <w:r>
        <w:rPr>
          <w:rFonts w:hint="eastAsia" w:ascii="仿宋" w:hAnsi="仿宋" w:eastAsia="仿宋"/>
          <w:sz w:val="32"/>
          <w:szCs w:val="32"/>
          <w:lang w:val="en-US" w:eastAsia="zh-CN"/>
        </w:rPr>
        <w:t>进行</w:t>
      </w:r>
      <w:r>
        <w:rPr>
          <w:rFonts w:hint="eastAsia" w:ascii="仿宋_GB2312" w:hAnsi="仿宋_GB2312" w:eastAsia="仿宋_GB2312" w:cs="仿宋_GB2312"/>
          <w:sz w:val="32"/>
          <w:szCs w:val="32"/>
          <w:lang w:val="en-US" w:eastAsia="zh-CN"/>
        </w:rPr>
        <w:t>简单装修购置适当基础性生活配套设施，使人才能够拎包入住</w:t>
      </w:r>
      <w:r>
        <w:rPr>
          <w:rFonts w:hint="eastAsia" w:ascii="仿宋" w:hAnsi="仿宋" w:eastAsia="仿宋"/>
          <w:sz w:val="32"/>
          <w:szCs w:val="32"/>
          <w:lang w:val="en-US" w:eastAsia="zh-CN"/>
        </w:rPr>
        <w:t>。</w:t>
      </w:r>
      <w:r>
        <w:rPr>
          <w:rFonts w:hint="eastAsia" w:ascii="仿宋" w:hAnsi="仿宋" w:eastAsia="仿宋"/>
          <w:sz w:val="32"/>
          <w:szCs w:val="32"/>
        </w:rPr>
        <w:t>圆满完成</w:t>
      </w:r>
      <w:r>
        <w:rPr>
          <w:rFonts w:hint="eastAsia" w:ascii="仿宋" w:hAnsi="仿宋" w:eastAsia="仿宋"/>
          <w:sz w:val="32"/>
          <w:szCs w:val="32"/>
          <w:lang w:val="en-US" w:eastAsia="zh-CN"/>
        </w:rPr>
        <w:t>4个老旧小区改造</w:t>
      </w:r>
      <w:r>
        <w:rPr>
          <w:rFonts w:hint="eastAsia" w:ascii="仿宋" w:hAnsi="仿宋" w:eastAsia="仿宋"/>
          <w:sz w:val="32"/>
          <w:szCs w:val="32"/>
        </w:rPr>
        <w:t>工作任务，</w:t>
      </w:r>
      <w:r>
        <w:rPr>
          <w:rFonts w:hint="eastAsia" w:ascii="仿宋_GB2312" w:hAnsi="仿宋_GB2312" w:eastAsia="仿宋_GB2312" w:cs="仿宋_GB2312"/>
          <w:sz w:val="32"/>
          <w:szCs w:val="32"/>
          <w:lang w:val="en-US" w:eastAsia="zh-CN"/>
        </w:rPr>
        <w:t>小区干净了，环境提升了，居民非常满意，热情高涨</w:t>
      </w:r>
      <w:r>
        <w:rPr>
          <w:rFonts w:hint="eastAsia" w:ascii="仿宋" w:hAnsi="仿宋" w:eastAsia="仿宋"/>
          <w:sz w:val="32"/>
          <w:szCs w:val="32"/>
          <w:lang w:val="en-US" w:eastAsia="zh-CN"/>
        </w:rPr>
        <w:t>。</w:t>
      </w:r>
      <w:r>
        <w:rPr>
          <w:rFonts w:hint="eastAsia" w:ascii="仿宋" w:hAnsi="仿宋" w:eastAsia="仿宋" w:cs="仿宋"/>
          <w:sz w:val="32"/>
          <w:szCs w:val="32"/>
        </w:rPr>
        <w:t>着力改善城镇住房困难家庭居住条件；加强燃气行业监管，进一步规范燃气行业管理，坚持源头管控与点面管控相结合，加强气源企业与跟踪服务确保燃气行业安全稳定</w:t>
      </w:r>
      <w:r>
        <w:rPr>
          <w:rFonts w:hint="eastAsia" w:ascii="仿宋" w:hAnsi="仿宋" w:eastAsia="仿宋" w:cs="仿宋"/>
          <w:sz w:val="32"/>
          <w:szCs w:val="32"/>
          <w:lang w:eastAsia="zh-CN"/>
        </w:rPr>
        <w:t>。</w:t>
      </w:r>
      <w:r>
        <w:rPr>
          <w:rFonts w:hint="eastAsia" w:ascii="仿宋" w:hAnsi="仿宋" w:eastAsia="仿宋" w:cs="仿宋"/>
          <w:sz w:val="32"/>
          <w:szCs w:val="32"/>
        </w:rPr>
        <w:t>资金及时拨付到位，供暖温度达标，保障群众温暖过冬；完善基础设施建设，加快市政公用、园林绿化、供热供气、污水垃圾处理等基础设施建设，提供城市综合承载力</w:t>
      </w:r>
      <w:r>
        <w:rPr>
          <w:rFonts w:hint="eastAsia" w:ascii="仿宋" w:hAnsi="仿宋" w:eastAsia="仿宋" w:cs="仿宋"/>
          <w:sz w:val="32"/>
          <w:szCs w:val="32"/>
          <w:lang w:eastAsia="zh-CN"/>
        </w:rPr>
        <w:t>。完成县城道路、污水管网、路灯等市政设施维护、维修，保证公共基础设施完好，保障市政公用事业基础设施正常运行</w:t>
      </w:r>
      <w:r>
        <w:rPr>
          <w:rFonts w:hint="eastAsia" w:ascii="仿宋" w:hAnsi="仿宋" w:eastAsia="仿宋" w:cs="仿宋"/>
          <w:sz w:val="32"/>
          <w:szCs w:val="32"/>
        </w:rPr>
        <w:t>；增强建筑企业竞争力，保障建筑业以及房地产市场健康稳定发展；强化绿色发展理念，实现新建建筑节能设计达到100%要求，新建居住建筑执行75%节能标准，公共建筑65%以上的节能标准，大力提升建筑能效；进一步规范行政执法行为，执法水平进一步提高，违法行为得到及时查处，违法建设情况得到有效遏制</w:t>
      </w:r>
      <w:r>
        <w:rPr>
          <w:rFonts w:hint="eastAsia" w:ascii="仿宋" w:hAnsi="仿宋" w:eastAsia="仿宋" w:cs="仿宋"/>
          <w:sz w:val="32"/>
          <w:szCs w:val="32"/>
          <w:lang w:eastAsia="zh-CN"/>
        </w:rPr>
        <w:t>。</w:t>
      </w:r>
      <w:r>
        <w:rPr>
          <w:rFonts w:hint="eastAsia" w:ascii="仿宋" w:hAnsi="仿宋" w:eastAsia="仿宋" w:cs="仿宋"/>
          <w:sz w:val="32"/>
          <w:szCs w:val="32"/>
        </w:rPr>
        <w:t>完成对数字化城管指挥平台设备维护，保障平台正常运行，并完成与市级平台对接联网任务；促进行业人才队伍建设，夯实人才支撑，为打造“绿水青山就是金山银山”的赞皇实践、赞皇样板作出更大贡献。</w:t>
      </w:r>
    </w:p>
    <w:p>
      <w:pPr>
        <w:pStyle w:val="10"/>
        <w:numPr>
          <w:ilvl w:val="0"/>
          <w:numId w:val="2"/>
        </w:numPr>
        <w:ind w:left="-10" w:leftChars="0" w:firstLine="640" w:firstLineChars="0"/>
        <w:rPr>
          <w:rFonts w:hint="eastAsia" w:ascii="楷体" w:hAnsi="楷体" w:eastAsia="楷体" w:cs="楷体_GB2312"/>
          <w:bCs/>
          <w:sz w:val="32"/>
          <w:szCs w:val="32"/>
        </w:rPr>
      </w:pPr>
      <w:r>
        <w:rPr>
          <w:rFonts w:hint="eastAsia" w:ascii="楷体" w:hAnsi="楷体" w:eastAsia="楷体" w:cs="楷体_GB2312"/>
          <w:bCs/>
          <w:sz w:val="32"/>
          <w:szCs w:val="32"/>
        </w:rPr>
        <w:t>分项绩效目标实现情况及指标分析</w:t>
      </w:r>
    </w:p>
    <w:p>
      <w:pPr>
        <w:pStyle w:val="10"/>
        <w:rPr>
          <w:rFonts w:hint="eastAsia" w:ascii="仿宋" w:hAnsi="仿宋" w:eastAsia="仿宋" w:cs="仿宋"/>
          <w:b/>
          <w:bCs/>
          <w:sz w:val="32"/>
          <w:szCs w:val="32"/>
        </w:rPr>
      </w:pPr>
      <w:r>
        <w:rPr>
          <w:rFonts w:hint="eastAsia" w:ascii="仿宋" w:hAnsi="仿宋" w:eastAsia="仿宋" w:cs="仿宋"/>
          <w:b/>
          <w:bCs/>
          <w:sz w:val="32"/>
          <w:szCs w:val="32"/>
          <w:lang w:val="en-US" w:eastAsia="zh-CN"/>
        </w:rPr>
        <w:t>1、</w:t>
      </w:r>
      <w:r>
        <w:rPr>
          <w:rFonts w:hint="eastAsia" w:ascii="仿宋" w:hAnsi="仿宋" w:eastAsia="仿宋" w:cs="仿宋"/>
          <w:b/>
          <w:bCs/>
          <w:sz w:val="32"/>
          <w:szCs w:val="32"/>
        </w:rPr>
        <w:t>住房保障管理</w:t>
      </w:r>
    </w:p>
    <w:p>
      <w:pPr>
        <w:pStyle w:val="10"/>
        <w:rPr>
          <w:rFonts w:hint="eastAsia" w:ascii="仿宋" w:hAnsi="仿宋" w:eastAsia="仿宋" w:cs="仿宋"/>
          <w:sz w:val="32"/>
          <w:szCs w:val="32"/>
        </w:rPr>
      </w:pPr>
      <w:r>
        <w:rPr>
          <w:rFonts w:hint="eastAsia" w:ascii="仿宋" w:hAnsi="仿宋" w:eastAsia="仿宋" w:cs="仿宋"/>
          <w:sz w:val="32"/>
          <w:szCs w:val="32"/>
        </w:rPr>
        <w:t>绩效目标：确保完成省市下达我县保障性安居工程建设责任目标。全面加快</w:t>
      </w:r>
      <w:r>
        <w:rPr>
          <w:rFonts w:hint="eastAsia" w:ascii="仿宋" w:hAnsi="仿宋" w:eastAsia="仿宋" w:cs="仿宋"/>
          <w:sz w:val="32"/>
          <w:szCs w:val="32"/>
          <w:lang w:eastAsia="zh-CN"/>
        </w:rPr>
        <w:t>老旧小区</w:t>
      </w:r>
      <w:r>
        <w:rPr>
          <w:rFonts w:hint="eastAsia" w:ascii="仿宋" w:hAnsi="仿宋" w:eastAsia="仿宋" w:cs="仿宋"/>
          <w:sz w:val="32"/>
          <w:szCs w:val="32"/>
        </w:rPr>
        <w:t>改造，对县城建成区4个老旧小区配套设施和建筑主体进行改造。进一步健全保障性住房分配管理机制，做到准入标准科学、审核程序规范、分配过程公开、退出管理严格。</w:t>
      </w:r>
    </w:p>
    <w:p>
      <w:pPr>
        <w:pStyle w:val="10"/>
        <w:rPr>
          <w:rFonts w:hint="eastAsia" w:ascii="仿宋" w:hAnsi="仿宋" w:eastAsia="仿宋" w:cs="仿宋"/>
          <w:sz w:val="32"/>
          <w:szCs w:val="32"/>
          <w:lang w:eastAsia="zh-CN"/>
        </w:rPr>
      </w:pPr>
      <w:r>
        <w:rPr>
          <w:rFonts w:hint="eastAsia" w:ascii="仿宋" w:hAnsi="仿宋" w:eastAsia="仿宋" w:cs="仿宋"/>
          <w:sz w:val="32"/>
          <w:szCs w:val="32"/>
        </w:rPr>
        <w:t>绩效指标：完成合格率，100%为优，95%以上为良，90%以上为中，90%以下为差</w:t>
      </w:r>
      <w:r>
        <w:rPr>
          <w:rFonts w:hint="eastAsia" w:ascii="仿宋" w:hAnsi="仿宋" w:eastAsia="仿宋" w:cs="仿宋"/>
          <w:sz w:val="32"/>
          <w:szCs w:val="32"/>
          <w:lang w:eastAsia="zh-CN"/>
        </w:rPr>
        <w:t>。</w:t>
      </w:r>
    </w:p>
    <w:p>
      <w:pPr>
        <w:pStyle w:val="10"/>
        <w:rPr>
          <w:rFonts w:hint="eastAsia" w:ascii="仿宋" w:hAnsi="仿宋" w:eastAsia="仿宋" w:cs="仿宋"/>
          <w:b/>
          <w:bCs/>
          <w:sz w:val="32"/>
          <w:szCs w:val="32"/>
        </w:rPr>
      </w:pPr>
      <w:r>
        <w:rPr>
          <w:rFonts w:hint="eastAsia" w:ascii="仿宋" w:hAnsi="仿宋" w:eastAsia="仿宋" w:cs="仿宋"/>
          <w:b/>
          <w:bCs/>
          <w:sz w:val="32"/>
          <w:szCs w:val="32"/>
          <w:lang w:val="en-US" w:eastAsia="zh-CN"/>
        </w:rPr>
        <w:t>2、</w:t>
      </w:r>
      <w:r>
        <w:rPr>
          <w:rFonts w:hint="eastAsia" w:ascii="仿宋" w:hAnsi="仿宋" w:eastAsia="仿宋" w:cs="仿宋"/>
          <w:b/>
          <w:bCs/>
          <w:sz w:val="32"/>
          <w:szCs w:val="32"/>
        </w:rPr>
        <w:t>城乡建设管理</w:t>
      </w:r>
    </w:p>
    <w:p>
      <w:pPr>
        <w:pStyle w:val="10"/>
        <w:rPr>
          <w:rFonts w:hint="eastAsia" w:ascii="仿宋" w:hAnsi="仿宋" w:eastAsia="仿宋" w:cs="仿宋"/>
          <w:sz w:val="32"/>
          <w:szCs w:val="32"/>
          <w:lang w:eastAsia="zh-CN"/>
        </w:rPr>
      </w:pPr>
      <w:r>
        <w:rPr>
          <w:rFonts w:hint="eastAsia" w:ascii="仿宋" w:hAnsi="仿宋" w:eastAsia="仿宋" w:cs="仿宋"/>
          <w:sz w:val="32"/>
          <w:szCs w:val="32"/>
        </w:rPr>
        <w:t>绩效目标：以统筹城乡发展为主线，以抓试点、抓示范和加强工作指导为基本方法，以新的视角、新的理念推动城乡建设工作，提高城乡建设水平，城市基础设施系统更加完善，综合功能明显增强，环境更加优美，城市管理更加精细，城市更加宜居、舒适</w:t>
      </w:r>
      <w:r>
        <w:rPr>
          <w:rFonts w:hint="eastAsia" w:ascii="仿宋" w:hAnsi="仿宋" w:eastAsia="仿宋" w:cs="仿宋"/>
          <w:sz w:val="32"/>
          <w:szCs w:val="32"/>
          <w:lang w:val="en-US" w:eastAsia="zh-CN"/>
        </w:rPr>
        <w:t>；每天利用人工和机械进行清扫保洁、清运，采取"扫、吸、冲、洗、保"五步作业法。每日至少水洗一次，做到路见本色。大力开展县城环境卫生整治工作，实现县城区道路干净卫生卫生整洁有序，保障县城环境卫生洁净、整洁；</w:t>
      </w:r>
      <w:r>
        <w:rPr>
          <w:rFonts w:hint="eastAsia" w:ascii="仿宋" w:hAnsi="仿宋" w:eastAsia="仿宋" w:cs="仿宋"/>
          <w:sz w:val="32"/>
          <w:szCs w:val="32"/>
        </w:rPr>
        <w:t>每天利用人工和机械进行清扫保洁、清运，采取"扫、吸、冲、洗、保"五步作业法。每日至少水洗一次，做到路见本色。大力开展县城环境卫生整治工作，实现县城区道路干净卫生卫生整洁有序，保障县城环境卫生洁净、整洁</w:t>
      </w:r>
      <w:r>
        <w:rPr>
          <w:rFonts w:hint="eastAsia" w:ascii="仿宋" w:hAnsi="仿宋" w:eastAsia="仿宋" w:cs="仿宋"/>
          <w:sz w:val="32"/>
          <w:szCs w:val="32"/>
          <w:lang w:eastAsia="zh-CN"/>
        </w:rPr>
        <w:t>；保证污水的各项指标符合协议约定的排放标准，保证各项指标通过各方检查，完成县减排任务；</w:t>
      </w:r>
    </w:p>
    <w:p>
      <w:pPr>
        <w:pStyle w:val="10"/>
        <w:rPr>
          <w:rFonts w:hint="eastAsia" w:ascii="仿宋" w:hAnsi="仿宋" w:eastAsia="仿宋" w:cs="仿宋"/>
          <w:sz w:val="32"/>
          <w:szCs w:val="32"/>
        </w:rPr>
      </w:pPr>
      <w:r>
        <w:rPr>
          <w:rFonts w:hint="eastAsia" w:ascii="仿宋" w:hAnsi="仿宋" w:eastAsia="仿宋" w:cs="仿宋"/>
          <w:sz w:val="32"/>
          <w:szCs w:val="32"/>
        </w:rPr>
        <w:t>绩效指标：市政公用事业基础设施建设及维护工作目标完成率大于等于90%，公园绿地、植树保护完成率大于等于90%，城区住宅供热计量收费率大于等于30%，数字化城管平台使用率大于等于90%，机械化清扫率大于等于90%，城乡环卫一体化清理率100%，为</w:t>
      </w:r>
      <w:r>
        <w:rPr>
          <w:rFonts w:hint="eastAsia" w:ascii="仿宋" w:hAnsi="仿宋" w:eastAsia="仿宋" w:cs="仿宋"/>
          <w:sz w:val="32"/>
          <w:szCs w:val="32"/>
          <w:lang w:eastAsia="zh-CN"/>
        </w:rPr>
        <w:t>处理县城生活污水</w:t>
      </w:r>
      <w:r>
        <w:rPr>
          <w:rFonts w:hint="eastAsia" w:ascii="仿宋" w:hAnsi="仿宋" w:eastAsia="仿宋" w:cs="仿宋"/>
          <w:sz w:val="32"/>
          <w:szCs w:val="32"/>
        </w:rPr>
        <w:t>，推动我县生态文明建设，以</w:t>
      </w:r>
      <w:r>
        <w:rPr>
          <w:rFonts w:hint="eastAsia" w:ascii="仿宋" w:hAnsi="仿宋" w:eastAsia="仿宋" w:cs="仿宋"/>
          <w:sz w:val="32"/>
          <w:szCs w:val="32"/>
          <w:lang w:eastAsia="zh-CN"/>
        </w:rPr>
        <w:t>达到污水处理率</w:t>
      </w:r>
      <w:r>
        <w:rPr>
          <w:rFonts w:hint="eastAsia" w:ascii="仿宋" w:hAnsi="仿宋" w:eastAsia="仿宋" w:cs="仿宋"/>
          <w:sz w:val="32"/>
          <w:szCs w:val="32"/>
          <w:lang w:val="en-US" w:eastAsia="zh-CN"/>
        </w:rPr>
        <w:t>97.5%以上</w:t>
      </w:r>
      <w:r>
        <w:rPr>
          <w:rFonts w:hint="eastAsia" w:ascii="仿宋" w:hAnsi="仿宋" w:eastAsia="仿宋" w:cs="仿宋"/>
          <w:sz w:val="32"/>
          <w:szCs w:val="32"/>
        </w:rPr>
        <w:t>，垃圾处理率大于等于90%，城市管理行政执法工作任务完成率大于等于90%。</w:t>
      </w:r>
    </w:p>
    <w:p>
      <w:pPr>
        <w:pStyle w:val="10"/>
        <w:rPr>
          <w:rFonts w:hint="eastAsia" w:ascii="仿宋" w:hAnsi="仿宋" w:eastAsia="仿宋" w:cs="仿宋"/>
          <w:b/>
          <w:bCs/>
          <w:sz w:val="32"/>
          <w:szCs w:val="32"/>
        </w:rPr>
      </w:pPr>
      <w:r>
        <w:rPr>
          <w:rFonts w:hint="eastAsia" w:ascii="仿宋" w:hAnsi="仿宋" w:eastAsia="仿宋" w:cs="仿宋"/>
          <w:b/>
          <w:bCs/>
          <w:sz w:val="32"/>
          <w:szCs w:val="32"/>
          <w:lang w:val="en-US" w:eastAsia="zh-CN"/>
        </w:rPr>
        <w:t>3、</w:t>
      </w:r>
      <w:r>
        <w:rPr>
          <w:rFonts w:hint="eastAsia" w:ascii="仿宋" w:hAnsi="仿宋" w:eastAsia="仿宋" w:cs="仿宋"/>
          <w:b/>
          <w:bCs/>
          <w:sz w:val="32"/>
          <w:szCs w:val="32"/>
        </w:rPr>
        <w:t>建筑业、房地产市场监管</w:t>
      </w:r>
    </w:p>
    <w:p>
      <w:pPr>
        <w:pStyle w:val="10"/>
        <w:rPr>
          <w:rFonts w:hint="eastAsia" w:ascii="仿宋" w:hAnsi="仿宋" w:eastAsia="仿宋" w:cs="仿宋"/>
          <w:sz w:val="32"/>
          <w:szCs w:val="32"/>
        </w:rPr>
      </w:pPr>
      <w:r>
        <w:rPr>
          <w:rFonts w:hint="eastAsia" w:ascii="仿宋" w:hAnsi="仿宋" w:eastAsia="仿宋" w:cs="仿宋"/>
          <w:sz w:val="32"/>
          <w:szCs w:val="32"/>
        </w:rPr>
        <w:t>绩效目标：做好房地产市场监管的房屋登记、房屋概况、房屋征收、房屋拆迁、住房维修资金的统计报表工作。对房地产开发企业、房地产中介机构、物业服务企业中存在的扰乱市场秩序的行为进行专项治理。完善政策措施，规范服务行为，提高物业服务质量。进一步加强房屋征收拆迁管理。规范建筑市场各方主体行为，促进建筑市场健康发展，完善防范拖欠工程款和农民工工资的长效机制，加大监督检查力度，推行建筑劳务实名制、农民工工资预储金，防止拖欠农民工工资。维护建筑市场秩序，保证建筑工程的质量和安全，保障人民生命财产安全，促进建筑业健康发展。</w:t>
      </w:r>
    </w:p>
    <w:p>
      <w:pPr>
        <w:pStyle w:val="10"/>
        <w:rPr>
          <w:rFonts w:hint="eastAsia" w:ascii="仿宋" w:hAnsi="仿宋" w:eastAsia="仿宋" w:cs="仿宋"/>
          <w:sz w:val="32"/>
          <w:szCs w:val="32"/>
        </w:rPr>
      </w:pPr>
      <w:r>
        <w:rPr>
          <w:rFonts w:hint="eastAsia" w:ascii="仿宋" w:hAnsi="仿宋" w:eastAsia="仿宋" w:cs="仿宋"/>
          <w:sz w:val="32"/>
          <w:szCs w:val="32"/>
        </w:rPr>
        <w:t>绩效指标：工程质量投诉结案率大于等于85%，建筑工程施工现场达标率100%，施工图设计文件审查率大于等于90%,房地产市场统计分析工作完成及时率大于等于90%。</w:t>
      </w:r>
    </w:p>
    <w:p>
      <w:pPr>
        <w:pStyle w:val="10"/>
        <w:rPr>
          <w:rFonts w:hint="eastAsia" w:ascii="仿宋" w:hAnsi="仿宋" w:eastAsia="仿宋" w:cs="仿宋"/>
          <w:b/>
          <w:bCs/>
          <w:sz w:val="32"/>
          <w:szCs w:val="32"/>
        </w:rPr>
      </w:pPr>
      <w:r>
        <w:rPr>
          <w:rFonts w:hint="eastAsia" w:ascii="仿宋" w:hAnsi="仿宋" w:eastAsia="仿宋" w:cs="仿宋"/>
          <w:b/>
          <w:bCs/>
          <w:sz w:val="32"/>
          <w:szCs w:val="32"/>
          <w:lang w:val="en-US" w:eastAsia="zh-CN"/>
        </w:rPr>
        <w:t>4、</w:t>
      </w:r>
      <w:r>
        <w:rPr>
          <w:rFonts w:hint="eastAsia" w:ascii="仿宋" w:hAnsi="仿宋" w:eastAsia="仿宋" w:cs="仿宋"/>
          <w:b/>
          <w:bCs/>
          <w:sz w:val="32"/>
          <w:szCs w:val="32"/>
        </w:rPr>
        <w:t>推进建筑节能</w:t>
      </w:r>
    </w:p>
    <w:p>
      <w:pPr>
        <w:numPr>
          <w:ilvl w:val="0"/>
          <w:numId w:val="0"/>
        </w:num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cs="仿宋"/>
          <w:sz w:val="32"/>
          <w:szCs w:val="32"/>
        </w:rPr>
        <w:t>绩效目标：保护环境、节约能源</w:t>
      </w:r>
      <w:r>
        <w:rPr>
          <w:rFonts w:hint="eastAsia" w:ascii="仿宋" w:hAnsi="仿宋" w:eastAsia="仿宋" w:cs="仿宋"/>
          <w:sz w:val="32"/>
          <w:szCs w:val="32"/>
          <w:lang w:eastAsia="zh-CN"/>
        </w:rPr>
        <w:t>；为了达到环保要求，需要对垃圾填埋场环保设施提升改造，包括：</w:t>
      </w:r>
      <w:r>
        <w:rPr>
          <w:rFonts w:hint="eastAsia" w:ascii="仿宋" w:hAnsi="仿宋" w:eastAsia="仿宋" w:cs="仿宋"/>
          <w:sz w:val="32"/>
          <w:szCs w:val="32"/>
        </w:rPr>
        <w:t>更换渗滤液处理车间超滤设施</w:t>
      </w:r>
      <w:r>
        <w:rPr>
          <w:rFonts w:hint="eastAsia" w:ascii="仿宋" w:hAnsi="仿宋" w:eastAsia="仿宋" w:cs="仿宋"/>
          <w:sz w:val="32"/>
          <w:szCs w:val="32"/>
          <w:lang w:eastAsia="zh-CN"/>
        </w:rPr>
        <w:t>，</w:t>
      </w:r>
      <w:r>
        <w:rPr>
          <w:rFonts w:hint="eastAsia" w:ascii="仿宋" w:hAnsi="仿宋" w:eastAsia="仿宋" w:cs="仿宋"/>
          <w:sz w:val="32"/>
          <w:szCs w:val="32"/>
        </w:rPr>
        <w:t>安装沼气自动燃烧器</w:t>
      </w:r>
      <w:r>
        <w:rPr>
          <w:rFonts w:hint="eastAsia" w:ascii="仿宋" w:hAnsi="仿宋" w:eastAsia="仿宋" w:cs="仿宋"/>
          <w:sz w:val="32"/>
          <w:szCs w:val="32"/>
          <w:lang w:eastAsia="zh-CN"/>
        </w:rPr>
        <w:t>，</w:t>
      </w:r>
      <w:r>
        <w:rPr>
          <w:rFonts w:hint="eastAsia" w:ascii="仿宋" w:hAnsi="仿宋" w:eastAsia="仿宋" w:cs="仿宋"/>
          <w:sz w:val="32"/>
          <w:szCs w:val="32"/>
        </w:rPr>
        <w:t>南库区雨污分流</w:t>
      </w:r>
      <w:r>
        <w:rPr>
          <w:rFonts w:hint="eastAsia" w:ascii="仿宋" w:hAnsi="仿宋" w:eastAsia="仿宋" w:cs="仿宋"/>
          <w:sz w:val="32"/>
          <w:szCs w:val="32"/>
          <w:lang w:eastAsia="zh-CN"/>
        </w:rPr>
        <w:t>。</w:t>
      </w:r>
    </w:p>
    <w:p>
      <w:pPr>
        <w:pStyle w:val="10"/>
        <w:rPr>
          <w:rFonts w:hint="eastAsia" w:ascii="仿宋" w:hAnsi="仿宋" w:eastAsia="仿宋" w:cs="仿宋"/>
          <w:sz w:val="32"/>
          <w:szCs w:val="32"/>
          <w:lang w:eastAsia="zh-CN"/>
        </w:rPr>
      </w:pPr>
    </w:p>
    <w:p>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绩效指标：</w:t>
      </w:r>
      <w:r>
        <w:rPr>
          <w:rFonts w:hint="eastAsia" w:ascii="仿宋" w:hAnsi="仿宋" w:eastAsia="仿宋" w:cs="仿宋"/>
          <w:sz w:val="32"/>
          <w:szCs w:val="32"/>
          <w:lang w:eastAsia="zh-CN"/>
        </w:rPr>
        <w:t>达到环保要求，严防污染环境，提高环境质量。</w:t>
      </w:r>
      <w:r>
        <w:rPr>
          <w:rFonts w:hint="eastAsia" w:ascii="仿宋" w:hAnsi="仿宋" w:eastAsia="仿宋" w:cs="仿宋"/>
          <w:sz w:val="32"/>
          <w:szCs w:val="32"/>
        </w:rPr>
        <w:t>95%以上为优，80%以上为良，60%以上为中，60%以下为差。</w:t>
      </w:r>
    </w:p>
    <w:p>
      <w:pPr>
        <w:pStyle w:val="10"/>
        <w:rPr>
          <w:rFonts w:hint="eastAsia" w:ascii="仿宋" w:hAnsi="仿宋" w:eastAsia="仿宋" w:cs="仿宋"/>
          <w:b/>
          <w:bCs/>
          <w:sz w:val="32"/>
          <w:szCs w:val="32"/>
        </w:rPr>
      </w:pPr>
      <w:r>
        <w:rPr>
          <w:rFonts w:hint="eastAsia" w:ascii="仿宋" w:hAnsi="仿宋" w:eastAsia="仿宋" w:cs="仿宋"/>
          <w:b/>
          <w:bCs/>
          <w:sz w:val="32"/>
          <w:szCs w:val="32"/>
          <w:lang w:val="en-US" w:eastAsia="zh-CN"/>
        </w:rPr>
        <w:t>5、</w:t>
      </w:r>
      <w:r>
        <w:rPr>
          <w:rFonts w:hint="eastAsia" w:ascii="仿宋" w:hAnsi="仿宋" w:eastAsia="仿宋" w:cs="仿宋"/>
          <w:b/>
          <w:bCs/>
          <w:sz w:val="32"/>
          <w:szCs w:val="32"/>
        </w:rPr>
        <w:t>住建政务管理</w:t>
      </w:r>
    </w:p>
    <w:p>
      <w:pPr>
        <w:pStyle w:val="10"/>
        <w:rPr>
          <w:rFonts w:hint="eastAsia" w:ascii="仿宋" w:hAnsi="仿宋" w:eastAsia="仿宋" w:cs="仿宋"/>
          <w:sz w:val="32"/>
          <w:szCs w:val="32"/>
        </w:rPr>
      </w:pPr>
      <w:r>
        <w:rPr>
          <w:rFonts w:hint="eastAsia" w:ascii="仿宋" w:hAnsi="仿宋" w:eastAsia="仿宋" w:cs="仿宋"/>
          <w:sz w:val="32"/>
          <w:szCs w:val="32"/>
        </w:rPr>
        <w:t>绩效目标：加强全县住房城乡建设人才队伍建设，提高人才业务素质，激励工作热情，提高行业水平。提升机关及行业信息化水平，保障各类业务系统安全稳定运行；加大信息宣传力度，创造良好舆论氛围。规范审批行为，推进政务公开，增加服务意识，提高工作效率。</w:t>
      </w:r>
      <w:r>
        <w:rPr>
          <w:rFonts w:hint="eastAsia" w:ascii="仿宋" w:hAnsi="仿宋" w:eastAsia="仿宋"/>
          <w:sz w:val="32"/>
          <w:szCs w:val="32"/>
        </w:rPr>
        <w:t>圆满完成工作任务，保障工作正常开展。</w:t>
      </w:r>
      <w:r>
        <w:rPr>
          <w:rFonts w:hint="eastAsia" w:ascii="仿宋" w:hAnsi="仿宋" w:eastAsia="仿宋" w:cs="仿宋"/>
          <w:sz w:val="32"/>
          <w:szCs w:val="32"/>
        </w:rPr>
        <w:t>保障县城办上传下达、资料上报、宣传报道、年度考核验收等日常工作，为促进县城建设发展提供了有效保障。</w:t>
      </w:r>
    </w:p>
    <w:p>
      <w:pPr>
        <w:adjustRightInd w:val="0"/>
        <w:snapToGrid w:val="0"/>
        <w:spacing w:line="56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rPr>
        <w:t>绩效指标：</w:t>
      </w:r>
      <w:r>
        <w:rPr>
          <w:rFonts w:hint="eastAsia" w:ascii="仿宋" w:hAnsi="仿宋" w:eastAsia="仿宋" w:cs="仿宋"/>
          <w:sz w:val="32"/>
          <w:szCs w:val="32"/>
          <w:lang w:eastAsia="zh-CN"/>
        </w:rPr>
        <w:t>工作</w:t>
      </w:r>
      <w:r>
        <w:rPr>
          <w:rFonts w:hint="eastAsia" w:ascii="仿宋" w:hAnsi="仿宋" w:eastAsia="仿宋" w:cs="仿宋"/>
          <w:sz w:val="32"/>
          <w:szCs w:val="32"/>
        </w:rPr>
        <w:t>任务完成率，95%以上为优，80%以上为良，60%以上为中，60%以下为差。</w:t>
      </w:r>
    </w:p>
    <w:p>
      <w:pPr>
        <w:pStyle w:val="2"/>
      </w:pP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tabs>
          <w:tab w:val="center" w:pos="4422"/>
        </w:tabs>
        <w:spacing w:line="560" w:lineRule="exact"/>
        <w:ind w:firstLine="640" w:firstLineChars="200"/>
        <w:rPr>
          <w:rFonts w:hint="eastAsia" w:ascii="黑体" w:hAnsi="黑体" w:eastAsia="黑体"/>
          <w:sz w:val="32"/>
          <w:szCs w:val="32"/>
          <w:lang w:eastAsia="zh-CN"/>
        </w:rPr>
      </w:pPr>
      <w:r>
        <w:rPr>
          <w:rFonts w:hint="eastAsia" w:ascii="黑体" w:hAnsi="黑体" w:eastAsia="黑体"/>
          <w:sz w:val="32"/>
          <w:szCs w:val="32"/>
        </w:rPr>
        <w:t>五、存在的问题及改进措施</w:t>
      </w:r>
      <w:r>
        <w:rPr>
          <w:rFonts w:hint="eastAsia" w:ascii="黑体" w:hAnsi="黑体" w:eastAsia="黑体"/>
          <w:sz w:val="32"/>
          <w:szCs w:val="32"/>
          <w:lang w:eastAsia="zh-CN"/>
        </w:rPr>
        <w:tab/>
      </w:r>
    </w:p>
    <w:p>
      <w:pPr>
        <w:widowControl/>
        <w:shd w:val="clear" w:color="auto" w:fill="FFFFFF"/>
        <w:spacing w:line="580" w:lineRule="exact"/>
        <w:ind w:firstLine="640" w:firstLineChars="200"/>
        <w:jc w:val="left"/>
        <w:rPr>
          <w:rFonts w:hint="eastAsia" w:ascii="仿宋_GB2312" w:hAnsi="Times New Roman" w:eastAsia="仿宋_GB2312"/>
          <w:kern w:val="0"/>
          <w:sz w:val="32"/>
          <w:szCs w:val="32"/>
        </w:rPr>
      </w:pPr>
      <w:r>
        <w:rPr>
          <w:rFonts w:hint="eastAsia" w:ascii="仿宋_GB2312" w:hAnsi="Times New Roman" w:eastAsia="仿宋_GB2312"/>
          <w:kern w:val="0"/>
          <w:sz w:val="32"/>
          <w:szCs w:val="32"/>
        </w:rPr>
        <w:t>存在问题：预算编制不够细化。</w:t>
      </w:r>
    </w:p>
    <w:p>
      <w:pPr>
        <w:spacing w:line="560" w:lineRule="exact"/>
        <w:ind w:firstLine="640" w:firstLineChars="200"/>
        <w:rPr>
          <w:rFonts w:ascii="仿宋" w:hAnsi="仿宋" w:eastAsia="仿宋"/>
        </w:rPr>
      </w:pPr>
      <w:r>
        <w:rPr>
          <w:rFonts w:hint="eastAsia" w:ascii="仿宋_GB2312" w:hAnsi="Times New Roman" w:eastAsia="仿宋_GB2312"/>
          <w:kern w:val="0"/>
          <w:sz w:val="32"/>
          <w:szCs w:val="32"/>
        </w:rPr>
        <w:t>评价结论：项目符合国家政策，立项规范，决策科学合理，管理较规范，经济、社会效益较好，群众满意度较高</w:t>
      </w:r>
      <w:r>
        <w:rPr>
          <w:rFonts w:hint="eastAsia" w:ascii="仿宋_GB2312" w:hAnsi="Times New Roman" w:eastAsia="仿宋_GB2312"/>
          <w:kern w:val="0"/>
          <w:sz w:val="32"/>
          <w:szCs w:val="32"/>
          <w:lang w:eastAsia="zh-CN"/>
        </w:rPr>
        <w:t>。</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modern"/>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7C42B04"/>
    <w:multiLevelType w:val="singleLevel"/>
    <w:tmpl w:val="57C42B04"/>
    <w:lvl w:ilvl="0" w:tentative="0">
      <w:start w:val="2"/>
      <w:numFmt w:val="chineseCounting"/>
      <w:suff w:val="nothing"/>
      <w:lvlText w:val="（%1）"/>
      <w:lvlJc w:val="left"/>
      <w:rPr>
        <w:rFonts w:hint="eastAsia"/>
      </w:rPr>
    </w:lvl>
  </w:abstractNum>
  <w:abstractNum w:abstractNumId="1">
    <w:nsid w:val="5E68489B"/>
    <w:multiLevelType w:val="singleLevel"/>
    <w:tmpl w:val="5E68489B"/>
    <w:lvl w:ilvl="0" w:tentative="0">
      <w:start w:val="1"/>
      <w:numFmt w:val="chineseCounting"/>
      <w:suff w:val="nothing"/>
      <w:lvlText w:val="（%1）"/>
      <w:lvlJc w:val="left"/>
      <w:pPr>
        <w:ind w:left="-10"/>
      </w:pPr>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GQ3YTI1MGJhMDgwY2I2OGI4OGQ2NDg2ZWMyMWZkZWY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076BF2"/>
    <w:rsid w:val="02106AB0"/>
    <w:rsid w:val="02B43A28"/>
    <w:rsid w:val="046F331E"/>
    <w:rsid w:val="06B449B9"/>
    <w:rsid w:val="07956271"/>
    <w:rsid w:val="07F63E15"/>
    <w:rsid w:val="09721397"/>
    <w:rsid w:val="0BB63BED"/>
    <w:rsid w:val="0EB97A43"/>
    <w:rsid w:val="0EBD2122"/>
    <w:rsid w:val="0F214EAE"/>
    <w:rsid w:val="1088450D"/>
    <w:rsid w:val="11B71E6A"/>
    <w:rsid w:val="1AAF0063"/>
    <w:rsid w:val="1B397CEE"/>
    <w:rsid w:val="1BE140DE"/>
    <w:rsid w:val="23F32C43"/>
    <w:rsid w:val="248C197D"/>
    <w:rsid w:val="252959AF"/>
    <w:rsid w:val="25F13BF1"/>
    <w:rsid w:val="261D1FBA"/>
    <w:rsid w:val="277A6671"/>
    <w:rsid w:val="28795BCE"/>
    <w:rsid w:val="292D35B7"/>
    <w:rsid w:val="29EC79F1"/>
    <w:rsid w:val="2AE927A3"/>
    <w:rsid w:val="33EB6CFF"/>
    <w:rsid w:val="35A12947"/>
    <w:rsid w:val="37387040"/>
    <w:rsid w:val="39D628EB"/>
    <w:rsid w:val="3A5C7150"/>
    <w:rsid w:val="3B625C0A"/>
    <w:rsid w:val="3CEE1963"/>
    <w:rsid w:val="404E74E8"/>
    <w:rsid w:val="42D00A6A"/>
    <w:rsid w:val="46632454"/>
    <w:rsid w:val="491F7C74"/>
    <w:rsid w:val="4C9C27FE"/>
    <w:rsid w:val="4CA00602"/>
    <w:rsid w:val="4FF9AD8B"/>
    <w:rsid w:val="50FD7438"/>
    <w:rsid w:val="512260B4"/>
    <w:rsid w:val="52BD6ACB"/>
    <w:rsid w:val="553D4343"/>
    <w:rsid w:val="55537534"/>
    <w:rsid w:val="561A74F1"/>
    <w:rsid w:val="56771C08"/>
    <w:rsid w:val="57ED228D"/>
    <w:rsid w:val="597244E8"/>
    <w:rsid w:val="5BA8378D"/>
    <w:rsid w:val="5EB71C30"/>
    <w:rsid w:val="60AE1BB1"/>
    <w:rsid w:val="66AF0CE5"/>
    <w:rsid w:val="6AC537CF"/>
    <w:rsid w:val="6C185698"/>
    <w:rsid w:val="6E5B14A6"/>
    <w:rsid w:val="70CB5E68"/>
    <w:rsid w:val="711B255E"/>
    <w:rsid w:val="7BB51E06"/>
    <w:rsid w:val="7C387F7C"/>
    <w:rsid w:val="7F73492A"/>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99"/>
    <w:pPr>
      <w:ind w:firstLine="420" w:firstLineChars="200"/>
    </w:pPr>
  </w:style>
  <w:style w:type="paragraph" w:styleId="3">
    <w:name w:val="Body Text Indent"/>
    <w:basedOn w:val="1"/>
    <w:unhideWhenUsed/>
    <w:qFormat/>
    <w:uiPriority w:val="99"/>
    <w:pPr>
      <w:spacing w:after="120" w:afterLines="0" w:afterAutospacing="0"/>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5428</Words>
  <Characters>5834</Characters>
  <Lines>4</Lines>
  <Paragraphs>1</Paragraphs>
  <TotalTime>10</TotalTime>
  <ScaleCrop>false</ScaleCrop>
  <LinksUpToDate>false</LinksUpToDate>
  <CharactersWithSpaces>5851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Administrator</cp:lastModifiedBy>
  <cp:lastPrinted>2022-01-19T15:24:00Z</cp:lastPrinted>
  <dcterms:modified xsi:type="dcterms:W3CDTF">2023-07-24T09:10:56Z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6A584CFD688C4FD1A3332EFE48F600C3_12</vt:lpwstr>
  </property>
</Properties>
</file>