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黑体" w:hAnsi="宋体" w:eastAsia="黑体" w:cs="宋体"/>
          <w:bCs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36"/>
          <w:szCs w:val="36"/>
        </w:rPr>
        <w:t>2</w:t>
      </w:r>
      <w:r>
        <w:rPr>
          <w:rFonts w:ascii="黑体" w:hAnsi="黑体" w:eastAsia="黑体" w:cs="宋体"/>
          <w:kern w:val="0"/>
          <w:sz w:val="36"/>
          <w:szCs w:val="36"/>
        </w:rPr>
        <w:t>02</w:t>
      </w:r>
      <w:r>
        <w:rPr>
          <w:rFonts w:hint="eastAsia" w:ascii="黑体" w:hAnsi="黑体" w:eastAsia="黑体" w:cs="宋体"/>
          <w:kern w:val="0"/>
          <w:sz w:val="36"/>
          <w:szCs w:val="36"/>
          <w:lang w:val="en-US" w:eastAsia="zh-CN"/>
        </w:rPr>
        <w:t>2</w:t>
      </w:r>
      <w:r>
        <w:rPr>
          <w:rFonts w:hint="eastAsia" w:ascii="黑体" w:hAnsi="黑体" w:eastAsia="黑体" w:cs="宋体"/>
          <w:kern w:val="0"/>
          <w:sz w:val="36"/>
          <w:szCs w:val="36"/>
        </w:rPr>
        <w:t>年1季度主要指标完成情况</w:t>
      </w:r>
    </w:p>
    <w:tbl>
      <w:tblPr>
        <w:tblStyle w:val="5"/>
        <w:tblW w:w="836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4"/>
        <w:gridCol w:w="1080"/>
        <w:gridCol w:w="1245"/>
        <w:gridCol w:w="1335"/>
        <w:gridCol w:w="102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extDirection w:val="lrTb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指标名称</w:t>
            </w:r>
          </w:p>
        </w:tc>
        <w:tc>
          <w:tcPr>
            <w:tcW w:w="108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extDirection w:val="lrTb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24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extDirection w:val="lrTb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1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本季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完成</w:t>
            </w:r>
          </w:p>
        </w:tc>
        <w:tc>
          <w:tcPr>
            <w:tcW w:w="133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extDirection w:val="lrTb"/>
            <w:vAlign w:val="center"/>
          </w:tcPr>
          <w:p>
            <w:pPr>
              <w:jc w:val="center"/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增速（%）</w:t>
            </w:r>
          </w:p>
        </w:tc>
        <w:tc>
          <w:tcPr>
            <w:tcW w:w="10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FFFFFF" w:themeFill="background1"/>
            <w:textDirection w:val="lrTb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在全市</w:t>
            </w:r>
          </w:p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位次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全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县</w:t>
            </w: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生产总值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  <w:lang w:val="en-US" w:eastAsia="zh-CN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195723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3.2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服务业增加值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  <w:lang w:val="en-US" w:eastAsia="zh-CN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103755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8.1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17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规模以上工业增加值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—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-19.8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/>
                <w:sz w:val="22"/>
                <w:szCs w:val="22"/>
                <w:lang w:val="en-US" w:eastAsia="zh-CN"/>
              </w:rPr>
              <w:t>23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固定资产投资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—</w:t>
            </w:r>
            <w:bookmarkStart w:id="0" w:name="_GoBack"/>
            <w:bookmarkEnd w:id="0"/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15.1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/>
                <w:sz w:val="22"/>
                <w:szCs w:val="22"/>
                <w:lang w:val="en-US" w:eastAsia="zh-CN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社会消费品零售总额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bCs/>
                <w:sz w:val="22"/>
                <w:szCs w:val="22"/>
                <w:lang w:val="en-US" w:eastAsia="zh-CN"/>
              </w:rPr>
              <w:t>24921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17.6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bCs/>
                <w:sz w:val="22"/>
                <w:szCs w:val="22"/>
                <w:lang w:val="en-US" w:eastAsia="zh-CN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限上企业消费品零售额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2105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83.7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</w:rPr>
              <w:t>规上工业高新技术产业增加值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万</w:t>
            </w: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等线"/>
                <w:sz w:val="22"/>
                <w:szCs w:val="22"/>
                <w:lang w:val="en-US" w:eastAsia="zh-CN"/>
              </w:rPr>
              <w:t>—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55.3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</w:rPr>
              <w:t>城镇居民人均可支配收入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8757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6.5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3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</w:rPr>
              <w:t>农村居民人均可支配收入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/>
                <w:sz w:val="22"/>
                <w:szCs w:val="22"/>
              </w:rPr>
            </w:pPr>
            <w:r>
              <w:rPr>
                <w:rFonts w:hint="eastAsia" w:ascii="宋体" w:hAnsi="宋体"/>
                <w:sz w:val="22"/>
                <w:szCs w:val="22"/>
              </w:rPr>
              <w:t>元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3026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9.8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4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Book Antiqua">
    <w:altName w:val="Segoe Print"/>
    <w:panose1 w:val="00000000000000000000"/>
    <w:charset w:val="00"/>
    <w:family w:val="roman"/>
    <w:pitch w:val="default"/>
    <w:sig w:usb0="00000000" w:usb1="00000000" w:usb2="00000000" w:usb3="00000000" w:csb0="0000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DF34A3"/>
    <w:rsid w:val="6F49138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董鹏飞</dc:creator>
  <cp:lastModifiedBy>HHHHHH</cp:lastModifiedBy>
  <dcterms:modified xsi:type="dcterms:W3CDTF">2022-11-18T14:02:45Z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