
<file path=[Content_Types].xml><?xml version="1.0" encoding="utf-8"?>
<Types xmlns="http://schemas.openxmlformats.org/package/2006/content-types">
  <Default Extension="xlsx" ContentType="application/vnd.openxmlformats-officedocument.spreadsheetml.shee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b/>
          <w:sz w:val="44"/>
          <w:szCs w:val="44"/>
        </w:rPr>
      </w:pPr>
      <w:r>
        <w:rPr>
          <w:rFonts w:hint="eastAsia" w:ascii="宋体" w:hAnsi="宋体"/>
          <w:b/>
          <w:sz w:val="44"/>
          <w:szCs w:val="44"/>
        </w:rPr>
        <w:t>目  录</w:t>
      </w:r>
    </w:p>
    <w:p>
      <w:pPr>
        <w:jc w:val="center"/>
        <w:rPr>
          <w:rFonts w:hint="eastAsia" w:ascii="宋体" w:hAnsi="宋体"/>
          <w:b/>
          <w:sz w:val="44"/>
          <w:szCs w:val="44"/>
        </w:rPr>
      </w:pPr>
    </w:p>
    <w:p>
      <w:pPr>
        <w:rPr>
          <w:rFonts w:hint="eastAsia" w:ascii="仿宋" w:hAnsi="仿宋" w:eastAsia="仿宋"/>
          <w:b/>
          <w:sz w:val="32"/>
          <w:szCs w:val="32"/>
        </w:rPr>
      </w:pPr>
      <w:r>
        <w:rPr>
          <w:rFonts w:hint="eastAsia" w:ascii="仿宋" w:hAnsi="仿宋" w:eastAsia="仿宋"/>
          <w:b/>
          <w:sz w:val="32"/>
          <w:szCs w:val="32"/>
        </w:rPr>
        <w:t>第一部分  赞皇县</w:t>
      </w:r>
      <w:r>
        <w:rPr>
          <w:rFonts w:hint="eastAsia" w:ascii="仿宋" w:hAnsi="仿宋" w:eastAsia="仿宋"/>
          <w:b/>
          <w:sz w:val="32"/>
          <w:szCs w:val="32"/>
          <w:lang w:val="en-US" w:eastAsia="zh-CN"/>
        </w:rPr>
        <w:t>旅游局</w:t>
      </w:r>
      <w:r>
        <w:rPr>
          <w:rFonts w:hint="eastAsia" w:ascii="仿宋" w:hAnsi="仿宋" w:eastAsia="仿宋"/>
          <w:b/>
          <w:sz w:val="32"/>
          <w:szCs w:val="32"/>
        </w:rPr>
        <w:t>概况</w:t>
      </w:r>
    </w:p>
    <w:p>
      <w:pPr>
        <w:numPr>
          <w:ilvl w:val="0"/>
          <w:numId w:val="1"/>
        </w:numPr>
        <w:rPr>
          <w:rFonts w:hint="eastAsia" w:ascii="仿宋" w:hAnsi="仿宋" w:eastAsia="仿宋"/>
          <w:sz w:val="32"/>
          <w:szCs w:val="32"/>
        </w:rPr>
      </w:pPr>
      <w:r>
        <w:rPr>
          <w:rFonts w:hint="eastAsia" w:ascii="仿宋" w:hAnsi="仿宋" w:eastAsia="仿宋"/>
          <w:sz w:val="32"/>
          <w:szCs w:val="32"/>
        </w:rPr>
        <w:t>主要职能</w:t>
      </w:r>
    </w:p>
    <w:p>
      <w:pPr>
        <w:numPr>
          <w:ilvl w:val="0"/>
          <w:numId w:val="1"/>
        </w:numPr>
        <w:rPr>
          <w:rFonts w:hint="eastAsia" w:ascii="仿宋" w:hAnsi="仿宋" w:eastAsia="仿宋"/>
          <w:sz w:val="32"/>
          <w:szCs w:val="32"/>
        </w:rPr>
      </w:pPr>
      <w:r>
        <w:rPr>
          <w:rFonts w:hint="eastAsia" w:ascii="仿宋" w:hAnsi="仿宋" w:eastAsia="仿宋"/>
          <w:sz w:val="32"/>
          <w:szCs w:val="32"/>
        </w:rPr>
        <w:t>机构设置</w:t>
      </w:r>
    </w:p>
    <w:p>
      <w:pPr>
        <w:rPr>
          <w:rFonts w:hint="eastAsia" w:ascii="仿宋" w:hAnsi="仿宋" w:eastAsia="仿宋"/>
          <w:b/>
          <w:sz w:val="32"/>
          <w:szCs w:val="32"/>
        </w:rPr>
      </w:pPr>
      <w:r>
        <w:rPr>
          <w:rFonts w:hint="eastAsia" w:ascii="仿宋" w:hAnsi="仿宋" w:eastAsia="仿宋"/>
          <w:b/>
          <w:sz w:val="32"/>
          <w:szCs w:val="32"/>
        </w:rPr>
        <w:t>第二部分  2017年度赞皇县</w:t>
      </w:r>
      <w:r>
        <w:rPr>
          <w:rFonts w:hint="eastAsia" w:ascii="仿宋" w:hAnsi="仿宋" w:eastAsia="仿宋"/>
          <w:b/>
          <w:sz w:val="32"/>
          <w:szCs w:val="32"/>
          <w:lang w:val="en-US" w:eastAsia="zh-CN"/>
        </w:rPr>
        <w:t>旅游局</w:t>
      </w:r>
      <w:r>
        <w:rPr>
          <w:rFonts w:hint="eastAsia" w:ascii="仿宋" w:hAnsi="仿宋" w:eastAsia="仿宋"/>
          <w:b/>
          <w:sz w:val="32"/>
          <w:szCs w:val="32"/>
        </w:rPr>
        <w:t>决算情况说明</w:t>
      </w:r>
    </w:p>
    <w:p>
      <w:pPr>
        <w:pStyle w:val="7"/>
        <w:rPr>
          <w:rFonts w:ascii="仿宋" w:hAnsi="仿宋" w:eastAsia="仿宋" w:cs="FangSong_GB2312"/>
          <w:sz w:val="32"/>
          <w:szCs w:val="32"/>
        </w:rPr>
      </w:pPr>
      <w:r>
        <w:rPr>
          <w:rFonts w:hint="eastAsia" w:ascii="仿宋" w:hAnsi="仿宋" w:eastAsia="仿宋" w:cs="FangSong_GB2312"/>
          <w:sz w:val="32"/>
          <w:szCs w:val="32"/>
        </w:rPr>
        <w:t>一、</w:t>
      </w:r>
      <w:r>
        <w:rPr>
          <w:rFonts w:ascii="仿宋" w:hAnsi="仿宋" w:eastAsia="仿宋" w:cs="FangSong_GB2312"/>
          <w:sz w:val="32"/>
          <w:szCs w:val="32"/>
        </w:rPr>
        <w:t>201</w:t>
      </w:r>
      <w:r>
        <w:rPr>
          <w:rFonts w:hint="eastAsia" w:ascii="仿宋" w:hAnsi="仿宋" w:eastAsia="仿宋" w:cs="FangSong_GB2312"/>
          <w:sz w:val="32"/>
          <w:szCs w:val="32"/>
        </w:rPr>
        <w:t>7年度收入支出总表情况说明</w:t>
      </w:r>
    </w:p>
    <w:p>
      <w:pPr>
        <w:pStyle w:val="7"/>
        <w:rPr>
          <w:rFonts w:ascii="仿宋" w:hAnsi="仿宋" w:eastAsia="仿宋" w:cs="FangSong_GB2312"/>
          <w:sz w:val="32"/>
          <w:szCs w:val="32"/>
        </w:rPr>
      </w:pPr>
      <w:r>
        <w:rPr>
          <w:rFonts w:hint="eastAsia" w:ascii="仿宋" w:hAnsi="仿宋" w:eastAsia="仿宋" w:cs="FangSong_GB2312"/>
          <w:sz w:val="32"/>
          <w:szCs w:val="32"/>
        </w:rPr>
        <w:t>二、</w:t>
      </w:r>
      <w:r>
        <w:rPr>
          <w:rFonts w:ascii="仿宋" w:hAnsi="仿宋" w:eastAsia="仿宋" w:cs="FangSong_GB2312"/>
          <w:sz w:val="32"/>
          <w:szCs w:val="32"/>
        </w:rPr>
        <w:t>201</w:t>
      </w:r>
      <w:r>
        <w:rPr>
          <w:rFonts w:hint="eastAsia" w:ascii="仿宋" w:hAnsi="仿宋" w:eastAsia="仿宋" w:cs="FangSong_GB2312"/>
          <w:sz w:val="32"/>
          <w:szCs w:val="32"/>
        </w:rPr>
        <w:t>7年度一般公共预算财政拨款支出情况说明</w:t>
      </w:r>
    </w:p>
    <w:p>
      <w:pPr>
        <w:rPr>
          <w:rFonts w:ascii="仿宋" w:hAnsi="仿宋" w:eastAsia="仿宋"/>
          <w:sz w:val="32"/>
          <w:szCs w:val="32"/>
        </w:rPr>
      </w:pPr>
      <w:r>
        <w:rPr>
          <w:rFonts w:hint="eastAsia" w:ascii="仿宋" w:hAnsi="仿宋" w:eastAsia="仿宋"/>
          <w:sz w:val="32"/>
          <w:szCs w:val="32"/>
        </w:rPr>
        <w:t>三、</w:t>
      </w:r>
      <w:r>
        <w:rPr>
          <w:rFonts w:ascii="仿宋" w:hAnsi="仿宋" w:eastAsia="仿宋"/>
          <w:sz w:val="32"/>
          <w:szCs w:val="32"/>
        </w:rPr>
        <w:t>201</w:t>
      </w:r>
      <w:r>
        <w:rPr>
          <w:rFonts w:hint="eastAsia" w:ascii="仿宋" w:hAnsi="仿宋" w:eastAsia="仿宋"/>
          <w:sz w:val="32"/>
          <w:szCs w:val="32"/>
        </w:rPr>
        <w:t>7年度一般公共预算财政拨款基本支出情况说明</w:t>
      </w:r>
    </w:p>
    <w:p>
      <w:pPr>
        <w:autoSpaceDE w:val="0"/>
        <w:autoSpaceDN w:val="0"/>
        <w:adjustRightInd w:val="0"/>
        <w:jc w:val="left"/>
        <w:rPr>
          <w:rFonts w:ascii="仿宋" w:hAnsi="仿宋" w:eastAsia="仿宋" w:cs="FangSong_GB2312"/>
          <w:color w:val="000000"/>
          <w:kern w:val="0"/>
          <w:sz w:val="32"/>
          <w:szCs w:val="32"/>
        </w:rPr>
      </w:pPr>
      <w:r>
        <w:rPr>
          <w:rFonts w:hint="eastAsia" w:ascii="仿宋" w:hAnsi="仿宋" w:eastAsia="仿宋" w:cs="FangSong_GB2312"/>
          <w:color w:val="000000"/>
          <w:kern w:val="0"/>
          <w:sz w:val="32"/>
          <w:szCs w:val="32"/>
        </w:rPr>
        <w:t>四、</w:t>
      </w:r>
      <w:r>
        <w:rPr>
          <w:rFonts w:ascii="仿宋" w:hAnsi="仿宋" w:eastAsia="仿宋" w:cs="FangSong_GB2312"/>
          <w:color w:val="000000"/>
          <w:kern w:val="0"/>
          <w:sz w:val="32"/>
          <w:szCs w:val="32"/>
        </w:rPr>
        <w:t>201</w:t>
      </w:r>
      <w:r>
        <w:rPr>
          <w:rFonts w:hint="eastAsia" w:ascii="仿宋" w:hAnsi="仿宋" w:eastAsia="仿宋" w:cs="FangSong_GB2312"/>
          <w:color w:val="000000"/>
          <w:kern w:val="0"/>
          <w:sz w:val="32"/>
          <w:szCs w:val="32"/>
        </w:rPr>
        <w:t>7年度一般公共预算财政拨款“三公”经费支出情况说明</w:t>
      </w:r>
    </w:p>
    <w:p>
      <w:pPr>
        <w:autoSpaceDE w:val="0"/>
        <w:autoSpaceDN w:val="0"/>
        <w:adjustRightInd w:val="0"/>
        <w:jc w:val="left"/>
        <w:rPr>
          <w:rFonts w:hint="eastAsia" w:ascii="仿宋" w:hAnsi="仿宋" w:eastAsia="仿宋" w:cs="FangSong_GB2312"/>
          <w:color w:val="000000"/>
          <w:kern w:val="0"/>
          <w:sz w:val="32"/>
          <w:szCs w:val="32"/>
        </w:rPr>
      </w:pPr>
      <w:r>
        <w:rPr>
          <w:rFonts w:hint="eastAsia" w:ascii="仿宋" w:hAnsi="仿宋" w:eastAsia="仿宋" w:cs="FangSong_GB2312"/>
          <w:color w:val="000000"/>
          <w:kern w:val="0"/>
          <w:sz w:val="32"/>
          <w:szCs w:val="32"/>
        </w:rPr>
        <w:t>五、</w:t>
      </w:r>
      <w:r>
        <w:rPr>
          <w:rFonts w:ascii="仿宋" w:hAnsi="仿宋" w:eastAsia="仿宋" w:cs="FangSong_GB2312"/>
          <w:color w:val="000000"/>
          <w:kern w:val="0"/>
          <w:sz w:val="32"/>
          <w:szCs w:val="32"/>
        </w:rPr>
        <w:t>201</w:t>
      </w:r>
      <w:r>
        <w:rPr>
          <w:rFonts w:hint="eastAsia" w:ascii="仿宋" w:hAnsi="仿宋" w:eastAsia="仿宋" w:cs="FangSong_GB2312"/>
          <w:color w:val="000000"/>
          <w:kern w:val="0"/>
          <w:sz w:val="32"/>
          <w:szCs w:val="32"/>
        </w:rPr>
        <w:t>7年度政府性基金预算财政拨款收入支出情况说明</w:t>
      </w:r>
    </w:p>
    <w:p>
      <w:pPr>
        <w:pStyle w:val="7"/>
        <w:rPr>
          <w:rFonts w:hint="eastAsia" w:ascii="仿宋" w:hAnsi="仿宋" w:eastAsia="仿宋" w:cs="FangSong_GB2312"/>
          <w:sz w:val="32"/>
          <w:szCs w:val="32"/>
        </w:rPr>
      </w:pPr>
      <w:r>
        <w:rPr>
          <w:rFonts w:hint="eastAsia" w:ascii="仿宋" w:hAnsi="仿宋" w:eastAsia="仿宋" w:cs="FangSong_GB2312"/>
          <w:sz w:val="32"/>
          <w:szCs w:val="32"/>
        </w:rPr>
        <w:t>六、2017年度国有资本经营预算财政拨款支出决算表</w:t>
      </w:r>
    </w:p>
    <w:p>
      <w:pPr>
        <w:autoSpaceDE w:val="0"/>
        <w:autoSpaceDN w:val="0"/>
        <w:adjustRightInd w:val="0"/>
        <w:jc w:val="left"/>
        <w:rPr>
          <w:rFonts w:hint="eastAsia" w:ascii="仿宋" w:hAnsi="仿宋" w:eastAsia="仿宋" w:cs="FangSong_GB2312"/>
          <w:color w:val="000000"/>
          <w:kern w:val="0"/>
          <w:sz w:val="32"/>
          <w:szCs w:val="32"/>
        </w:rPr>
      </w:pPr>
      <w:r>
        <w:rPr>
          <w:rFonts w:hint="eastAsia" w:ascii="仿宋" w:hAnsi="仿宋" w:eastAsia="仿宋" w:cs="FangSong_GB2312"/>
          <w:color w:val="000000"/>
          <w:kern w:val="0"/>
          <w:sz w:val="32"/>
          <w:szCs w:val="32"/>
        </w:rPr>
        <w:t>七、</w:t>
      </w:r>
      <w:r>
        <w:rPr>
          <w:rFonts w:hint="eastAsia" w:ascii="仿宋" w:hAnsi="仿宋" w:eastAsia="仿宋" w:cs="FangSong_GB2312"/>
          <w:sz w:val="32"/>
          <w:szCs w:val="32"/>
        </w:rPr>
        <w:t>2017年度政府采购情况表</w:t>
      </w:r>
    </w:p>
    <w:p>
      <w:pPr>
        <w:autoSpaceDE w:val="0"/>
        <w:autoSpaceDN w:val="0"/>
        <w:adjustRightInd w:val="0"/>
        <w:jc w:val="left"/>
        <w:rPr>
          <w:rFonts w:hint="eastAsia" w:ascii="仿宋" w:hAnsi="仿宋" w:eastAsia="仿宋" w:cs="FangSong_GB2312"/>
          <w:color w:val="000000"/>
          <w:kern w:val="0"/>
          <w:sz w:val="32"/>
          <w:szCs w:val="32"/>
        </w:rPr>
      </w:pPr>
      <w:r>
        <w:rPr>
          <w:rFonts w:hint="eastAsia" w:ascii="仿宋" w:hAnsi="仿宋" w:eastAsia="仿宋"/>
          <w:sz w:val="32"/>
          <w:szCs w:val="32"/>
        </w:rPr>
        <w:t>八、</w:t>
      </w:r>
      <w:r>
        <w:rPr>
          <w:rFonts w:ascii="仿宋" w:hAnsi="仿宋" w:eastAsia="仿宋"/>
          <w:kern w:val="0"/>
          <w:sz w:val="32"/>
          <w:szCs w:val="32"/>
        </w:rPr>
        <w:t>201</w:t>
      </w:r>
      <w:r>
        <w:rPr>
          <w:rFonts w:hint="eastAsia" w:ascii="仿宋" w:hAnsi="仿宋" w:eastAsia="仿宋"/>
          <w:kern w:val="0"/>
          <w:sz w:val="32"/>
          <w:szCs w:val="32"/>
        </w:rPr>
        <w:t>7年度预算绩效情况说明</w:t>
      </w:r>
    </w:p>
    <w:p>
      <w:pPr>
        <w:autoSpaceDE w:val="0"/>
        <w:autoSpaceDN w:val="0"/>
        <w:adjustRightInd w:val="0"/>
        <w:jc w:val="left"/>
        <w:rPr>
          <w:rFonts w:ascii="仿宋" w:hAnsi="仿宋" w:eastAsia="仿宋" w:cs="FangSong_GB2312"/>
          <w:color w:val="000000"/>
          <w:kern w:val="0"/>
          <w:sz w:val="32"/>
          <w:szCs w:val="32"/>
        </w:rPr>
      </w:pPr>
      <w:r>
        <w:rPr>
          <w:rFonts w:hint="eastAsia" w:ascii="仿宋" w:hAnsi="仿宋" w:eastAsia="仿宋" w:cs="FangSong_GB2312"/>
          <w:color w:val="000000"/>
          <w:kern w:val="0"/>
          <w:sz w:val="32"/>
          <w:szCs w:val="32"/>
        </w:rPr>
        <w:t>九、</w:t>
      </w:r>
      <w:r>
        <w:rPr>
          <w:rFonts w:ascii="仿宋" w:hAnsi="仿宋" w:eastAsia="仿宋" w:cs="FangSong_GB2312"/>
          <w:color w:val="000000"/>
          <w:kern w:val="0"/>
          <w:sz w:val="32"/>
          <w:szCs w:val="32"/>
        </w:rPr>
        <w:t>201</w:t>
      </w:r>
      <w:r>
        <w:rPr>
          <w:rFonts w:hint="eastAsia" w:ascii="仿宋" w:hAnsi="仿宋" w:eastAsia="仿宋" w:cs="FangSong_GB2312"/>
          <w:color w:val="000000"/>
          <w:kern w:val="0"/>
          <w:sz w:val="32"/>
          <w:szCs w:val="32"/>
        </w:rPr>
        <w:t>7年度其他重要事项情况说明</w:t>
      </w:r>
    </w:p>
    <w:p>
      <w:pPr>
        <w:rPr>
          <w:rFonts w:hint="eastAsia" w:ascii="仿宋" w:hAnsi="仿宋" w:eastAsia="仿宋"/>
          <w:b/>
          <w:sz w:val="32"/>
          <w:szCs w:val="32"/>
        </w:rPr>
      </w:pPr>
      <w:r>
        <w:rPr>
          <w:rFonts w:hint="eastAsia" w:ascii="仿宋" w:hAnsi="仿宋" w:eastAsia="仿宋"/>
          <w:b/>
          <w:sz w:val="32"/>
          <w:szCs w:val="32"/>
        </w:rPr>
        <w:t>第三部分</w:t>
      </w:r>
      <w:r>
        <w:rPr>
          <w:rFonts w:hint="eastAsia" w:ascii="仿宋" w:hAnsi="仿宋" w:eastAsia="仿宋"/>
          <w:sz w:val="32"/>
          <w:szCs w:val="32"/>
        </w:rPr>
        <w:t xml:space="preserve">  </w:t>
      </w:r>
      <w:r>
        <w:rPr>
          <w:rFonts w:hint="eastAsia" w:ascii="仿宋" w:hAnsi="仿宋" w:eastAsia="仿宋"/>
          <w:b/>
          <w:sz w:val="32"/>
          <w:szCs w:val="32"/>
        </w:rPr>
        <w:t>名词解释</w:t>
      </w:r>
    </w:p>
    <w:p>
      <w:pPr>
        <w:rPr>
          <w:rFonts w:hint="eastAsia"/>
          <w:b/>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pStyle w:val="7"/>
        <w:ind w:firstLine="880"/>
        <w:jc w:val="center"/>
        <w:rPr>
          <w:b/>
          <w:sz w:val="36"/>
          <w:szCs w:val="36"/>
        </w:rPr>
      </w:pPr>
    </w:p>
    <w:p>
      <w:pPr>
        <w:pStyle w:val="7"/>
        <w:ind w:firstLine="880"/>
        <w:jc w:val="center"/>
        <w:rPr>
          <w:b/>
          <w:sz w:val="36"/>
          <w:szCs w:val="36"/>
        </w:rPr>
      </w:pPr>
    </w:p>
    <w:p>
      <w:pPr>
        <w:pStyle w:val="7"/>
        <w:ind w:firstLine="880"/>
        <w:jc w:val="center"/>
        <w:rPr>
          <w:b/>
          <w:sz w:val="36"/>
          <w:szCs w:val="36"/>
        </w:rPr>
      </w:pPr>
      <w:r>
        <w:rPr>
          <w:b/>
          <w:sz w:val="36"/>
          <w:szCs w:val="36"/>
        </w:rPr>
        <w:t>2017</w:t>
      </w:r>
      <w:r>
        <w:rPr>
          <w:rFonts w:hint="eastAsia"/>
          <w:b/>
          <w:sz w:val="36"/>
          <w:szCs w:val="36"/>
        </w:rPr>
        <w:t>年赞皇县旅游局决算分析报告</w:t>
      </w:r>
    </w:p>
    <w:p>
      <w:pPr>
        <w:pStyle w:val="7"/>
        <w:spacing w:line="360" w:lineRule="auto"/>
        <w:jc w:val="center"/>
        <w:rPr>
          <w:b/>
          <w:sz w:val="36"/>
          <w:szCs w:val="36"/>
        </w:rPr>
      </w:pPr>
      <w:r>
        <w:rPr>
          <w:rFonts w:hint="eastAsia"/>
          <w:b/>
          <w:sz w:val="36"/>
          <w:szCs w:val="36"/>
        </w:rPr>
        <w:t>第一部分旅游局概况</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widowControl/>
        <w:ind w:left="560" w:firstLine="643"/>
        <w:jc w:val="left"/>
        <w:rPr>
          <w:rFonts w:ascii="Times New Roman" w:hAnsi="Times New Roman" w:eastAsia="方正仿宋_GBK"/>
          <w:b/>
          <w:sz w:val="32"/>
          <w:szCs w:val="32"/>
        </w:rPr>
      </w:pPr>
      <w:r>
        <w:rPr>
          <w:rFonts w:hint="eastAsia" w:ascii="Times New Roman" w:hAnsi="Times New Roman" w:eastAsia="方正仿宋_GBK"/>
          <w:b/>
          <w:sz w:val="32"/>
          <w:szCs w:val="32"/>
        </w:rPr>
        <w:t xml:space="preserve"> 部门</w:t>
      </w:r>
      <w:r>
        <w:rPr>
          <w:rFonts w:ascii="Times New Roman" w:hAnsi="Times New Roman" w:eastAsia="方正仿宋_GBK"/>
          <w:b/>
          <w:sz w:val="32"/>
          <w:szCs w:val="32"/>
        </w:rPr>
        <w:t>职责：</w:t>
      </w:r>
    </w:p>
    <w:p>
      <w:pPr>
        <w:widowControl/>
        <w:ind w:left="560" w:firstLine="560"/>
        <w:jc w:val="left"/>
        <w:rPr>
          <w:rFonts w:ascii="仿宋" w:hAnsi="仿宋" w:eastAsia="仿宋"/>
          <w:sz w:val="28"/>
        </w:rPr>
      </w:pPr>
      <w:r>
        <w:rPr>
          <w:rFonts w:hint="eastAsia" w:ascii="仿宋" w:hAnsi="仿宋" w:eastAsia="仿宋"/>
          <w:sz w:val="28"/>
        </w:rPr>
        <w:t>（一）负责</w:t>
      </w:r>
      <w:bookmarkStart w:id="1" w:name="_GoBack"/>
      <w:bookmarkEnd w:id="1"/>
      <w:r>
        <w:rPr>
          <w:rFonts w:hint="eastAsia" w:ascii="仿宋" w:hAnsi="仿宋" w:eastAsia="仿宋"/>
          <w:sz w:val="28"/>
        </w:rPr>
        <w:t>贯彻落实党中央、国务院、省委、省政府、市委、市 政府及县委、县政府关于发展旅游业的方针政策，拟定全县旅游行业管理地方性法规草案，规章并监督实施，拟定全县旅游发展总体规划并组织实施。</w:t>
      </w:r>
    </w:p>
    <w:p>
      <w:pPr>
        <w:widowControl/>
        <w:ind w:left="560" w:firstLine="560"/>
        <w:jc w:val="left"/>
        <w:rPr>
          <w:rFonts w:ascii="仿宋" w:hAnsi="仿宋" w:eastAsia="仿宋"/>
          <w:sz w:val="28"/>
        </w:rPr>
      </w:pPr>
      <w:r>
        <w:rPr>
          <w:rFonts w:hint="eastAsia" w:ascii="仿宋" w:hAnsi="仿宋" w:eastAsia="仿宋"/>
          <w:sz w:val="28"/>
        </w:rPr>
        <w:t>（二）对全县经营旅游业的旅游景区、景点企业单位及从业人员实施行业管理与领导，并加强两个文明建设。</w:t>
      </w:r>
    </w:p>
    <w:p>
      <w:pPr>
        <w:widowControl/>
        <w:ind w:left="560" w:firstLine="560"/>
        <w:jc w:val="left"/>
        <w:rPr>
          <w:rFonts w:ascii="仿宋" w:hAnsi="仿宋" w:eastAsia="仿宋"/>
          <w:sz w:val="28"/>
        </w:rPr>
      </w:pPr>
      <w:r>
        <w:rPr>
          <w:rFonts w:hint="eastAsia" w:ascii="仿宋" w:hAnsi="仿宋" w:eastAsia="仿宋"/>
          <w:sz w:val="28"/>
        </w:rPr>
        <w:t>（三）组织对全县旅游资源普查。指导协调旅游资源开发、利用、保护，指导全县旅游招商引资工作，组织指导旅游业统计工作。</w:t>
      </w:r>
    </w:p>
    <w:p>
      <w:pPr>
        <w:widowControl/>
        <w:ind w:left="560" w:firstLine="560"/>
        <w:jc w:val="left"/>
        <w:rPr>
          <w:rFonts w:ascii="仿宋" w:hAnsi="仿宋" w:eastAsia="仿宋"/>
          <w:sz w:val="28"/>
        </w:rPr>
      </w:pPr>
      <w:r>
        <w:rPr>
          <w:rFonts w:hint="eastAsia" w:ascii="仿宋" w:hAnsi="仿宋" w:eastAsia="仿宋"/>
          <w:sz w:val="28"/>
        </w:rPr>
        <w:t>（四）拟定全县旅游发展战略。搞好旅游市场调研和信息交流。组织全县旅游业对外对内宣传促销。</w:t>
      </w:r>
    </w:p>
    <w:p>
      <w:pPr>
        <w:widowControl/>
        <w:ind w:left="560" w:firstLine="560"/>
        <w:jc w:val="left"/>
        <w:rPr>
          <w:rFonts w:ascii="仿宋" w:hAnsi="仿宋" w:eastAsia="仿宋"/>
          <w:sz w:val="28"/>
        </w:rPr>
      </w:pPr>
      <w:r>
        <w:rPr>
          <w:rFonts w:hint="eastAsia" w:ascii="仿宋" w:hAnsi="仿宋" w:eastAsia="仿宋"/>
          <w:sz w:val="28"/>
        </w:rPr>
        <w:t>（五）组织指导县内公民出外旅游业务。</w:t>
      </w:r>
    </w:p>
    <w:p>
      <w:pPr>
        <w:widowControl/>
        <w:ind w:left="560" w:firstLine="560"/>
        <w:jc w:val="left"/>
        <w:rPr>
          <w:rFonts w:ascii="仿宋" w:hAnsi="仿宋" w:eastAsia="仿宋"/>
          <w:sz w:val="28"/>
        </w:rPr>
      </w:pPr>
      <w:r>
        <w:rPr>
          <w:rFonts w:hint="eastAsia" w:ascii="仿宋" w:hAnsi="仿宋" w:eastAsia="仿宋"/>
          <w:sz w:val="28"/>
        </w:rPr>
        <w:t>（六）负责全县涉外旅游事务，指导旅游对外交流与合作。</w:t>
      </w:r>
    </w:p>
    <w:p>
      <w:pPr>
        <w:widowControl/>
        <w:ind w:left="560" w:firstLine="560"/>
        <w:jc w:val="left"/>
        <w:rPr>
          <w:rFonts w:ascii="仿宋" w:hAnsi="仿宋" w:eastAsia="仿宋"/>
          <w:sz w:val="28"/>
        </w:rPr>
      </w:pPr>
      <w:r>
        <w:rPr>
          <w:rFonts w:hint="eastAsia" w:ascii="仿宋" w:hAnsi="仿宋" w:eastAsia="仿宋"/>
          <w:sz w:val="28"/>
        </w:rPr>
        <w:t>（七）审批县内经营旅游业务的企事业单位、办事机构，组织指导旅游行业评星、定级、定点工作，指导旅游企业改革和发展工作。</w:t>
      </w:r>
    </w:p>
    <w:p>
      <w:pPr>
        <w:widowControl/>
        <w:ind w:left="560" w:firstLine="560"/>
        <w:jc w:val="left"/>
        <w:rPr>
          <w:rFonts w:ascii="仿宋" w:hAnsi="仿宋" w:eastAsia="仿宋"/>
          <w:sz w:val="28"/>
        </w:rPr>
      </w:pPr>
      <w:r>
        <w:rPr>
          <w:rFonts w:hint="eastAsia" w:ascii="仿宋" w:hAnsi="仿宋" w:eastAsia="仿宋"/>
          <w:sz w:val="28"/>
        </w:rPr>
        <w:t>（八）制定旅游服务地方标准，监督检查旅游市场秩序、服务质量、旅游安全和旅游保险工作，受理旅游投诉事宜。</w:t>
      </w:r>
    </w:p>
    <w:p>
      <w:pPr>
        <w:widowControl/>
        <w:ind w:left="560" w:firstLine="560"/>
        <w:jc w:val="left"/>
        <w:rPr>
          <w:rFonts w:ascii="仿宋" w:hAnsi="仿宋" w:eastAsia="仿宋"/>
          <w:sz w:val="28"/>
        </w:rPr>
      </w:pPr>
      <w:r>
        <w:rPr>
          <w:rFonts w:hint="eastAsia" w:ascii="仿宋" w:hAnsi="仿宋" w:eastAsia="仿宋"/>
          <w:sz w:val="28"/>
        </w:rPr>
        <w:t>（九）制定全县旅游行业人才教育培训计划。</w:t>
      </w:r>
    </w:p>
    <w:p>
      <w:pPr>
        <w:widowControl/>
        <w:ind w:left="560" w:firstLine="560"/>
        <w:jc w:val="left"/>
        <w:rPr>
          <w:rFonts w:ascii="仿宋" w:hAnsi="仿宋" w:eastAsia="仿宋"/>
          <w:b/>
          <w:sz w:val="32"/>
          <w:szCs w:val="32"/>
        </w:rPr>
      </w:pPr>
      <w:r>
        <w:rPr>
          <w:rFonts w:hint="eastAsia" w:ascii="仿宋" w:hAnsi="仿宋" w:eastAsia="仿宋"/>
          <w:sz w:val="28"/>
        </w:rPr>
        <w:t>（十）承办县政府交办的其他事项。</w:t>
      </w:r>
    </w:p>
    <w:p>
      <w:pPr>
        <w:autoSpaceDE w:val="0"/>
        <w:autoSpaceDN w:val="0"/>
        <w:adjustRightInd w:val="0"/>
        <w:ind w:firstLine="643"/>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ind w:firstLine="640"/>
        <w:jc w:val="center"/>
        <w:outlineLvl w:val="0"/>
        <w:rPr>
          <w:rFonts w:ascii="Times New Roman" w:hAnsi="Times New Roman" w:eastAsia="方正小标宋_GBK"/>
          <w:sz w:val="32"/>
          <w:szCs w:val="24"/>
        </w:rPr>
      </w:pP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tbl>
      <w:tblPr>
        <w:tblStyle w:val="4"/>
        <w:tblW w:w="93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43"/>
        <w:gridCol w:w="2156"/>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043" w:type="dxa"/>
            <w:vMerge w:val="restart"/>
            <w:vAlign w:val="center"/>
          </w:tcPr>
          <w:p>
            <w:pPr>
              <w:spacing w:line="300" w:lineRule="exact"/>
              <w:ind w:firstLine="422"/>
              <w:jc w:val="center"/>
              <w:rPr>
                <w:rFonts w:ascii="Times New Roman" w:hAnsi="Times New Roman" w:eastAsia="方正书宋_GBK"/>
                <w:b/>
                <w:szCs w:val="24"/>
              </w:rPr>
            </w:pPr>
            <w:r>
              <w:rPr>
                <w:rFonts w:ascii="Times New Roman" w:hAnsi="Times New Roman" w:eastAsia="方正书宋_GBK"/>
                <w:b/>
                <w:szCs w:val="24"/>
              </w:rPr>
              <w:t>单位名称</w:t>
            </w:r>
          </w:p>
        </w:tc>
        <w:tc>
          <w:tcPr>
            <w:tcW w:w="2156" w:type="dxa"/>
            <w:vMerge w:val="restart"/>
            <w:vAlign w:val="center"/>
          </w:tcPr>
          <w:p>
            <w:pPr>
              <w:spacing w:line="300" w:lineRule="exact"/>
              <w:ind w:firstLine="422"/>
              <w:jc w:val="center"/>
              <w:rPr>
                <w:rFonts w:ascii="Times New Roman" w:hAnsi="Times New Roman" w:eastAsia="方正书宋_GBK"/>
                <w:b/>
                <w:szCs w:val="24"/>
              </w:rPr>
            </w:pPr>
            <w:r>
              <w:rPr>
                <w:rFonts w:ascii="Times New Roman" w:hAnsi="Times New Roman" w:eastAsia="方正书宋_GBK"/>
                <w:b/>
                <w:szCs w:val="24"/>
              </w:rPr>
              <w:t>单位性质</w:t>
            </w:r>
          </w:p>
        </w:tc>
        <w:tc>
          <w:tcPr>
            <w:tcW w:w="1276" w:type="dxa"/>
            <w:vMerge w:val="restart"/>
            <w:vAlign w:val="center"/>
          </w:tcPr>
          <w:p>
            <w:pPr>
              <w:spacing w:line="300" w:lineRule="exact"/>
              <w:ind w:firstLine="422"/>
              <w:jc w:val="center"/>
              <w:rPr>
                <w:rFonts w:ascii="Times New Roman" w:hAnsi="Times New Roman" w:eastAsia="方正书宋_GBK"/>
                <w:b/>
                <w:szCs w:val="24"/>
              </w:rPr>
            </w:pPr>
            <w:r>
              <w:rPr>
                <w:rFonts w:ascii="Times New Roman" w:hAnsi="Times New Roman" w:eastAsia="方正书宋_GBK"/>
                <w:b/>
                <w:szCs w:val="24"/>
              </w:rPr>
              <w:t>单位规格</w:t>
            </w:r>
          </w:p>
        </w:tc>
        <w:tc>
          <w:tcPr>
            <w:tcW w:w="2902" w:type="dxa"/>
            <w:vMerge w:val="restart"/>
            <w:vAlign w:val="center"/>
          </w:tcPr>
          <w:p>
            <w:pPr>
              <w:spacing w:line="300" w:lineRule="exact"/>
              <w:ind w:firstLine="422"/>
              <w:jc w:val="center"/>
              <w:rPr>
                <w:rFonts w:ascii="Times New Roman" w:hAnsi="Times New Roman" w:eastAsia="方正书宋_GBK"/>
                <w:b/>
                <w:szCs w:val="24"/>
              </w:rPr>
            </w:pPr>
            <w:r>
              <w:rPr>
                <w:rFonts w:ascii="Times New Roman" w:hAnsi="Times New Roman"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043" w:type="dxa"/>
            <w:vMerge w:val="continue"/>
            <w:vAlign w:val="center"/>
          </w:tcPr>
          <w:p>
            <w:pPr>
              <w:spacing w:line="300" w:lineRule="exact"/>
              <w:ind w:firstLine="420"/>
              <w:jc w:val="left"/>
              <w:outlineLvl w:val="0"/>
              <w:rPr>
                <w:rFonts w:ascii="Times New Roman" w:hAnsi="Times New Roman"/>
                <w:szCs w:val="24"/>
              </w:rPr>
            </w:pPr>
          </w:p>
        </w:tc>
        <w:tc>
          <w:tcPr>
            <w:tcW w:w="2156" w:type="dxa"/>
            <w:vMerge w:val="continue"/>
            <w:vAlign w:val="center"/>
          </w:tcPr>
          <w:p>
            <w:pPr>
              <w:spacing w:line="300" w:lineRule="exact"/>
              <w:ind w:firstLine="420"/>
              <w:jc w:val="left"/>
              <w:outlineLvl w:val="0"/>
              <w:rPr>
                <w:rFonts w:ascii="Times New Roman" w:hAnsi="Times New Roman"/>
                <w:szCs w:val="24"/>
              </w:rPr>
            </w:pPr>
          </w:p>
        </w:tc>
        <w:tc>
          <w:tcPr>
            <w:tcW w:w="1276" w:type="dxa"/>
            <w:vMerge w:val="continue"/>
            <w:vAlign w:val="center"/>
          </w:tcPr>
          <w:p>
            <w:pPr>
              <w:spacing w:line="300" w:lineRule="exact"/>
              <w:ind w:firstLine="420"/>
              <w:jc w:val="left"/>
              <w:outlineLvl w:val="0"/>
              <w:rPr>
                <w:rFonts w:ascii="Times New Roman" w:hAnsi="Times New Roman"/>
                <w:szCs w:val="24"/>
              </w:rPr>
            </w:pPr>
          </w:p>
        </w:tc>
        <w:tc>
          <w:tcPr>
            <w:tcW w:w="2902" w:type="dxa"/>
            <w:vMerge w:val="continue"/>
            <w:vAlign w:val="center"/>
          </w:tcPr>
          <w:p>
            <w:pPr>
              <w:spacing w:line="300" w:lineRule="exact"/>
              <w:ind w:firstLine="420"/>
              <w:jc w:val="left"/>
              <w:outlineLvl w:val="0"/>
              <w:rPr>
                <w:rFonts w:ascii="Times New Roman" w:hAnsi="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043" w:type="dxa"/>
            <w:vAlign w:val="center"/>
          </w:tcPr>
          <w:p>
            <w:pPr>
              <w:spacing w:line="300" w:lineRule="exact"/>
              <w:ind w:firstLine="420"/>
              <w:jc w:val="left"/>
              <w:rPr>
                <w:rFonts w:hint="eastAsia" w:ascii="Times New Roman" w:hAnsi="Times New Roman"/>
                <w:szCs w:val="24"/>
              </w:rPr>
            </w:pPr>
            <w:r>
              <w:rPr>
                <w:rFonts w:hint="eastAsia" w:ascii="方正书宋_GBK"/>
              </w:rPr>
              <w:t>旅游局</w:t>
            </w:r>
          </w:p>
        </w:tc>
        <w:tc>
          <w:tcPr>
            <w:tcW w:w="2156" w:type="dxa"/>
            <w:vAlign w:val="center"/>
          </w:tcPr>
          <w:p>
            <w:pPr>
              <w:spacing w:line="300" w:lineRule="exact"/>
              <w:ind w:firstLine="420"/>
              <w:jc w:val="center"/>
              <w:rPr>
                <w:rFonts w:hint="eastAsia" w:ascii="Times New Roman" w:hAnsi="Times New Roman" w:eastAsia="方正书宋_GBK"/>
                <w:szCs w:val="24"/>
              </w:rPr>
            </w:pPr>
            <w:r>
              <w:rPr>
                <w:rFonts w:hint="eastAsia" w:ascii="方正书宋_GBK" w:eastAsia="方正书宋_GBK"/>
              </w:rPr>
              <w:t>参公事业单位</w:t>
            </w:r>
          </w:p>
        </w:tc>
        <w:tc>
          <w:tcPr>
            <w:tcW w:w="1276" w:type="dxa"/>
            <w:vAlign w:val="center"/>
          </w:tcPr>
          <w:p>
            <w:pPr>
              <w:spacing w:line="300" w:lineRule="exact"/>
              <w:ind w:firstLine="420"/>
              <w:jc w:val="center"/>
              <w:rPr>
                <w:rFonts w:ascii="Times New Roman" w:hAnsi="Times New Roman" w:eastAsia="方正书宋_GBK"/>
                <w:szCs w:val="24"/>
              </w:rPr>
            </w:pPr>
            <w:r>
              <w:rPr>
                <w:rFonts w:hint="eastAsia" w:ascii="方正书宋_GBK" w:eastAsia="方正书宋_GBK"/>
              </w:rPr>
              <w:t>正科级</w:t>
            </w:r>
          </w:p>
        </w:tc>
        <w:tc>
          <w:tcPr>
            <w:tcW w:w="2902" w:type="dxa"/>
            <w:vAlign w:val="center"/>
          </w:tcPr>
          <w:p>
            <w:pPr>
              <w:spacing w:line="300" w:lineRule="exact"/>
              <w:ind w:firstLine="420"/>
              <w:jc w:val="center"/>
              <w:rPr>
                <w:rFonts w:ascii="Times New Roman" w:hAnsi="Times New Roman" w:eastAsia="方正书宋_GBK"/>
                <w:szCs w:val="24"/>
              </w:rPr>
            </w:pPr>
            <w:r>
              <w:rPr>
                <w:rFonts w:hint="eastAsia" w:ascii="方正书宋_GBK" w:eastAsia="方正书宋_GBK"/>
              </w:rPr>
              <w:t>财政拨款</w:t>
            </w:r>
          </w:p>
        </w:tc>
      </w:tr>
    </w:tbl>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rPr>
          <w:rFonts w:hint="eastAsia"/>
          <w:b/>
          <w:sz w:val="44"/>
          <w:szCs w:val="44"/>
        </w:rPr>
      </w:pPr>
    </w:p>
    <w:p>
      <w:pPr>
        <w:pStyle w:val="7"/>
        <w:spacing w:line="360" w:lineRule="auto"/>
        <w:jc w:val="center"/>
        <w:rPr>
          <w:b/>
          <w:sz w:val="36"/>
          <w:szCs w:val="36"/>
        </w:rPr>
      </w:pPr>
      <w:r>
        <w:rPr>
          <w:rFonts w:hint="eastAsia"/>
          <w:b/>
          <w:sz w:val="36"/>
          <w:szCs w:val="36"/>
        </w:rPr>
        <w:t>第二部分</w:t>
      </w:r>
      <w:r>
        <w:rPr>
          <w:b/>
          <w:sz w:val="36"/>
          <w:szCs w:val="36"/>
        </w:rPr>
        <w:t>2017</w:t>
      </w:r>
      <w:r>
        <w:rPr>
          <w:rFonts w:hint="eastAsia"/>
          <w:b/>
          <w:sz w:val="36"/>
          <w:szCs w:val="36"/>
        </w:rPr>
        <w:t>年度旅游局部门决算情况说明</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一、</w:t>
      </w:r>
      <w:r>
        <w:rPr>
          <w:rFonts w:ascii="仿宋" w:hAnsi="仿宋" w:eastAsia="仿宋" w:cs="方正仿宋_GBK"/>
          <w:sz w:val="32"/>
          <w:szCs w:val="32"/>
        </w:rPr>
        <w:t>2017</w:t>
      </w:r>
      <w:r>
        <w:rPr>
          <w:rFonts w:hint="eastAsia" w:ascii="仿宋" w:hAnsi="仿宋" w:eastAsia="仿宋" w:cs="方正仿宋_GBK"/>
          <w:sz w:val="32"/>
          <w:szCs w:val="32"/>
        </w:rPr>
        <w:t>年度收入支出总表情况说明</w:t>
      </w:r>
    </w:p>
    <w:p>
      <w:pPr>
        <w:adjustRightInd w:val="0"/>
        <w:snapToGrid w:val="0"/>
        <w:spacing w:line="600" w:lineRule="exact"/>
        <w:ind w:firstLine="640"/>
        <w:rPr>
          <w:rFonts w:hint="eastAsia" w:ascii="仿宋" w:hAnsi="仿宋" w:eastAsia="仿宋" w:cs="方正仿宋_GBK"/>
          <w:sz w:val="32"/>
          <w:szCs w:val="32"/>
        </w:rPr>
      </w:pPr>
      <w:r>
        <w:rPr>
          <w:rFonts w:ascii="仿宋" w:hAnsi="仿宋" w:eastAsia="仿宋"/>
          <w:bCs/>
          <w:sz w:val="32"/>
          <w:szCs w:val="32"/>
        </w:rPr>
        <w:t>1.</w:t>
      </w:r>
      <w:r>
        <w:rPr>
          <w:rFonts w:hint="eastAsia" w:ascii="仿宋" w:hAnsi="仿宋" w:eastAsia="仿宋"/>
          <w:bCs/>
          <w:sz w:val="32"/>
          <w:szCs w:val="32"/>
        </w:rPr>
        <w:t>本年度决算收入：733.88万元，</w:t>
      </w:r>
      <w:r>
        <w:rPr>
          <w:rFonts w:hint="eastAsia" w:ascii="仿宋" w:hAnsi="仿宋" w:eastAsia="仿宋" w:cs="方正仿宋_GBK"/>
          <w:sz w:val="32"/>
          <w:szCs w:val="32"/>
        </w:rPr>
        <w:t>收入与</w:t>
      </w:r>
      <w:r>
        <w:rPr>
          <w:rFonts w:ascii="仿宋" w:hAnsi="仿宋" w:eastAsia="仿宋" w:cs="方正仿宋_GBK"/>
          <w:sz w:val="32"/>
          <w:szCs w:val="32"/>
        </w:rPr>
        <w:t>2016</w:t>
      </w:r>
      <w:r>
        <w:rPr>
          <w:rFonts w:hint="eastAsia" w:ascii="仿宋" w:hAnsi="仿宋" w:eastAsia="仿宋" w:cs="方正仿宋_GBK"/>
          <w:sz w:val="32"/>
          <w:szCs w:val="32"/>
        </w:rPr>
        <w:t>年相比，本年收入增加222万元，</w:t>
      </w:r>
      <w:r>
        <w:rPr>
          <w:rFonts w:hint="eastAsia" w:ascii="仿宋" w:hAnsi="仿宋" w:eastAsia="仿宋"/>
          <w:bCs/>
          <w:sz w:val="32"/>
          <w:szCs w:val="32"/>
        </w:rPr>
        <w:t>增长</w:t>
      </w:r>
      <w:r>
        <w:rPr>
          <w:rFonts w:ascii="仿宋" w:hAnsi="仿宋" w:eastAsia="仿宋"/>
          <w:bCs/>
          <w:sz w:val="32"/>
          <w:szCs w:val="32"/>
        </w:rPr>
        <w:t xml:space="preserve"> </w:t>
      </w:r>
      <w:r>
        <w:rPr>
          <w:rFonts w:hint="eastAsia" w:ascii="仿宋" w:hAnsi="仿宋" w:eastAsia="仿宋"/>
          <w:bCs/>
          <w:sz w:val="32"/>
          <w:szCs w:val="32"/>
        </w:rPr>
        <w:t>43</w:t>
      </w:r>
      <w:r>
        <w:rPr>
          <w:rFonts w:ascii="仿宋" w:hAnsi="仿宋" w:eastAsia="仿宋"/>
          <w:bCs/>
          <w:sz w:val="32"/>
          <w:szCs w:val="32"/>
        </w:rPr>
        <w:t>.</w:t>
      </w:r>
      <w:r>
        <w:rPr>
          <w:rFonts w:hint="eastAsia" w:ascii="仿宋" w:hAnsi="仿宋" w:eastAsia="仿宋"/>
          <w:bCs/>
          <w:sz w:val="32"/>
          <w:szCs w:val="32"/>
        </w:rPr>
        <w:t>44</w:t>
      </w:r>
      <w:r>
        <w:rPr>
          <w:rFonts w:ascii="仿宋" w:hAnsi="仿宋" w:eastAsia="仿宋"/>
          <w:bCs/>
          <w:sz w:val="32"/>
          <w:szCs w:val="32"/>
        </w:rPr>
        <w:t xml:space="preserve"> %</w:t>
      </w:r>
      <w:r>
        <w:rPr>
          <w:rFonts w:hint="eastAsia" w:ascii="仿宋" w:hAnsi="仿宋" w:eastAsia="仿宋"/>
          <w:bCs/>
          <w:sz w:val="32"/>
          <w:szCs w:val="32"/>
        </w:rPr>
        <w:t>。决算支出733.88万元，</w:t>
      </w:r>
      <w:r>
        <w:rPr>
          <w:rFonts w:hint="eastAsia" w:ascii="仿宋" w:hAnsi="仿宋" w:eastAsia="仿宋" w:cs="方正仿宋_GBK"/>
          <w:sz w:val="32"/>
          <w:szCs w:val="32"/>
        </w:rPr>
        <w:t>其中：社会保障和就业支出62</w:t>
      </w:r>
      <w:r>
        <w:rPr>
          <w:rFonts w:ascii="仿宋" w:hAnsi="仿宋" w:eastAsia="仿宋" w:cs="方正仿宋_GBK"/>
          <w:sz w:val="32"/>
          <w:szCs w:val="32"/>
        </w:rPr>
        <w:t>.06</w:t>
      </w:r>
      <w:r>
        <w:rPr>
          <w:rFonts w:hint="eastAsia" w:ascii="仿宋" w:hAnsi="仿宋" w:eastAsia="仿宋" w:cs="方正仿宋_GBK"/>
          <w:sz w:val="32"/>
          <w:szCs w:val="32"/>
        </w:rPr>
        <w:t>万元、商业服务业支出671.81，支出与</w:t>
      </w:r>
      <w:r>
        <w:rPr>
          <w:rFonts w:ascii="仿宋" w:hAnsi="仿宋" w:eastAsia="仿宋" w:cs="方正仿宋_GBK"/>
          <w:sz w:val="32"/>
          <w:szCs w:val="32"/>
        </w:rPr>
        <w:t>2016</w:t>
      </w:r>
      <w:r>
        <w:rPr>
          <w:rFonts w:hint="eastAsia" w:ascii="仿宋" w:hAnsi="仿宋" w:eastAsia="仿宋" w:cs="方正仿宋_GBK"/>
          <w:sz w:val="32"/>
          <w:szCs w:val="32"/>
        </w:rPr>
        <w:t>年相比，本年支出减少55万元，减少9</w:t>
      </w:r>
      <w:r>
        <w:rPr>
          <w:rFonts w:ascii="仿宋" w:hAnsi="仿宋" w:eastAsia="仿宋" w:cs="方正仿宋_GBK"/>
          <w:sz w:val="32"/>
          <w:szCs w:val="32"/>
        </w:rPr>
        <w:t>%</w:t>
      </w:r>
      <w:r>
        <w:rPr>
          <w:rFonts w:hint="eastAsia" w:ascii="仿宋" w:hAnsi="仿宋" w:eastAsia="仿宋" w:cs="方正仿宋_GBK"/>
          <w:sz w:val="32"/>
          <w:szCs w:val="32"/>
        </w:rPr>
        <w:t>。</w:t>
      </w:r>
      <w:r>
        <w:rPr>
          <w:rFonts w:hint="eastAsia" w:ascii="仿宋" w:hAnsi="仿宋" w:eastAsia="仿宋"/>
          <w:bCs/>
          <w:sz w:val="32"/>
          <w:szCs w:val="32"/>
        </w:rPr>
        <w:t>收支结余中，结余分配</w:t>
      </w:r>
      <w:r>
        <w:rPr>
          <w:rFonts w:ascii="仿宋" w:hAnsi="仿宋" w:eastAsia="仿宋"/>
          <w:bCs/>
          <w:sz w:val="32"/>
          <w:szCs w:val="32"/>
        </w:rPr>
        <w:t xml:space="preserve"> 0</w:t>
      </w:r>
      <w:r>
        <w:rPr>
          <w:rFonts w:hint="eastAsia" w:ascii="仿宋" w:hAnsi="仿宋" w:eastAsia="仿宋"/>
          <w:bCs/>
          <w:sz w:val="32"/>
          <w:szCs w:val="32"/>
        </w:rPr>
        <w:t>万元，年末结转结余</w:t>
      </w:r>
      <w:r>
        <w:rPr>
          <w:rFonts w:ascii="仿宋" w:hAnsi="仿宋" w:eastAsia="仿宋"/>
          <w:bCs/>
          <w:sz w:val="32"/>
          <w:szCs w:val="32"/>
        </w:rPr>
        <w:t>0</w:t>
      </w:r>
      <w:r>
        <w:rPr>
          <w:rFonts w:hint="eastAsia" w:ascii="仿宋" w:hAnsi="仿宋" w:eastAsia="仿宋"/>
          <w:bCs/>
          <w:sz w:val="32"/>
          <w:szCs w:val="32"/>
        </w:rPr>
        <w:t>万元。</w:t>
      </w:r>
    </w:p>
    <w:p>
      <w:pPr>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lang w:eastAsia="zh-CN"/>
        </w:rPr>
        <w:drawing>
          <wp:inline distT="0" distB="0" distL="114300" distR="114300">
            <wp:extent cx="4898390" cy="2257425"/>
            <wp:effectExtent l="4445" t="4445" r="12065" b="508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二、</w:t>
      </w:r>
      <w:r>
        <w:rPr>
          <w:rFonts w:ascii="仿宋" w:hAnsi="仿宋" w:eastAsia="仿宋" w:cs="方正仿宋_GBK"/>
          <w:sz w:val="32"/>
          <w:szCs w:val="32"/>
        </w:rPr>
        <w:t>2017</w:t>
      </w:r>
      <w:r>
        <w:rPr>
          <w:rFonts w:hint="eastAsia" w:ascii="仿宋" w:hAnsi="仿宋" w:eastAsia="仿宋" w:cs="方正仿宋_GBK"/>
          <w:sz w:val="32"/>
          <w:szCs w:val="32"/>
        </w:rPr>
        <w:t>年度一般公共预算财政拨款支出情况说明</w:t>
      </w:r>
    </w:p>
    <w:p>
      <w:pPr>
        <w:spacing w:line="360" w:lineRule="auto"/>
        <w:ind w:firstLine="640"/>
        <w:rPr>
          <w:rFonts w:ascii="仿宋" w:hAnsi="仿宋" w:eastAsia="仿宋" w:cs="方正仿宋_GBK"/>
          <w:sz w:val="32"/>
          <w:szCs w:val="32"/>
        </w:rPr>
      </w:pPr>
      <w:r>
        <w:rPr>
          <w:rFonts w:ascii="仿宋" w:hAnsi="仿宋" w:eastAsia="仿宋" w:cs="方正仿宋_GBK"/>
          <w:sz w:val="32"/>
          <w:szCs w:val="32"/>
        </w:rPr>
        <w:t>2017</w:t>
      </w:r>
      <w:r>
        <w:rPr>
          <w:rFonts w:hint="eastAsia" w:ascii="仿宋" w:hAnsi="仿宋" w:eastAsia="仿宋" w:cs="方正仿宋_GBK"/>
          <w:sz w:val="32"/>
          <w:szCs w:val="32"/>
        </w:rPr>
        <w:t>年度一般公共预算财政拨款支出合计：677.88万元。其中：基本支出53.74万元，占总支出7.92</w:t>
      </w:r>
      <w:r>
        <w:rPr>
          <w:rFonts w:ascii="仿宋" w:hAnsi="仿宋" w:eastAsia="仿宋" w:cs="方正仿宋_GBK"/>
          <w:sz w:val="32"/>
          <w:szCs w:val="32"/>
        </w:rPr>
        <w:t>%</w:t>
      </w:r>
      <w:r>
        <w:rPr>
          <w:rFonts w:hint="eastAsia" w:ascii="仿宋" w:hAnsi="仿宋" w:eastAsia="仿宋" w:cs="方正仿宋_GBK"/>
          <w:sz w:val="32"/>
          <w:szCs w:val="32"/>
        </w:rPr>
        <w:t>；项目支出624.14万元，占总支出的92.07</w:t>
      </w:r>
      <w:r>
        <w:rPr>
          <w:rFonts w:ascii="仿宋" w:hAnsi="仿宋" w:eastAsia="仿宋" w:cs="方正仿宋_GBK"/>
          <w:sz w:val="32"/>
          <w:szCs w:val="32"/>
        </w:rPr>
        <w:t>%</w:t>
      </w:r>
      <w:r>
        <w:rPr>
          <w:rFonts w:hint="eastAsia" w:ascii="仿宋" w:hAnsi="仿宋" w:eastAsia="仿宋" w:cs="方正仿宋_GBK"/>
          <w:sz w:val="32"/>
          <w:szCs w:val="32"/>
        </w:rPr>
        <w:t>，其中：退役士兵安置支出61.76万元、旅游业管理与服务支出562.38万元。</w:t>
      </w:r>
    </w:p>
    <w:p>
      <w:pPr>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lang w:eastAsia="zh-CN"/>
        </w:rPr>
        <w:drawing>
          <wp:inline distT="0" distB="0" distL="114300" distR="114300">
            <wp:extent cx="5099050" cy="2304415"/>
            <wp:effectExtent l="5080" t="4445" r="20320" b="1524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三、</w:t>
      </w:r>
      <w:r>
        <w:rPr>
          <w:rFonts w:ascii="仿宋" w:hAnsi="仿宋" w:eastAsia="仿宋" w:cs="方正仿宋_GBK"/>
          <w:sz w:val="32"/>
          <w:szCs w:val="32"/>
        </w:rPr>
        <w:t>2017</w:t>
      </w:r>
      <w:r>
        <w:rPr>
          <w:rFonts w:hint="eastAsia" w:ascii="仿宋" w:hAnsi="仿宋" w:eastAsia="仿宋" w:cs="方正仿宋_GBK"/>
          <w:sz w:val="32"/>
          <w:szCs w:val="32"/>
        </w:rPr>
        <w:t>年度一般公共预算财政拨款基本支出情况说明</w:t>
      </w:r>
    </w:p>
    <w:p>
      <w:pPr>
        <w:spacing w:line="360" w:lineRule="auto"/>
        <w:ind w:firstLine="640"/>
        <w:rPr>
          <w:rFonts w:ascii="仿宋" w:hAnsi="仿宋" w:eastAsia="仿宋" w:cs="方正仿宋_GBK"/>
          <w:sz w:val="32"/>
          <w:szCs w:val="32"/>
        </w:rPr>
      </w:pPr>
      <w:r>
        <w:rPr>
          <w:rFonts w:ascii="仿宋" w:hAnsi="仿宋" w:eastAsia="仿宋" w:cs="方正仿宋_GBK"/>
          <w:sz w:val="32"/>
          <w:szCs w:val="32"/>
        </w:rPr>
        <w:t>2017</w:t>
      </w:r>
      <w:r>
        <w:rPr>
          <w:rFonts w:hint="eastAsia" w:ascii="仿宋" w:hAnsi="仿宋" w:eastAsia="仿宋" w:cs="方正仿宋_GBK"/>
          <w:sz w:val="32"/>
          <w:szCs w:val="32"/>
        </w:rPr>
        <w:t>年度一般公共预算财政拨款基本支出48.33万元，其中：工资福利支出18.55万元，对个人家庭补助支出29.77万元，商品服务支出5.41万元。</w:t>
      </w:r>
      <w:r>
        <w:rPr>
          <w:rFonts w:ascii="仿宋" w:hAnsi="仿宋" w:eastAsia="仿宋" w:cs="方正仿宋_GBK"/>
          <w:sz w:val="32"/>
          <w:szCs w:val="32"/>
        </w:rPr>
        <w:drawing>
          <wp:inline distT="0" distB="0" distL="114300" distR="114300">
            <wp:extent cx="4929505" cy="2781935"/>
            <wp:effectExtent l="4445" t="4445" r="19050" b="1397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四、</w:t>
      </w:r>
      <w:r>
        <w:rPr>
          <w:rFonts w:ascii="仿宋" w:hAnsi="仿宋" w:eastAsia="仿宋" w:cs="方正仿宋_GBK"/>
          <w:sz w:val="32"/>
          <w:szCs w:val="32"/>
        </w:rPr>
        <w:t>2017</w:t>
      </w:r>
      <w:r>
        <w:rPr>
          <w:rFonts w:hint="eastAsia" w:ascii="仿宋" w:hAnsi="仿宋" w:eastAsia="仿宋" w:cs="方正仿宋_GBK"/>
          <w:sz w:val="32"/>
          <w:szCs w:val="32"/>
        </w:rPr>
        <w:t>年度一般公共预算财政拨款“三公”经费支出情况说明</w:t>
      </w:r>
    </w:p>
    <w:p>
      <w:pPr>
        <w:adjustRightInd w:val="0"/>
        <w:snapToGrid w:val="0"/>
        <w:spacing w:line="600" w:lineRule="exact"/>
        <w:ind w:firstLine="640"/>
        <w:rPr>
          <w:rFonts w:ascii="仿宋" w:hAnsi="仿宋" w:eastAsia="仿宋"/>
          <w:bCs/>
          <w:sz w:val="32"/>
          <w:szCs w:val="32"/>
        </w:rPr>
      </w:pPr>
      <w:r>
        <w:rPr>
          <w:rFonts w:ascii="仿宋" w:hAnsi="仿宋" w:eastAsia="仿宋" w:cs="方正仿宋_GBK"/>
          <w:sz w:val="32"/>
          <w:szCs w:val="32"/>
        </w:rPr>
        <w:t>2017</w:t>
      </w:r>
      <w:r>
        <w:rPr>
          <w:rFonts w:hint="eastAsia" w:ascii="仿宋" w:hAnsi="仿宋" w:eastAsia="仿宋" w:cs="方正仿宋_GBK"/>
          <w:sz w:val="32"/>
          <w:szCs w:val="32"/>
        </w:rPr>
        <w:t>年度三公经费支出0元与上年无变化。</w:t>
      </w:r>
      <w:r>
        <w:rPr>
          <w:rFonts w:ascii="仿宋" w:hAnsi="仿宋" w:eastAsia="仿宋"/>
          <w:bCs/>
          <w:sz w:val="32"/>
          <w:szCs w:val="32"/>
        </w:rPr>
        <w:t>2017</w:t>
      </w:r>
      <w:r>
        <w:rPr>
          <w:rFonts w:hint="eastAsia" w:ascii="仿宋" w:hAnsi="仿宋" w:eastAsia="仿宋"/>
          <w:bCs/>
          <w:sz w:val="32"/>
          <w:szCs w:val="32"/>
        </w:rPr>
        <w:t>年，在做好各项工作的前提下，节省各项开支，尤其是严格开支“三公经费”的支出。今年发生因公出国费</w:t>
      </w:r>
      <w:r>
        <w:rPr>
          <w:rFonts w:ascii="仿宋" w:hAnsi="仿宋" w:eastAsia="仿宋"/>
          <w:bCs/>
          <w:sz w:val="32"/>
          <w:szCs w:val="32"/>
        </w:rPr>
        <w:t>0</w:t>
      </w:r>
      <w:r>
        <w:rPr>
          <w:rFonts w:hint="eastAsia" w:ascii="仿宋" w:hAnsi="仿宋" w:eastAsia="仿宋"/>
          <w:bCs/>
          <w:sz w:val="32"/>
          <w:szCs w:val="32"/>
        </w:rPr>
        <w:t>万元（</w:t>
      </w:r>
      <w:r>
        <w:rPr>
          <w:rFonts w:ascii="仿宋" w:hAnsi="仿宋" w:eastAsia="仿宋"/>
          <w:bCs/>
          <w:sz w:val="32"/>
          <w:szCs w:val="32"/>
        </w:rPr>
        <w:t>2017</w:t>
      </w:r>
      <w:r>
        <w:rPr>
          <w:rFonts w:hint="eastAsia" w:ascii="仿宋" w:hAnsi="仿宋" w:eastAsia="仿宋"/>
          <w:bCs/>
          <w:sz w:val="32"/>
          <w:szCs w:val="32"/>
        </w:rPr>
        <w:t>年度本单位组织因公出国团组</w:t>
      </w:r>
      <w:r>
        <w:rPr>
          <w:rFonts w:ascii="仿宋" w:hAnsi="仿宋" w:eastAsia="仿宋"/>
          <w:bCs/>
          <w:sz w:val="32"/>
          <w:szCs w:val="32"/>
        </w:rPr>
        <w:t>0</w:t>
      </w:r>
      <w:r>
        <w:rPr>
          <w:rFonts w:hint="eastAsia" w:ascii="仿宋" w:hAnsi="仿宋" w:eastAsia="仿宋"/>
          <w:bCs/>
          <w:sz w:val="32"/>
          <w:szCs w:val="32"/>
        </w:rPr>
        <w:t>个，因公出国人次数</w:t>
      </w:r>
      <w:r>
        <w:rPr>
          <w:rFonts w:ascii="仿宋" w:hAnsi="仿宋" w:eastAsia="仿宋"/>
          <w:bCs/>
          <w:sz w:val="32"/>
          <w:szCs w:val="32"/>
        </w:rPr>
        <w:t>0</w:t>
      </w:r>
      <w:r>
        <w:rPr>
          <w:rFonts w:hint="eastAsia" w:ascii="仿宋" w:hAnsi="仿宋" w:eastAsia="仿宋"/>
          <w:bCs/>
          <w:sz w:val="32"/>
          <w:szCs w:val="32"/>
        </w:rPr>
        <w:t>人）。</w:t>
      </w:r>
    </w:p>
    <w:p>
      <w:pPr>
        <w:ind w:firstLine="560"/>
        <w:rPr>
          <w:rFonts w:ascii="仿宋" w:hAnsi="仿宋" w:eastAsia="仿宋" w:cs="方正仿宋_GBK"/>
          <w:sz w:val="32"/>
          <w:szCs w:val="32"/>
        </w:rPr>
      </w:pPr>
      <w:r>
        <w:rPr>
          <w:rFonts w:hint="eastAsia" w:ascii="仿宋" w:hAnsi="仿宋" w:eastAsia="仿宋"/>
          <w:bCs/>
          <w:sz w:val="32"/>
          <w:szCs w:val="32"/>
        </w:rPr>
        <w:t>公务接待费</w:t>
      </w:r>
      <w:r>
        <w:rPr>
          <w:rFonts w:ascii="仿宋" w:hAnsi="仿宋" w:eastAsia="仿宋"/>
          <w:bCs/>
          <w:sz w:val="32"/>
          <w:szCs w:val="32"/>
        </w:rPr>
        <w:t>0</w:t>
      </w:r>
      <w:r>
        <w:rPr>
          <w:rFonts w:hint="eastAsia" w:ascii="仿宋" w:hAnsi="仿宋" w:eastAsia="仿宋"/>
          <w:bCs/>
          <w:sz w:val="32"/>
          <w:szCs w:val="32"/>
        </w:rPr>
        <w:t>元，公务接待比上年减少</w:t>
      </w:r>
      <w:r>
        <w:rPr>
          <w:rFonts w:ascii="仿宋" w:hAnsi="仿宋" w:eastAsia="仿宋"/>
          <w:bCs/>
          <w:sz w:val="32"/>
          <w:szCs w:val="32"/>
        </w:rPr>
        <w:t>0</w:t>
      </w:r>
      <w:r>
        <w:rPr>
          <w:rFonts w:hint="eastAsia" w:ascii="仿宋" w:hAnsi="仿宋" w:eastAsia="仿宋"/>
          <w:bCs/>
          <w:sz w:val="32"/>
          <w:szCs w:val="32"/>
        </w:rPr>
        <w:t>万元。厉行节约，管理制度不断完善，“三公”经费支出得到了有效控制，实现了只减不增的目标。</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五、</w:t>
      </w:r>
      <w:r>
        <w:rPr>
          <w:rFonts w:ascii="仿宋" w:hAnsi="仿宋" w:eastAsia="仿宋" w:cs="方正仿宋_GBK"/>
          <w:sz w:val="32"/>
          <w:szCs w:val="32"/>
        </w:rPr>
        <w:t>2017</w:t>
      </w:r>
      <w:r>
        <w:rPr>
          <w:rFonts w:hint="eastAsia" w:ascii="仿宋" w:hAnsi="仿宋" w:eastAsia="仿宋" w:cs="方正仿宋_GBK"/>
          <w:sz w:val="32"/>
          <w:szCs w:val="32"/>
        </w:rPr>
        <w:t>年度政府性基金预算财政拨款收入支出情况说明</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本单位本年度政府性基金决算收入56万元，决算支出56万元，用于旅游开发补助项目。</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六、</w:t>
      </w:r>
      <w:r>
        <w:rPr>
          <w:rFonts w:ascii="仿宋" w:hAnsi="仿宋" w:eastAsia="仿宋" w:cs="方正仿宋_GBK"/>
          <w:sz w:val="32"/>
          <w:szCs w:val="32"/>
        </w:rPr>
        <w:t>2017</w:t>
      </w:r>
      <w:r>
        <w:rPr>
          <w:rFonts w:hint="eastAsia" w:ascii="仿宋" w:hAnsi="仿宋" w:eastAsia="仿宋" w:cs="方正仿宋_GBK"/>
          <w:sz w:val="32"/>
          <w:szCs w:val="32"/>
        </w:rPr>
        <w:t>年度预算绩效情况说明</w:t>
      </w:r>
    </w:p>
    <w:p>
      <w:pPr>
        <w:spacing w:line="360" w:lineRule="auto"/>
        <w:ind w:firstLine="640"/>
        <w:rPr>
          <w:rFonts w:ascii="仿宋" w:hAnsi="仿宋" w:eastAsia="仿宋" w:cs="方正仿宋_GBK"/>
          <w:sz w:val="32"/>
          <w:szCs w:val="32"/>
        </w:rPr>
      </w:pPr>
      <w:r>
        <w:rPr>
          <w:rFonts w:ascii="仿宋" w:hAnsi="仿宋" w:eastAsia="仿宋" w:cs="方正仿宋_GBK"/>
          <w:sz w:val="32"/>
          <w:szCs w:val="32"/>
        </w:rPr>
        <w:t>2017</w:t>
      </w:r>
      <w:r>
        <w:rPr>
          <w:rFonts w:hint="eastAsia" w:ascii="仿宋" w:hAnsi="仿宋" w:eastAsia="仿宋" w:cs="方正仿宋_GBK"/>
          <w:sz w:val="32"/>
          <w:szCs w:val="32"/>
        </w:rPr>
        <w:t>年本单位认真开展预算绩效工作，制定绩效评价指标体系，初步建立了起部门整体支出、工作活动、预算项目、财政绩效评价指标框架体系，为部门整体支出、工作活动、预算项目和财政政策评价提供了指标体系，有效保障了绩效评价工作了顺利开展，</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组织开展绩效评价，推进绩效管理。预算编制会议着重强调做好部门绩效评价工作，绩效审核作为预算编制的必要环节和安排预算重要依据，按规范格式编制部门绩效预算文本，改革涵盖所有预算部门。并且将绩效评价报告反馈被评价部门，并要求部门在限期内对发现的问题进行整改的，部门将整改报告反馈财政局的，将绩效评价结果应用于下年预算安排。</w:t>
      </w:r>
    </w:p>
    <w:p>
      <w:pPr>
        <w:autoSpaceDE w:val="0"/>
        <w:autoSpaceDN w:val="0"/>
        <w:adjustRightInd w:val="0"/>
        <w:spacing w:before="0" w:beforeAutospacing="0" w:after="0" w:afterAutospacing="0" w:line="360" w:lineRule="auto"/>
        <w:ind w:firstLine="640"/>
        <w:jc w:val="left"/>
        <w:rPr>
          <w:rFonts w:ascii="仿宋_GB2312" w:eastAsia="仿宋_GB2312" w:cs="仿宋_GB2312"/>
          <w:color w:val="000000"/>
          <w:kern w:val="0"/>
          <w:sz w:val="32"/>
          <w:szCs w:val="32"/>
        </w:rPr>
      </w:pPr>
      <w:r>
        <w:rPr>
          <w:rFonts w:hint="eastAsia" w:ascii="仿宋_GB2312" w:hAnsi="仿宋_GB2312" w:cs="仿宋_GB2312"/>
          <w:color w:val="000000"/>
          <w:kern w:val="0"/>
          <w:sz w:val="32"/>
          <w:szCs w:val="32"/>
        </w:rPr>
        <w:t>七、</w:t>
      </w:r>
      <w:r>
        <w:rPr>
          <w:rFonts w:ascii="仿宋_GB2312" w:hAnsi="仿宋_GB2312" w:cs="仿宋_GB2312"/>
          <w:color w:val="000000"/>
          <w:kern w:val="0"/>
          <w:sz w:val="32"/>
          <w:szCs w:val="32"/>
        </w:rPr>
        <w:t>2017</w:t>
      </w:r>
      <w:r>
        <w:rPr>
          <w:rFonts w:hint="eastAsia" w:ascii="仿宋_GB2312" w:hAnsi="仿宋_GB2312" w:cs="仿宋_GB2312"/>
          <w:color w:val="000000"/>
          <w:kern w:val="0"/>
          <w:sz w:val="32"/>
          <w:szCs w:val="32"/>
        </w:rPr>
        <w:t>年度其他重要事项情况说明</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（一）机关运行经费支出情况的说明</w:t>
      </w:r>
    </w:p>
    <w:p>
      <w:pPr>
        <w:spacing w:line="360" w:lineRule="auto"/>
        <w:ind w:firstLine="640"/>
        <w:rPr>
          <w:rFonts w:ascii="仿宋" w:hAnsi="仿宋" w:eastAsia="仿宋" w:cs="方正仿宋_GBK"/>
          <w:sz w:val="32"/>
          <w:szCs w:val="32"/>
        </w:rPr>
      </w:pPr>
      <w:r>
        <w:rPr>
          <w:rFonts w:ascii="仿宋" w:hAnsi="仿宋" w:eastAsia="仿宋" w:cs="方正仿宋_GBK"/>
          <w:sz w:val="32"/>
          <w:szCs w:val="32"/>
        </w:rPr>
        <w:t xml:space="preserve">2017 </w:t>
      </w:r>
      <w:r>
        <w:rPr>
          <w:rFonts w:hint="eastAsia" w:ascii="仿宋" w:hAnsi="仿宋" w:eastAsia="仿宋" w:cs="方正仿宋_GBK"/>
          <w:sz w:val="32"/>
          <w:szCs w:val="32"/>
        </w:rPr>
        <w:t>年度机关运行经费支出18.55</w:t>
      </w:r>
      <w:r>
        <w:rPr>
          <w:rFonts w:ascii="仿宋" w:hAnsi="仿宋" w:eastAsia="仿宋" w:cs="方正仿宋_GBK"/>
          <w:sz w:val="32"/>
          <w:szCs w:val="32"/>
        </w:rPr>
        <w:t xml:space="preserve"> </w:t>
      </w:r>
      <w:r>
        <w:rPr>
          <w:rFonts w:hint="eastAsia" w:ascii="仿宋" w:hAnsi="仿宋" w:eastAsia="仿宋" w:cs="方正仿宋_GBK"/>
          <w:sz w:val="32"/>
          <w:szCs w:val="32"/>
        </w:rPr>
        <w:t>万元，比</w:t>
      </w:r>
      <w:r>
        <w:rPr>
          <w:rFonts w:ascii="仿宋" w:hAnsi="仿宋" w:eastAsia="仿宋" w:cs="方正仿宋_GBK"/>
          <w:sz w:val="32"/>
          <w:szCs w:val="32"/>
        </w:rPr>
        <w:t xml:space="preserve"> 2016</w:t>
      </w:r>
      <w:r>
        <w:rPr>
          <w:rFonts w:hint="eastAsia" w:ascii="仿宋" w:hAnsi="仿宋" w:eastAsia="仿宋" w:cs="方正仿宋_GBK"/>
          <w:sz w:val="32"/>
          <w:szCs w:val="32"/>
        </w:rPr>
        <w:t>年增加</w:t>
      </w:r>
      <w:r>
        <w:rPr>
          <w:rFonts w:ascii="仿宋" w:hAnsi="仿宋" w:eastAsia="仿宋" w:cs="方正仿宋_GBK"/>
          <w:sz w:val="32"/>
          <w:szCs w:val="32"/>
        </w:rPr>
        <w:t xml:space="preserve"> </w:t>
      </w:r>
      <w:r>
        <w:rPr>
          <w:rFonts w:hint="eastAsia" w:ascii="仿宋" w:hAnsi="仿宋" w:eastAsia="仿宋" w:cs="方正仿宋_GBK"/>
          <w:sz w:val="32"/>
          <w:szCs w:val="32"/>
        </w:rPr>
        <w:t>2.27万元，增长</w:t>
      </w:r>
      <w:r>
        <w:rPr>
          <w:rFonts w:ascii="仿宋" w:hAnsi="仿宋" w:eastAsia="仿宋" w:cs="方正仿宋_GBK"/>
          <w:sz w:val="32"/>
          <w:szCs w:val="32"/>
        </w:rPr>
        <w:t xml:space="preserve"> </w:t>
      </w:r>
      <w:r>
        <w:rPr>
          <w:rFonts w:hint="eastAsia" w:ascii="仿宋" w:hAnsi="仿宋" w:eastAsia="仿宋" w:cs="方正仿宋_GBK"/>
          <w:sz w:val="32"/>
          <w:szCs w:val="32"/>
        </w:rPr>
        <w:t>13</w:t>
      </w:r>
      <w:r>
        <w:rPr>
          <w:rFonts w:ascii="仿宋" w:hAnsi="仿宋" w:eastAsia="仿宋" w:cs="方正仿宋_GBK"/>
          <w:sz w:val="32"/>
          <w:szCs w:val="32"/>
        </w:rPr>
        <w:t xml:space="preserve"> %</w:t>
      </w:r>
      <w:r>
        <w:rPr>
          <w:rFonts w:hint="eastAsia" w:ascii="仿宋" w:hAnsi="仿宋" w:eastAsia="仿宋" w:cs="方正仿宋_GBK"/>
          <w:sz w:val="32"/>
          <w:szCs w:val="32"/>
        </w:rPr>
        <w:t>。主要原因：人员交通补贴增加。</w:t>
      </w:r>
      <w:r>
        <w:rPr>
          <w:rFonts w:ascii="仿宋" w:hAnsi="仿宋" w:eastAsia="仿宋" w:cs="方正仿宋_GBK"/>
          <w:sz w:val="32"/>
          <w:szCs w:val="32"/>
        </w:rPr>
        <w:t xml:space="preserve"> </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（二）政府采购支出情况</w:t>
      </w:r>
      <w:r>
        <w:rPr>
          <w:rFonts w:ascii="仿宋" w:hAnsi="仿宋" w:eastAsia="仿宋" w:cs="方正仿宋_GBK"/>
          <w:sz w:val="32"/>
          <w:szCs w:val="32"/>
        </w:rPr>
        <w:t xml:space="preserve"> </w:t>
      </w:r>
    </w:p>
    <w:p>
      <w:pPr>
        <w:autoSpaceDE w:val="0"/>
        <w:autoSpaceDN w:val="0"/>
        <w:adjustRightInd w:val="0"/>
        <w:spacing w:before="0" w:beforeAutospacing="0" w:after="0" w:afterAutospacing="0" w:line="240" w:lineRule="auto"/>
        <w:ind w:firstLine="640"/>
        <w:jc w:val="left"/>
        <w:rPr>
          <w:rFonts w:ascii="仿宋" w:hAnsi="仿宋" w:eastAsia="仿宋"/>
          <w:sz w:val="32"/>
          <w:szCs w:val="32"/>
        </w:rPr>
      </w:pPr>
      <w:r>
        <w:rPr>
          <w:rFonts w:ascii="仿宋" w:hAnsi="仿宋" w:eastAsia="仿宋"/>
          <w:sz w:val="32"/>
          <w:szCs w:val="32"/>
        </w:rPr>
        <w:t>2017 年度政府采购支出总额 0 万元，其中：政府采购货物支出 0 万元、政府采购工程支出 0 万元、政府采购服务支出 0 万元</w:t>
      </w:r>
      <w:r>
        <w:rPr>
          <w:rFonts w:hint="eastAsia" w:ascii="仿宋" w:hAnsi="仿宋" w:eastAsia="仿宋"/>
          <w:sz w:val="32"/>
          <w:szCs w:val="32"/>
          <w:lang w:eastAsia="zh-CN"/>
        </w:rPr>
        <w:t>，</w:t>
      </w:r>
      <w:r>
        <w:rPr>
          <w:rFonts w:hint="eastAsia" w:ascii="仿宋" w:hAnsi="仿宋" w:eastAsia="仿宋"/>
          <w:sz w:val="32"/>
          <w:szCs w:val="32"/>
          <w:lang w:val="en-US" w:eastAsia="zh-CN"/>
        </w:rPr>
        <w:t>空表列示</w:t>
      </w:r>
      <w:r>
        <w:rPr>
          <w:rFonts w:ascii="仿宋" w:hAnsi="仿宋" w:eastAsia="仿宋"/>
          <w:sz w:val="32"/>
          <w:szCs w:val="32"/>
        </w:rPr>
        <w:t xml:space="preserve">。 </w:t>
      </w:r>
      <w:r>
        <w:rPr>
          <w:rFonts w:ascii="仿宋" w:hAnsi="仿宋" w:eastAsia="仿宋" w:cs="方正仿宋_GBK"/>
          <w:sz w:val="32"/>
          <w:szCs w:val="32"/>
        </w:rPr>
        <w:t xml:space="preserve"> </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（三）国有资产占用情况</w:t>
      </w:r>
      <w:r>
        <w:rPr>
          <w:rFonts w:ascii="仿宋" w:hAnsi="仿宋" w:eastAsia="仿宋" w:cs="方正仿宋_GBK"/>
          <w:sz w:val="32"/>
          <w:szCs w:val="32"/>
        </w:rPr>
        <w:t xml:space="preserve"> </w:t>
      </w:r>
    </w:p>
    <w:p>
      <w:pPr>
        <w:autoSpaceDE w:val="0"/>
        <w:autoSpaceDN w:val="0"/>
        <w:adjustRightInd w:val="0"/>
        <w:ind w:firstLine="640"/>
        <w:jc w:val="left"/>
        <w:rPr>
          <w:rFonts w:hint="eastAsia" w:ascii="仿宋" w:hAnsi="仿宋" w:eastAsia="仿宋" w:cs="仿宋"/>
          <w:sz w:val="32"/>
          <w:szCs w:val="32"/>
        </w:rPr>
      </w:pPr>
      <w:r>
        <w:rPr>
          <w:rFonts w:hint="eastAsia" w:ascii="仿宋" w:hAnsi="仿宋" w:eastAsia="仿宋" w:cs="仿宋"/>
          <w:color w:val="000000"/>
          <w:kern w:val="0"/>
          <w:sz w:val="32"/>
          <w:szCs w:val="32"/>
        </w:rPr>
        <w:t>截至</w:t>
      </w:r>
      <w:r>
        <w:rPr>
          <w:rFonts w:ascii="仿宋" w:hAnsi="仿宋" w:eastAsia="仿宋" w:cs="仿宋"/>
          <w:color w:val="000000"/>
          <w:kern w:val="0"/>
          <w:sz w:val="32"/>
          <w:szCs w:val="32"/>
        </w:rPr>
        <w:t xml:space="preserve"> 201</w:t>
      </w:r>
      <w:r>
        <w:rPr>
          <w:rFonts w:hint="eastAsia" w:ascii="仿宋" w:hAnsi="仿宋" w:eastAsia="仿宋" w:cs="仿宋"/>
          <w:color w:val="000000"/>
          <w:kern w:val="0"/>
          <w:sz w:val="32"/>
          <w:szCs w:val="32"/>
        </w:rPr>
        <w:t>7年</w:t>
      </w:r>
      <w:r>
        <w:rPr>
          <w:rFonts w:ascii="仿宋" w:hAnsi="仿宋" w:eastAsia="仿宋" w:cs="仿宋"/>
          <w:color w:val="000000"/>
          <w:kern w:val="0"/>
          <w:sz w:val="32"/>
          <w:szCs w:val="32"/>
        </w:rPr>
        <w:t xml:space="preserve"> 12 </w:t>
      </w:r>
      <w:r>
        <w:rPr>
          <w:rFonts w:hint="eastAsia" w:ascii="仿宋" w:hAnsi="仿宋" w:eastAsia="仿宋" w:cs="仿宋"/>
          <w:color w:val="000000"/>
          <w:kern w:val="0"/>
          <w:sz w:val="32"/>
          <w:szCs w:val="32"/>
        </w:rPr>
        <w:t>月</w:t>
      </w:r>
      <w:r>
        <w:rPr>
          <w:rFonts w:ascii="仿宋" w:hAnsi="仿宋" w:eastAsia="仿宋" w:cs="仿宋"/>
          <w:color w:val="000000"/>
          <w:kern w:val="0"/>
          <w:sz w:val="32"/>
          <w:szCs w:val="32"/>
        </w:rPr>
        <w:t xml:space="preserve"> 31 </w:t>
      </w:r>
      <w:r>
        <w:rPr>
          <w:rFonts w:hint="eastAsia" w:ascii="仿宋" w:hAnsi="仿宋" w:eastAsia="仿宋" w:cs="仿宋"/>
          <w:color w:val="000000"/>
          <w:kern w:val="0"/>
          <w:sz w:val="32"/>
          <w:szCs w:val="32"/>
        </w:rPr>
        <w:t>日，本部门共有车辆</w:t>
      </w:r>
      <w:r>
        <w:rPr>
          <w:rFonts w:ascii="仿宋" w:hAnsi="仿宋" w:eastAsia="仿宋" w:cs="仿宋"/>
          <w:color w:val="000000"/>
          <w:kern w:val="0"/>
          <w:sz w:val="32"/>
          <w:szCs w:val="32"/>
        </w:rPr>
        <w:t>0</w:t>
      </w:r>
      <w:r>
        <w:rPr>
          <w:rFonts w:hint="eastAsia" w:ascii="仿宋" w:hAnsi="仿宋" w:eastAsia="仿宋" w:cs="仿宋"/>
          <w:sz w:val="32"/>
          <w:szCs w:val="32"/>
        </w:rPr>
        <w:t>辆；单位价值</w:t>
      </w:r>
      <w:r>
        <w:rPr>
          <w:rFonts w:ascii="仿宋" w:hAnsi="仿宋" w:eastAsia="仿宋" w:cs="仿宋"/>
          <w:sz w:val="32"/>
          <w:szCs w:val="32"/>
        </w:rPr>
        <w:t xml:space="preserve"> 50 </w:t>
      </w:r>
      <w:r>
        <w:rPr>
          <w:rFonts w:hint="eastAsia" w:ascii="仿宋" w:hAnsi="仿宋" w:eastAsia="仿宋" w:cs="仿宋"/>
          <w:sz w:val="32"/>
          <w:szCs w:val="32"/>
        </w:rPr>
        <w:t>万元以上通用设备</w:t>
      </w:r>
      <w:r>
        <w:rPr>
          <w:rFonts w:ascii="仿宋" w:hAnsi="仿宋" w:eastAsia="仿宋" w:cs="仿宋"/>
          <w:sz w:val="32"/>
          <w:szCs w:val="32"/>
        </w:rPr>
        <w:t>0</w:t>
      </w:r>
      <w:r>
        <w:rPr>
          <w:rFonts w:hint="eastAsia" w:ascii="仿宋" w:hAnsi="仿宋" w:eastAsia="仿宋" w:cs="仿宋"/>
          <w:sz w:val="32"/>
          <w:szCs w:val="32"/>
        </w:rPr>
        <w:t>台（套），单价</w:t>
      </w:r>
      <w:r>
        <w:rPr>
          <w:rFonts w:ascii="仿宋" w:hAnsi="仿宋" w:eastAsia="仿宋" w:cs="仿宋"/>
          <w:sz w:val="32"/>
          <w:szCs w:val="32"/>
        </w:rPr>
        <w:t xml:space="preserve">100 </w:t>
      </w:r>
      <w:r>
        <w:rPr>
          <w:rFonts w:hint="eastAsia" w:ascii="仿宋" w:hAnsi="仿宋" w:eastAsia="仿宋" w:cs="仿宋"/>
          <w:sz w:val="32"/>
          <w:szCs w:val="32"/>
        </w:rPr>
        <w:t>万元以上专用设备</w:t>
      </w:r>
      <w:r>
        <w:rPr>
          <w:rFonts w:ascii="仿宋" w:hAnsi="仿宋" w:eastAsia="仿宋" w:cs="仿宋"/>
          <w:sz w:val="32"/>
          <w:szCs w:val="32"/>
        </w:rPr>
        <w:t>0</w:t>
      </w:r>
      <w:r>
        <w:rPr>
          <w:rFonts w:hint="eastAsia" w:ascii="仿宋" w:hAnsi="仿宋" w:eastAsia="仿宋" w:cs="仿宋"/>
          <w:sz w:val="32"/>
          <w:szCs w:val="32"/>
        </w:rPr>
        <w:t>台（套）</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空表列示</w:t>
      </w:r>
      <w:r>
        <w:rPr>
          <w:rFonts w:hint="eastAsia" w:ascii="仿宋" w:hAnsi="仿宋" w:eastAsia="仿宋" w:cs="仿宋"/>
          <w:sz w:val="32"/>
          <w:szCs w:val="32"/>
        </w:rPr>
        <w:t>。</w:t>
      </w:r>
    </w:p>
    <w:p>
      <w:pPr>
        <w:numPr>
          <w:ilvl w:val="0"/>
          <w:numId w:val="2"/>
        </w:numPr>
        <w:autoSpaceDE w:val="0"/>
        <w:autoSpaceDN w:val="0"/>
        <w:adjustRightInd w:val="0"/>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eastAsia="zh-CN"/>
        </w:rPr>
        <w:t>国有资本经营预算财政拨款收入支出决算表，</w:t>
      </w:r>
      <w:r>
        <w:rPr>
          <w:rFonts w:hint="eastAsia" w:ascii="仿宋" w:hAnsi="仿宋" w:eastAsia="仿宋" w:cs="仿宋"/>
          <w:sz w:val="32"/>
          <w:szCs w:val="32"/>
          <w:lang w:val="en-US" w:eastAsia="zh-CN"/>
        </w:rPr>
        <w:t>空表列示。</w:t>
      </w:r>
    </w:p>
    <w:p>
      <w:pPr>
        <w:numPr>
          <w:ilvl w:val="0"/>
          <w:numId w:val="2"/>
        </w:numPr>
        <w:autoSpaceDE w:val="0"/>
        <w:autoSpaceDN w:val="0"/>
        <w:adjustRightInd w:val="0"/>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"三公"经费及相关信息统计表，空表列示。</w:t>
      </w:r>
    </w:p>
    <w:p>
      <w:pPr>
        <w:numPr>
          <w:ilvl w:val="0"/>
          <w:numId w:val="0"/>
        </w:numPr>
        <w:autoSpaceDE w:val="0"/>
        <w:autoSpaceDN w:val="0"/>
        <w:adjustRightInd w:val="0"/>
        <w:jc w:val="left"/>
        <w:rPr>
          <w:rFonts w:hint="eastAsia" w:ascii="仿宋" w:hAnsi="仿宋" w:eastAsia="仿宋" w:cs="仿宋"/>
          <w:sz w:val="32"/>
          <w:szCs w:val="32"/>
          <w:lang w:val="en-US" w:eastAsia="zh-CN"/>
        </w:rPr>
      </w:pPr>
    </w:p>
    <w:p>
      <w:pPr>
        <w:spacing w:line="360" w:lineRule="auto"/>
        <w:ind w:firstLine="723"/>
        <w:jc w:val="center"/>
        <w:rPr>
          <w:rFonts w:ascii="仿宋" w:hAnsi="仿宋" w:eastAsia="仿宋" w:cs="方正仿宋_GBK"/>
          <w:b/>
          <w:sz w:val="36"/>
          <w:szCs w:val="36"/>
        </w:rPr>
      </w:pPr>
      <w:r>
        <w:rPr>
          <w:rFonts w:hint="eastAsia" w:ascii="仿宋" w:hAnsi="仿宋" w:eastAsia="仿宋" w:cs="方正仿宋_GBK"/>
          <w:b/>
          <w:sz w:val="36"/>
          <w:szCs w:val="36"/>
        </w:rPr>
        <w:t>第三部分名词解释</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（一）财政拨款收入：指本年度从省级财政部门取得的</w:t>
      </w:r>
    </w:p>
    <w:p>
      <w:pPr>
        <w:spacing w:line="360" w:lineRule="auto"/>
        <w:ind w:firstLine="198" w:firstLineChars="62"/>
        <w:rPr>
          <w:rFonts w:ascii="仿宋" w:hAnsi="仿宋" w:eastAsia="仿宋" w:cs="方正仿宋_GBK"/>
          <w:sz w:val="32"/>
          <w:szCs w:val="32"/>
        </w:rPr>
      </w:pPr>
      <w:r>
        <w:rPr>
          <w:rFonts w:hint="eastAsia" w:ascii="仿宋" w:hAnsi="仿宋" w:eastAsia="仿宋" w:cs="方正仿宋_GBK"/>
          <w:sz w:val="32"/>
          <w:szCs w:val="32"/>
        </w:rPr>
        <w:t>财政拨款。</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（二）事业收入：指事业单位开展专业业务活动及辅助</w:t>
      </w:r>
    </w:p>
    <w:p>
      <w:pPr>
        <w:spacing w:line="360" w:lineRule="auto"/>
        <w:ind w:firstLine="0" w:firstLineChars="0"/>
        <w:rPr>
          <w:rFonts w:ascii="仿宋" w:hAnsi="仿宋" w:eastAsia="仿宋" w:cs="方正仿宋_GBK"/>
          <w:sz w:val="32"/>
          <w:szCs w:val="32"/>
        </w:rPr>
      </w:pPr>
      <w:r>
        <w:rPr>
          <w:rFonts w:hint="eastAsia" w:ascii="仿宋" w:hAnsi="仿宋" w:eastAsia="仿宋" w:cs="方正仿宋_GBK"/>
          <w:sz w:val="32"/>
          <w:szCs w:val="32"/>
        </w:rPr>
        <w:t>活动所取得的收入。如：河北省注册会计师协会、河北省注</w:t>
      </w:r>
    </w:p>
    <w:p>
      <w:pPr>
        <w:spacing w:line="360" w:lineRule="auto"/>
        <w:ind w:firstLine="0" w:firstLineChars="0"/>
        <w:rPr>
          <w:rFonts w:ascii="仿宋" w:hAnsi="仿宋" w:eastAsia="仿宋" w:cs="方正仿宋_GBK"/>
          <w:sz w:val="32"/>
          <w:szCs w:val="32"/>
        </w:rPr>
      </w:pPr>
      <w:r>
        <w:rPr>
          <w:rFonts w:hint="eastAsia" w:ascii="仿宋" w:hAnsi="仿宋" w:eastAsia="仿宋" w:cs="方正仿宋_GBK"/>
          <w:sz w:val="32"/>
          <w:szCs w:val="32"/>
        </w:rPr>
        <w:t>册资产评估师协会收取的会费收入等。</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（三）其他收入：指除“财政拨款收入”、“上级补助收入”、“事业收入”、“经营收入”、“附属单位上缴收入”以外的各项收入。</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（四）用事业基金弥补收支差额：指事业单位在用当年</w:t>
      </w:r>
    </w:p>
    <w:p>
      <w:pPr>
        <w:spacing w:line="360" w:lineRule="auto"/>
        <w:ind w:firstLine="0" w:firstLineChars="0"/>
        <w:rPr>
          <w:rFonts w:ascii="仿宋" w:hAnsi="仿宋" w:eastAsia="仿宋" w:cs="方正仿宋_GBK"/>
          <w:sz w:val="32"/>
          <w:szCs w:val="32"/>
        </w:rPr>
      </w:pPr>
      <w:r>
        <w:rPr>
          <w:rFonts w:hint="eastAsia" w:ascii="仿宋" w:hAnsi="仿宋" w:eastAsia="仿宋" w:cs="方正仿宋_GBK"/>
          <w:sz w:val="32"/>
          <w:szCs w:val="32"/>
        </w:rPr>
        <w:t>的“财政拨款收入”、“财政拨款结转和结余资金”、“事</w:t>
      </w:r>
    </w:p>
    <w:p>
      <w:pPr>
        <w:spacing w:line="360" w:lineRule="auto"/>
        <w:ind w:firstLine="0" w:firstLineChars="0"/>
        <w:rPr>
          <w:rFonts w:ascii="仿宋" w:hAnsi="仿宋" w:eastAsia="仿宋" w:cs="方正仿宋_GBK"/>
          <w:sz w:val="32"/>
          <w:szCs w:val="32"/>
        </w:rPr>
      </w:pPr>
      <w:r>
        <w:rPr>
          <w:rFonts w:hint="eastAsia" w:ascii="仿宋" w:hAnsi="仿宋" w:eastAsia="仿宋" w:cs="方正仿宋_GBK"/>
          <w:sz w:val="32"/>
          <w:szCs w:val="32"/>
        </w:rPr>
        <w:t>业收入”、</w:t>
      </w:r>
      <w:r>
        <w:rPr>
          <w:rFonts w:ascii="仿宋" w:hAnsi="仿宋" w:eastAsia="仿宋" w:cs="方正仿宋_GBK"/>
          <w:sz w:val="32"/>
          <w:szCs w:val="32"/>
        </w:rPr>
        <w:t xml:space="preserve"> </w:t>
      </w:r>
      <w:r>
        <w:rPr>
          <w:rFonts w:hint="eastAsia" w:ascii="仿宋" w:hAnsi="仿宋" w:eastAsia="仿宋" w:cs="方正仿宋_GBK"/>
          <w:sz w:val="32"/>
          <w:szCs w:val="32"/>
        </w:rPr>
        <w:t>“其他收入”不足以安排当年支出的情况下，使用以前年度积累的事业基金（事业单位当年收支相抵后按国家规定提取、用于弥补以后年度收支差额的基金）弥补本年度收支缺口的资金。</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（五）年初结转和结余：指以前年度尚未完成、结转到本年仍按原规定用途继续使用的资金。</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（六）结余分配：指事业单位按照事业单位会计制度的规定从非财政补助结余中分配的事业基金和职工福利基金等。</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（七）年末结转和结余：指本年度或以前年度预算安排、因客观条件发生变化无法按原计划实施，需要延迟到以后年度按有关规定继续使用的资金。</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（八）基本支出：指为保障机构正常运转、完成日常工作任务而发生的人员支出和公用支出。</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（九）项目支出：指在基本支出之外为完成特定行政任务和事业发展目标所发生的支出。</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十）“三公”经费：财政预决算管理的“三公”经费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租用费、燃料费、维修费、过路过桥费、保险费、安全奖励费用等支出；公务接待费反映单位按规定开支的各类公务接待（含外宾接待）支出。</w:t>
      </w:r>
    </w:p>
    <w:p>
      <w:pPr>
        <w:spacing w:line="360" w:lineRule="auto"/>
        <w:ind w:firstLine="640"/>
        <w:rPr>
          <w:rFonts w:ascii="仿宋" w:hAnsi="仿宋" w:eastAsia="仿宋" w:cs="方正仿宋_GBK"/>
          <w:sz w:val="32"/>
          <w:szCs w:val="32"/>
        </w:rPr>
      </w:pPr>
      <w:r>
        <w:rPr>
          <w:rFonts w:hint="eastAsia" w:ascii="仿宋" w:hAnsi="仿宋" w:eastAsia="仿宋" w:cs="方正仿宋_GBK"/>
          <w:sz w:val="32"/>
          <w:szCs w:val="32"/>
        </w:rPr>
        <w:t>（十一）其他交通费用：指单位除公务用车运行维护费以外的其他交通费用。主要是厅机关及参公事业单位发放的公务交通补贴等。</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仿宋" w:hAnsi="仿宋" w:eastAsia="仿宋" w:cs="方正仿宋_GBK"/>
          <w:sz w:val="32"/>
          <w:szCs w:val="32"/>
        </w:rPr>
        <w:t>（十二）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r>
        <w:rPr>
          <w:rFonts w:hint="eastAsia" w:ascii="FangSong_GB2312" w:hAnsi="仿宋" w:eastAsia="FangSong_GB2312"/>
          <w:sz w:val="32"/>
          <w:szCs w:val="32"/>
          <w:lang w:val="en-US" w:eastAsia="zh-CN"/>
        </w:rPr>
        <w:t>12.专项资金支出：专项资金支出即专项支出，它是指由财政部门、上级单位和其他单位拨入的，指定项目或用途并且需要单独报账的专项资金的实际支出数。</w:t>
      </w:r>
    </w:p>
    <w:p>
      <w:pPr>
        <w:adjustRightInd w:val="0"/>
        <w:snapToGrid w:val="0"/>
        <w:spacing w:line="600" w:lineRule="exact"/>
        <w:ind w:firstLine="630"/>
        <w:outlineLvl w:val="0"/>
        <w:rPr>
          <w:rFonts w:hint="eastAsia" w:ascii="FangSong_GB2312" w:hAnsi="仿宋" w:eastAsia="FangSong_GB2312"/>
          <w:sz w:val="32"/>
          <w:szCs w:val="32"/>
          <w:lang w:val="en-US" w:eastAsia="zh-CN"/>
        </w:rPr>
      </w:pPr>
      <w:bookmarkStart w:id="0" w:name="OLE_LINK1"/>
      <w:r>
        <w:rPr>
          <w:rFonts w:hint="eastAsia" w:ascii="FangSong_GB2312" w:hAnsi="仿宋" w:eastAsia="FangSong_GB2312"/>
          <w:sz w:val="32"/>
          <w:szCs w:val="32"/>
          <w:lang w:val="en-US" w:eastAsia="zh-CN"/>
        </w:rPr>
        <w:t>（十三）国有资产：是指属于国家所有的一切财产和财产权利的总和，是国家所有权的客体。</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（十四）非税收入：是指除税收以外，由各级政府、国家机关、事业单位、代行</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"https://baike.baidu.com/item/%E6%94%BF%E5%BA%9C%E8%81%8C%E8%83%BD/2042302" \t "https://baike.baidu.com/item/%E9%9D%9E%E7%A8%8E%E6%94%B6%E5%85%A5/_blank"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政府职能</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的社会团体及其他组织依法利用政府权力、政府信誉、国家资源、国有资产或提供特定公共服务、准公共服务取得的</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"https://baike.baidu.com/item/%E8%B4%A2%E6%94%BF%E6%80%A7%E8%B5%84%E9%87%91/8197581" \t "https://baike.baidu.com/item/%E9%9D%9E%E7%A8%8E%E6%94%B6%E5%85%A5/_blank"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财政性资金</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，是政府财政收入的重要组成部分。</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（十五）办公经费：指基本生产车间耗用的</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"https://baike.baidu.com/item/%E6%96%87%E5%85%B7/9427471"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文具</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"https://baike.baidu.com/item/%E5%8D%B0%E5%88%B7/368780"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印刷</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"https://baike.baidu.com/item/%E9%82%AE%E7%94%B5/7254476"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邮电</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、办公用品及</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"https://baike.baidu.com/item/%E6%8A%A5%E5%88%8A/2851057"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报刊</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杂志等办公</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"https://baike.baidu.com/item/%E8%B4%B9%E7%94%A8/9277833"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费用</w:t>
      </w:r>
      <w:r>
        <w:rPr>
          <w:rFonts w:hint="eastAsia" w:ascii="FangSong_GB2312" w:hAnsi="仿宋" w:eastAsia="FangSong_GB2312"/>
          <w:sz w:val="32"/>
          <w:szCs w:val="32"/>
          <w:lang w:val="en-US" w:eastAsia="zh-CN"/>
        </w:rPr>
        <w:fldChar w:fldCharType="end"/>
      </w:r>
    </w:p>
    <w:p>
      <w:pPr>
        <w:keepNext w:val="0"/>
        <w:keepLines w:val="0"/>
        <w:pageBreakBefore w:val="0"/>
        <w:widowControl w:val="0"/>
        <w:kinsoku/>
        <w:wordWrap/>
        <w:overflowPunct/>
        <w:topLinePunct w:val="0"/>
        <w:autoSpaceDE w:val="0"/>
        <w:autoSpaceDN w:val="0"/>
        <w:bidi w:val="0"/>
        <w:adjustRightInd w:val="0"/>
        <w:snapToGrid/>
        <w:spacing w:before="0" w:beforeAutospacing="0" w:after="0" w:afterAutospacing="0" w:line="240" w:lineRule="auto"/>
        <w:ind w:firstLine="640" w:firstLineChars="200"/>
        <w:jc w:val="left"/>
        <w:textAlignment w:val="auto"/>
        <w:rPr>
          <w:rFonts w:hint="eastAsia" w:ascii="仿宋_GB2312" w:hAnsi="仿宋_GB2312" w:eastAsia="仿宋_GB2312" w:cs="仿宋_GB2312"/>
          <w:color w:val="000000"/>
          <w:kern w:val="0"/>
          <w:sz w:val="32"/>
          <w:szCs w:val="32"/>
          <w:lang w:eastAsia="zh-CN"/>
        </w:rPr>
      </w:pPr>
      <w:r>
        <w:rPr>
          <w:rFonts w:hint="eastAsia" w:ascii="FangSong_GB2312" w:hAnsi="仿宋" w:eastAsia="FangSong_GB2312"/>
          <w:sz w:val="32"/>
          <w:szCs w:val="32"/>
          <w:lang w:val="en-US" w:eastAsia="zh-CN"/>
        </w:rPr>
        <w:t>（十六）</w:t>
      </w:r>
      <w:r>
        <w:rPr>
          <w:rFonts w:hint="eastAsia" w:ascii="仿宋_GB2312" w:hAnsi="仿宋_GB2312" w:eastAsia="仿宋_GB2312" w:cs="仿宋_GB2312"/>
          <w:color w:val="000000"/>
          <w:kern w:val="0"/>
          <w:sz w:val="32"/>
          <w:szCs w:val="32"/>
          <w:lang w:val="en-US" w:eastAsia="zh-CN"/>
        </w:rPr>
        <w:t>一般公共服务支出（类）：反映政府提供一般公共服务的支出。</w:t>
      </w:r>
      <w:bookmarkEnd w:id="0"/>
    </w:p>
    <w:p>
      <w:pPr>
        <w:spacing w:line="360" w:lineRule="auto"/>
        <w:jc w:val="left"/>
        <w:rPr>
          <w:rFonts w:ascii="仿宋" w:hAnsi="仿宋" w:eastAsia="仿宋" w:cs="方正仿宋_GBK"/>
          <w:sz w:val="32"/>
          <w:szCs w:val="32"/>
        </w:rPr>
      </w:pP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附表：</w:t>
      </w:r>
      <w:r>
        <w:rPr>
          <w:rFonts w:ascii="仿宋" w:hAnsi="仿宋" w:eastAsia="仿宋" w:cs="方正仿宋_GBK"/>
          <w:sz w:val="32"/>
          <w:szCs w:val="32"/>
        </w:rPr>
        <w:t>2017</w:t>
      </w:r>
      <w:r>
        <w:rPr>
          <w:rFonts w:hint="eastAsia" w:ascii="仿宋" w:hAnsi="仿宋" w:eastAsia="仿宋" w:cs="方正仿宋_GBK"/>
          <w:sz w:val="32"/>
          <w:szCs w:val="32"/>
        </w:rPr>
        <w:t>年度赞皇县旅游局部门决算表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一、收入支出决算总表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二、收入决算表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三、支出决算表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四、财政拨款收入支出决算总表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五、一般公共预算财政拨款支出决算表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六、一般公共预算财政拨款基本支出决算表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七、政府性基金预算财政拨款收入支出决算表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八、国有资本经营预算财政拨款支出决算表</w:t>
      </w:r>
    </w:p>
    <w:p>
      <w:pPr>
        <w:spacing w:line="360" w:lineRule="auto"/>
        <w:ind w:firstLine="627" w:firstLineChars="196"/>
        <w:jc w:val="left"/>
        <w:rPr>
          <w:rFonts w:ascii="仿宋" w:hAnsi="仿宋" w:eastAsia="仿宋" w:cs="方正仿宋_GBK"/>
          <w:sz w:val="32"/>
          <w:szCs w:val="32"/>
        </w:rPr>
      </w:pPr>
      <w:r>
        <w:rPr>
          <w:rFonts w:hint="eastAsia" w:ascii="仿宋" w:hAnsi="仿宋" w:eastAsia="仿宋" w:cs="方正仿宋_GBK"/>
          <w:sz w:val="32"/>
          <w:szCs w:val="32"/>
        </w:rPr>
        <w:t>九、“三公”经费及相关信息统计表</w:t>
      </w:r>
    </w:p>
    <w:p>
      <w:pPr>
        <w:spacing w:line="360" w:lineRule="auto"/>
        <w:ind w:firstLine="627" w:firstLineChars="196"/>
        <w:jc w:val="left"/>
        <w:rPr>
          <w:rFonts w:hint="eastAsia" w:ascii="仿宋_GB2312" w:hAnsi="仿宋_GB2312" w:eastAsia="仿宋_GB2312" w:cs="仿宋_GB2312"/>
          <w:color w:val="000000"/>
          <w:kern w:val="0"/>
          <w:sz w:val="32"/>
          <w:szCs w:val="32"/>
          <w:lang w:eastAsia="zh-CN"/>
        </w:rPr>
      </w:pPr>
      <w:r>
        <w:rPr>
          <w:rFonts w:hint="eastAsia" w:ascii="仿宋" w:hAnsi="仿宋" w:eastAsia="仿宋" w:cs="方正仿宋_GBK"/>
          <w:sz w:val="32"/>
          <w:szCs w:val="32"/>
        </w:rPr>
        <w:t>十、政府采购情况表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FangSong_GB2312">
    <w:altName w:val="仿宋_GB2312"/>
    <w:panose1 w:val="02010609060101010101"/>
    <w:charset w:val="86"/>
    <w:family w:val="modern"/>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9D7DD3"/>
    <w:multiLevelType w:val="multilevel"/>
    <w:tmpl w:val="189D7DD3"/>
    <w:lvl w:ilvl="0" w:tentative="0">
      <w:start w:val="1"/>
      <w:numFmt w:val="japaneseCounting"/>
      <w:lvlText w:val="%1、"/>
      <w:lvlJc w:val="left"/>
      <w:pPr>
        <w:tabs>
          <w:tab w:val="left" w:pos="420"/>
        </w:tabs>
        <w:ind w:left="420"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5C2199A1"/>
    <w:multiLevelType w:val="singleLevel"/>
    <w:tmpl w:val="5C2199A1"/>
    <w:lvl w:ilvl="0" w:tentative="0">
      <w:start w:val="4"/>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DB0CD3"/>
    <w:rsid w:val="0E5F11BA"/>
    <w:rsid w:val="163470C5"/>
    <w:rsid w:val="20675D87"/>
    <w:rsid w:val="24F320F7"/>
    <w:rsid w:val="291D3733"/>
    <w:rsid w:val="2D3B50FE"/>
    <w:rsid w:val="30DB0CD3"/>
    <w:rsid w:val="33541EAA"/>
    <w:rsid w:val="39150341"/>
    <w:rsid w:val="49A54CAA"/>
    <w:rsid w:val="65365C53"/>
    <w:rsid w:val="6AF55763"/>
    <w:rsid w:val="6F896385"/>
    <w:rsid w:val="749D57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Default"/>
    <w:qFormat/>
    <w:uiPriority w:val="0"/>
    <w:pPr>
      <w:widowControl w:val="0"/>
      <w:autoSpaceDE w:val="0"/>
      <w:autoSpaceDN w:val="0"/>
      <w:adjustRightInd w:val="0"/>
    </w:pPr>
    <w:rPr>
      <w:rFonts w:ascii="黑体" w:hAnsi="黑体" w:cs="黑体" w:eastAsiaTheme="minorEastAsia"/>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hart" Target="charts/chart3.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2017年度收入决算情况说明</a:t>
            </a:r>
          </a:p>
        </c:rich>
      </c:tx>
      <c:layout/>
      <c:overlay val="0"/>
      <c:spPr>
        <a:noFill/>
        <a:ln>
          <a:noFill/>
        </a:ln>
        <a:effectLst/>
      </c:spPr>
    </c:title>
    <c:autoTitleDeleted val="0"/>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Lbls>
            <c:delete val="1"/>
          </c:dLbls>
          <c:cat>
            <c:strRef>
              <c:f>Sheet1!$A$2</c:f>
              <c:strCache>
                <c:ptCount val="1"/>
                <c:pt idx="0">
                  <c:v>财政拨款</c:v>
                </c:pt>
              </c:strCache>
            </c:strRef>
          </c:cat>
          <c:val>
            <c:numRef>
              <c:f>Sheet1!$B$2</c:f>
              <c:numCache>
                <c:formatCode>General</c:formatCode>
                <c:ptCount val="1"/>
                <c:pt idx="0">
                  <c:v>298.68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2017年度支出决算情况说明</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基本支出</c:v>
                </c:pt>
                <c:pt idx="1">
                  <c:v>项目支出</c:v>
                </c:pt>
              </c:strCache>
            </c:strRef>
          </c:cat>
          <c:val>
            <c:numRef>
              <c:f>Sheet1!$B$2:$B$5</c:f>
              <c:numCache>
                <c:formatCode>General</c:formatCode>
                <c:ptCount val="4"/>
                <c:pt idx="0">
                  <c:v>53.74</c:v>
                </c:pt>
                <c:pt idx="1">
                  <c:v>624.14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基本支出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工资福利支出</c:v>
                </c:pt>
                <c:pt idx="1">
                  <c:v>对个人和家庭</c:v>
                </c:pt>
                <c:pt idx="2">
                  <c:v>商品服务支出</c:v>
                </c:pt>
              </c:strCache>
            </c:strRef>
          </c:cat>
          <c:val>
            <c:numRef>
              <c:f>Sheet1!$B$2:$B$5</c:f>
              <c:numCache>
                <c:formatCode>General</c:formatCode>
                <c:ptCount val="4"/>
                <c:pt idx="0">
                  <c:v>18.55</c:v>
                </c:pt>
                <c:pt idx="1">
                  <c:v>29.77</c:v>
                </c:pt>
                <c:pt idx="2">
                  <c:v>5.41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2018-12-17T09:06:00Z</dcterms:created>
  <dc:creator>CZJ7</dc:creator>
  <cp:lastModifiedBy>19100</cp:lastModifiedBy>
  <dcterms:modified xsi:type="dcterms:W3CDTF">2023-06-05T02:21:46Z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A511C46BC7A747F081C0A418ADC7A2E0</vt:lpwstr>
  </property>
</Properties>
</file>