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A62AC7">
      <w:pPr>
        <w:pStyle w:val="10"/>
        <w:ind w:firstLine="880"/>
        <w:jc w:val="center"/>
        <w:rPr>
          <w:b/>
          <w:sz w:val="44"/>
          <w:szCs w:val="44"/>
        </w:rPr>
      </w:pPr>
      <w:r>
        <w:rPr>
          <w:rFonts w:hint="eastAsia"/>
          <w:b/>
          <w:sz w:val="44"/>
          <w:szCs w:val="44"/>
        </w:rPr>
        <w:t>2017年部门决算信息公开</w:t>
      </w:r>
      <w:r>
        <w:rPr>
          <w:b/>
          <w:sz w:val="44"/>
          <w:szCs w:val="44"/>
        </w:rPr>
        <w:t>目录</w:t>
      </w:r>
    </w:p>
    <w:p w14:paraId="4D02266A">
      <w:pPr>
        <w:pStyle w:val="10"/>
        <w:ind w:firstLine="880"/>
        <w:jc w:val="center"/>
        <w:rPr>
          <w:b/>
          <w:sz w:val="44"/>
          <w:szCs w:val="44"/>
        </w:rPr>
      </w:pPr>
    </w:p>
    <w:p w14:paraId="39C837FC">
      <w:pPr>
        <w:pStyle w:val="10"/>
        <w:rPr>
          <w:rFonts w:ascii="仿宋" w:hAnsi="仿宋" w:eastAsia="仿宋" w:cs="仿宋"/>
          <w:b/>
          <w:sz w:val="32"/>
          <w:szCs w:val="32"/>
        </w:rPr>
      </w:pPr>
      <w:r>
        <w:rPr>
          <w:rFonts w:hint="eastAsia" w:ascii="仿宋" w:hAnsi="仿宋" w:eastAsia="仿宋" w:cs="仿宋"/>
          <w:b/>
          <w:sz w:val="32"/>
          <w:szCs w:val="32"/>
        </w:rPr>
        <w:t>第一部分 赞皇县</w:t>
      </w:r>
      <w:r>
        <w:rPr>
          <w:rFonts w:hint="eastAsia" w:ascii="仿宋" w:hAnsi="仿宋" w:eastAsia="仿宋" w:cs="仿宋"/>
          <w:b/>
          <w:sz w:val="32"/>
          <w:szCs w:val="32"/>
          <w:lang w:val="en-US" w:eastAsia="zh-CN"/>
        </w:rPr>
        <w:t>张楞</w:t>
      </w:r>
      <w:r>
        <w:rPr>
          <w:rFonts w:hint="eastAsia" w:ascii="仿宋" w:hAnsi="仿宋" w:eastAsia="仿宋" w:cs="仿宋"/>
          <w:b/>
          <w:sz w:val="32"/>
          <w:szCs w:val="32"/>
          <w:lang w:eastAsia="zh-CN"/>
        </w:rPr>
        <w:t>乡人民政府</w:t>
      </w:r>
      <w:r>
        <w:rPr>
          <w:rFonts w:hint="eastAsia" w:ascii="仿宋" w:hAnsi="仿宋" w:eastAsia="仿宋" w:cs="仿宋"/>
          <w:b/>
          <w:sz w:val="32"/>
          <w:szCs w:val="32"/>
        </w:rPr>
        <w:t>概况</w:t>
      </w:r>
    </w:p>
    <w:p w14:paraId="6D31135B">
      <w:pPr>
        <w:pStyle w:val="10"/>
        <w:rPr>
          <w:rFonts w:ascii="仿宋" w:hAnsi="仿宋" w:eastAsia="仿宋" w:cs="仿宋"/>
          <w:sz w:val="32"/>
          <w:szCs w:val="32"/>
        </w:rPr>
      </w:pPr>
      <w:r>
        <w:rPr>
          <w:rFonts w:hint="eastAsia" w:ascii="仿宋" w:hAnsi="仿宋" w:eastAsia="仿宋" w:cs="仿宋"/>
          <w:sz w:val="32"/>
          <w:szCs w:val="32"/>
        </w:rPr>
        <w:t>一、主要职能</w:t>
      </w:r>
    </w:p>
    <w:p w14:paraId="5C1CC97B">
      <w:pPr>
        <w:pStyle w:val="10"/>
        <w:rPr>
          <w:rFonts w:ascii="仿宋" w:hAnsi="仿宋" w:eastAsia="仿宋" w:cs="仿宋"/>
          <w:sz w:val="32"/>
          <w:szCs w:val="32"/>
        </w:rPr>
      </w:pPr>
      <w:r>
        <w:rPr>
          <w:rFonts w:hint="eastAsia" w:ascii="仿宋" w:hAnsi="仿宋" w:eastAsia="仿宋" w:cs="仿宋"/>
          <w:sz w:val="32"/>
          <w:szCs w:val="32"/>
        </w:rPr>
        <w:t>二、机构设置</w:t>
      </w:r>
    </w:p>
    <w:p w14:paraId="2ABFFF9D">
      <w:pPr>
        <w:pStyle w:val="10"/>
        <w:rPr>
          <w:rFonts w:ascii="仿宋" w:hAnsi="仿宋" w:eastAsia="仿宋" w:cs="仿宋"/>
          <w:b/>
          <w:sz w:val="32"/>
          <w:szCs w:val="32"/>
        </w:rPr>
      </w:pPr>
      <w:r>
        <w:rPr>
          <w:rFonts w:hint="eastAsia" w:ascii="仿宋" w:hAnsi="仿宋" w:eastAsia="仿宋" w:cs="仿宋"/>
          <w:b/>
          <w:sz w:val="32"/>
          <w:szCs w:val="32"/>
        </w:rPr>
        <w:t>第二部分 2017年度赞皇县</w:t>
      </w:r>
      <w:r>
        <w:rPr>
          <w:rFonts w:hint="eastAsia" w:ascii="仿宋" w:hAnsi="仿宋" w:eastAsia="仿宋" w:cs="仿宋"/>
          <w:b/>
          <w:sz w:val="32"/>
          <w:szCs w:val="32"/>
          <w:lang w:val="en-US" w:eastAsia="zh-CN"/>
        </w:rPr>
        <w:t>张楞</w:t>
      </w:r>
      <w:r>
        <w:rPr>
          <w:rFonts w:hint="eastAsia" w:ascii="仿宋" w:hAnsi="仿宋" w:eastAsia="仿宋" w:cs="仿宋"/>
          <w:b/>
          <w:sz w:val="32"/>
          <w:szCs w:val="32"/>
          <w:lang w:eastAsia="zh-CN"/>
        </w:rPr>
        <w:t>乡人民政府</w:t>
      </w:r>
      <w:r>
        <w:rPr>
          <w:rFonts w:hint="eastAsia" w:ascii="仿宋" w:hAnsi="仿宋" w:eastAsia="仿宋" w:cs="仿宋"/>
          <w:b/>
          <w:sz w:val="32"/>
          <w:szCs w:val="32"/>
        </w:rPr>
        <w:t>部门决算情况说明</w:t>
      </w:r>
    </w:p>
    <w:p w14:paraId="4741EADA">
      <w:pPr>
        <w:pStyle w:val="10"/>
        <w:rPr>
          <w:rFonts w:ascii="仿宋" w:hAnsi="仿宋" w:eastAsia="仿宋" w:cs="仿宋"/>
          <w:sz w:val="32"/>
          <w:szCs w:val="32"/>
        </w:rPr>
      </w:pPr>
      <w:r>
        <w:rPr>
          <w:rFonts w:hint="eastAsia" w:ascii="仿宋" w:hAnsi="仿宋" w:eastAsia="仿宋" w:cs="仿宋"/>
          <w:sz w:val="32"/>
          <w:szCs w:val="32"/>
        </w:rPr>
        <w:t>一、2017年度收入支出总表情况说明</w:t>
      </w:r>
    </w:p>
    <w:p w14:paraId="397E7B4F">
      <w:pPr>
        <w:pStyle w:val="10"/>
        <w:rPr>
          <w:rFonts w:ascii="仿宋" w:hAnsi="仿宋" w:eastAsia="仿宋" w:cs="仿宋"/>
          <w:sz w:val="32"/>
          <w:szCs w:val="32"/>
        </w:rPr>
      </w:pPr>
      <w:r>
        <w:rPr>
          <w:rFonts w:hint="eastAsia" w:ascii="仿宋" w:hAnsi="仿宋" w:eastAsia="仿宋" w:cs="仿宋"/>
          <w:sz w:val="32"/>
          <w:szCs w:val="32"/>
        </w:rPr>
        <w:t>二、2017年度一般公共预算财政拨款支出情况说明</w:t>
      </w:r>
    </w:p>
    <w:p w14:paraId="37835935">
      <w:pPr>
        <w:ind w:firstLine="0" w:firstLineChars="0"/>
        <w:rPr>
          <w:rFonts w:ascii="仿宋" w:hAnsi="仿宋" w:eastAsia="仿宋" w:cs="仿宋"/>
          <w:sz w:val="32"/>
          <w:szCs w:val="32"/>
        </w:rPr>
      </w:pPr>
      <w:r>
        <w:rPr>
          <w:rFonts w:hint="eastAsia" w:ascii="仿宋" w:hAnsi="仿宋" w:eastAsia="仿宋" w:cs="仿宋"/>
          <w:sz w:val="32"/>
          <w:szCs w:val="32"/>
        </w:rPr>
        <w:t>三、2017年度一般公共预算财政拨款基本支出情况说明</w:t>
      </w:r>
    </w:p>
    <w:p w14:paraId="0DDB3BAA">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四、2017年度一般公共预算财政拨款“三公”经费支出情况说明</w:t>
      </w:r>
    </w:p>
    <w:p w14:paraId="0BC5729A">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五、2017年度政府性基金预算财政拨款收入支出情况说明</w:t>
      </w:r>
    </w:p>
    <w:p w14:paraId="784A30A0">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六、2017年度预算绩效情况说明</w:t>
      </w:r>
    </w:p>
    <w:p w14:paraId="738F48A8">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七、2017年度其他重要事项情况说明</w:t>
      </w:r>
    </w:p>
    <w:p w14:paraId="25821C4F">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32"/>
          <w:szCs w:val="32"/>
        </w:rPr>
      </w:pPr>
      <w:r>
        <w:rPr>
          <w:rFonts w:hint="eastAsia" w:ascii="仿宋" w:hAnsi="仿宋" w:eastAsia="仿宋" w:cs="仿宋"/>
          <w:b/>
          <w:sz w:val="32"/>
          <w:szCs w:val="32"/>
        </w:rPr>
        <w:t xml:space="preserve">第三部分 </w:t>
      </w:r>
      <w:r>
        <w:rPr>
          <w:rFonts w:hint="eastAsia" w:ascii="仿宋" w:hAnsi="仿宋" w:eastAsia="仿宋" w:cs="仿宋"/>
          <w:b/>
          <w:color w:val="000000"/>
          <w:kern w:val="0"/>
          <w:sz w:val="32"/>
          <w:szCs w:val="32"/>
        </w:rPr>
        <w:t>名词解释</w:t>
      </w:r>
    </w:p>
    <w:p w14:paraId="68129FEE">
      <w:pPr>
        <w:pStyle w:val="10"/>
        <w:rPr>
          <w:rFonts w:ascii="仿宋" w:hAnsi="仿宋" w:eastAsia="仿宋" w:cs="仿宋"/>
          <w:b/>
          <w:sz w:val="32"/>
          <w:szCs w:val="32"/>
        </w:rPr>
      </w:pPr>
      <w:r>
        <w:rPr>
          <w:rFonts w:hint="eastAsia" w:ascii="仿宋" w:hAnsi="仿宋" w:eastAsia="仿宋" w:cs="仿宋"/>
          <w:b/>
          <w:sz w:val="32"/>
          <w:szCs w:val="32"/>
        </w:rPr>
        <w:t>附表：2017年度赞皇县</w:t>
      </w:r>
      <w:r>
        <w:rPr>
          <w:rFonts w:hint="eastAsia" w:ascii="仿宋" w:hAnsi="仿宋" w:eastAsia="仿宋" w:cs="仿宋"/>
          <w:b/>
          <w:sz w:val="32"/>
          <w:szCs w:val="32"/>
          <w:lang w:val="en-US" w:eastAsia="zh-CN"/>
        </w:rPr>
        <w:t>张楞</w:t>
      </w:r>
      <w:r>
        <w:rPr>
          <w:rFonts w:hint="eastAsia" w:ascii="仿宋" w:hAnsi="仿宋" w:eastAsia="仿宋" w:cs="仿宋"/>
          <w:b/>
          <w:sz w:val="32"/>
          <w:szCs w:val="32"/>
          <w:lang w:eastAsia="zh-CN"/>
        </w:rPr>
        <w:t>乡人民政府</w:t>
      </w:r>
      <w:r>
        <w:rPr>
          <w:rFonts w:hint="eastAsia" w:ascii="仿宋" w:hAnsi="仿宋" w:eastAsia="仿宋" w:cs="仿宋"/>
          <w:b/>
          <w:sz w:val="32"/>
          <w:szCs w:val="32"/>
        </w:rPr>
        <w:t>部门决算表</w:t>
      </w:r>
    </w:p>
    <w:p w14:paraId="610CC854">
      <w:pPr>
        <w:pStyle w:val="10"/>
        <w:rPr>
          <w:rFonts w:ascii="仿宋" w:hAnsi="仿宋" w:eastAsia="仿宋" w:cs="仿宋"/>
          <w:sz w:val="32"/>
          <w:szCs w:val="32"/>
        </w:rPr>
      </w:pPr>
      <w:r>
        <w:rPr>
          <w:rFonts w:hint="eastAsia" w:ascii="仿宋" w:hAnsi="仿宋" w:eastAsia="仿宋" w:cs="仿宋"/>
          <w:sz w:val="32"/>
          <w:szCs w:val="32"/>
        </w:rPr>
        <w:t>一、收入支出决算总表</w:t>
      </w:r>
    </w:p>
    <w:p w14:paraId="450FE2DF">
      <w:pPr>
        <w:pStyle w:val="10"/>
        <w:rPr>
          <w:rFonts w:ascii="仿宋" w:hAnsi="仿宋" w:eastAsia="仿宋" w:cs="仿宋"/>
          <w:sz w:val="32"/>
          <w:szCs w:val="32"/>
        </w:rPr>
      </w:pPr>
      <w:r>
        <w:rPr>
          <w:rFonts w:hint="eastAsia" w:ascii="仿宋" w:hAnsi="仿宋" w:eastAsia="仿宋" w:cs="仿宋"/>
          <w:sz w:val="32"/>
          <w:szCs w:val="32"/>
        </w:rPr>
        <w:t>二、收入决算表</w:t>
      </w:r>
    </w:p>
    <w:p w14:paraId="1530D58C">
      <w:pPr>
        <w:pStyle w:val="10"/>
        <w:rPr>
          <w:rFonts w:ascii="仿宋" w:hAnsi="仿宋" w:eastAsia="仿宋" w:cs="仿宋"/>
          <w:sz w:val="32"/>
          <w:szCs w:val="32"/>
        </w:rPr>
      </w:pPr>
      <w:r>
        <w:rPr>
          <w:rFonts w:hint="eastAsia" w:ascii="仿宋" w:hAnsi="仿宋" w:eastAsia="仿宋" w:cs="仿宋"/>
          <w:sz w:val="32"/>
          <w:szCs w:val="32"/>
        </w:rPr>
        <w:t>三、支出决算表</w:t>
      </w:r>
    </w:p>
    <w:p w14:paraId="3692378B">
      <w:pPr>
        <w:pStyle w:val="10"/>
        <w:rPr>
          <w:rFonts w:ascii="仿宋" w:hAnsi="仿宋" w:eastAsia="仿宋" w:cs="仿宋"/>
          <w:sz w:val="32"/>
          <w:szCs w:val="32"/>
        </w:rPr>
      </w:pPr>
      <w:r>
        <w:rPr>
          <w:rFonts w:hint="eastAsia" w:ascii="仿宋" w:hAnsi="仿宋" w:eastAsia="仿宋" w:cs="仿宋"/>
          <w:sz w:val="32"/>
          <w:szCs w:val="32"/>
        </w:rPr>
        <w:t>四、财政拨款收入支出决算总表</w:t>
      </w:r>
    </w:p>
    <w:p w14:paraId="6571F937">
      <w:pPr>
        <w:pStyle w:val="10"/>
        <w:rPr>
          <w:rFonts w:ascii="仿宋" w:hAnsi="仿宋" w:eastAsia="仿宋" w:cs="仿宋"/>
          <w:sz w:val="32"/>
          <w:szCs w:val="32"/>
        </w:rPr>
      </w:pPr>
      <w:r>
        <w:rPr>
          <w:rFonts w:hint="eastAsia" w:ascii="仿宋" w:hAnsi="仿宋" w:eastAsia="仿宋" w:cs="仿宋"/>
          <w:sz w:val="32"/>
          <w:szCs w:val="32"/>
        </w:rPr>
        <w:t>五、一般公共预算财政拨款支出决算表</w:t>
      </w:r>
    </w:p>
    <w:p w14:paraId="0A2CE30C">
      <w:pPr>
        <w:pStyle w:val="10"/>
        <w:rPr>
          <w:rFonts w:ascii="仿宋" w:hAnsi="仿宋" w:eastAsia="仿宋" w:cs="仿宋"/>
          <w:sz w:val="32"/>
          <w:szCs w:val="32"/>
        </w:rPr>
      </w:pPr>
      <w:r>
        <w:rPr>
          <w:rFonts w:hint="eastAsia" w:ascii="仿宋" w:hAnsi="仿宋" w:eastAsia="仿宋" w:cs="仿宋"/>
          <w:sz w:val="32"/>
          <w:szCs w:val="32"/>
        </w:rPr>
        <w:t>六、一般公共预算财政拨款基本支出决算表</w:t>
      </w:r>
    </w:p>
    <w:p w14:paraId="38CEF37B">
      <w:pPr>
        <w:pStyle w:val="10"/>
        <w:rPr>
          <w:rFonts w:ascii="仿宋" w:hAnsi="仿宋" w:eastAsia="仿宋" w:cs="仿宋"/>
          <w:sz w:val="32"/>
          <w:szCs w:val="32"/>
        </w:rPr>
      </w:pPr>
      <w:r>
        <w:rPr>
          <w:rFonts w:hint="eastAsia" w:ascii="仿宋" w:hAnsi="仿宋" w:eastAsia="仿宋" w:cs="仿宋"/>
          <w:sz w:val="32"/>
          <w:szCs w:val="32"/>
        </w:rPr>
        <w:t>七、政府性基金预算财政拨款收入支出决算表</w:t>
      </w:r>
    </w:p>
    <w:p w14:paraId="53B64D80">
      <w:pPr>
        <w:pStyle w:val="10"/>
        <w:rPr>
          <w:rFonts w:ascii="仿宋" w:hAnsi="仿宋" w:eastAsia="仿宋" w:cs="仿宋"/>
          <w:sz w:val="32"/>
          <w:szCs w:val="32"/>
        </w:rPr>
      </w:pPr>
      <w:r>
        <w:rPr>
          <w:rFonts w:hint="eastAsia" w:ascii="仿宋" w:hAnsi="仿宋" w:eastAsia="仿宋" w:cs="仿宋"/>
          <w:sz w:val="32"/>
          <w:szCs w:val="32"/>
        </w:rPr>
        <w:t>八、国有资本经营预算财政拨款支出决算表</w:t>
      </w:r>
    </w:p>
    <w:p w14:paraId="54619585">
      <w:pPr>
        <w:pStyle w:val="10"/>
        <w:rPr>
          <w:rFonts w:ascii="仿宋" w:hAnsi="仿宋" w:eastAsia="仿宋" w:cs="仿宋"/>
          <w:sz w:val="32"/>
          <w:szCs w:val="32"/>
        </w:rPr>
      </w:pPr>
      <w:r>
        <w:rPr>
          <w:rFonts w:hint="eastAsia" w:ascii="仿宋" w:hAnsi="仿宋" w:eastAsia="仿宋" w:cs="仿宋"/>
          <w:sz w:val="32"/>
          <w:szCs w:val="32"/>
        </w:rPr>
        <w:t>九、“三公”经费及相关信息统计表</w:t>
      </w:r>
    </w:p>
    <w:p w14:paraId="52A924C1">
      <w:pPr>
        <w:pStyle w:val="10"/>
        <w:rPr>
          <w:rFonts w:ascii="仿宋" w:hAnsi="仿宋" w:eastAsia="仿宋" w:cs="仿宋"/>
          <w:sz w:val="32"/>
          <w:szCs w:val="32"/>
        </w:rPr>
      </w:pPr>
      <w:r>
        <w:rPr>
          <w:rFonts w:hint="eastAsia" w:ascii="仿宋" w:hAnsi="仿宋" w:eastAsia="仿宋" w:cs="仿宋"/>
          <w:sz w:val="32"/>
          <w:szCs w:val="32"/>
        </w:rPr>
        <w:t>十、政府采购情况表</w:t>
      </w:r>
    </w:p>
    <w:p w14:paraId="1A8BA1EA">
      <w:pPr>
        <w:ind w:firstLine="0" w:firstLineChars="0"/>
        <w:rPr>
          <w:rFonts w:ascii="仿宋" w:hAnsi="仿宋" w:eastAsia="仿宋" w:cs="仿宋"/>
          <w:sz w:val="28"/>
          <w:szCs w:val="28"/>
        </w:rPr>
      </w:pPr>
    </w:p>
    <w:p w14:paraId="4F771ADA">
      <w:pPr>
        <w:ind w:firstLine="0" w:firstLineChars="0"/>
        <w:rPr>
          <w:rFonts w:ascii="仿宋" w:hAnsi="仿宋" w:eastAsia="仿宋" w:cs="仿宋"/>
          <w:sz w:val="28"/>
          <w:szCs w:val="28"/>
        </w:rPr>
      </w:pPr>
    </w:p>
    <w:p w14:paraId="5982008B">
      <w:pPr>
        <w:ind w:firstLine="0" w:firstLineChars="0"/>
        <w:rPr>
          <w:rFonts w:ascii="仿宋" w:hAnsi="仿宋" w:eastAsia="仿宋" w:cs="仿宋"/>
          <w:sz w:val="28"/>
          <w:szCs w:val="28"/>
        </w:rPr>
      </w:pPr>
    </w:p>
    <w:p w14:paraId="24C47818">
      <w:pPr>
        <w:ind w:firstLine="0" w:firstLineChars="0"/>
        <w:rPr>
          <w:rFonts w:ascii="仿宋" w:hAnsi="仿宋" w:eastAsia="仿宋" w:cs="仿宋"/>
          <w:sz w:val="28"/>
          <w:szCs w:val="28"/>
        </w:rPr>
      </w:pPr>
    </w:p>
    <w:p w14:paraId="0FB7D2E6">
      <w:pPr>
        <w:ind w:firstLine="0" w:firstLineChars="0"/>
        <w:rPr>
          <w:rFonts w:ascii="仿宋" w:hAnsi="仿宋" w:eastAsia="仿宋" w:cs="仿宋"/>
          <w:sz w:val="28"/>
          <w:szCs w:val="28"/>
        </w:rPr>
      </w:pPr>
    </w:p>
    <w:p w14:paraId="19513CA0">
      <w:pPr>
        <w:ind w:firstLine="0" w:firstLineChars="0"/>
        <w:rPr>
          <w:rFonts w:ascii="仿宋" w:hAnsi="仿宋" w:eastAsia="仿宋" w:cs="仿宋"/>
          <w:sz w:val="28"/>
          <w:szCs w:val="28"/>
        </w:rPr>
      </w:pPr>
    </w:p>
    <w:p w14:paraId="200A1CC6">
      <w:pPr>
        <w:ind w:firstLine="0" w:firstLineChars="0"/>
        <w:rPr>
          <w:rFonts w:ascii="仿宋" w:hAnsi="仿宋" w:eastAsia="仿宋" w:cs="仿宋"/>
          <w:sz w:val="28"/>
          <w:szCs w:val="28"/>
        </w:rPr>
      </w:pPr>
    </w:p>
    <w:p w14:paraId="742BF82C">
      <w:pPr>
        <w:ind w:firstLine="0" w:firstLineChars="0"/>
        <w:rPr>
          <w:rFonts w:ascii="仿宋" w:hAnsi="仿宋" w:eastAsia="仿宋" w:cs="仿宋"/>
          <w:sz w:val="28"/>
          <w:szCs w:val="28"/>
        </w:rPr>
      </w:pPr>
    </w:p>
    <w:p w14:paraId="534F7E46">
      <w:pPr>
        <w:ind w:firstLine="0" w:firstLineChars="0"/>
        <w:rPr>
          <w:rFonts w:ascii="仿宋" w:hAnsi="仿宋" w:eastAsia="仿宋" w:cs="仿宋"/>
          <w:sz w:val="28"/>
          <w:szCs w:val="28"/>
        </w:rPr>
      </w:pPr>
    </w:p>
    <w:p w14:paraId="12DD0357">
      <w:pPr>
        <w:ind w:firstLine="0" w:firstLineChars="0"/>
        <w:rPr>
          <w:rFonts w:ascii="仿宋" w:hAnsi="仿宋" w:eastAsia="仿宋" w:cs="仿宋"/>
          <w:sz w:val="28"/>
          <w:szCs w:val="28"/>
        </w:rPr>
      </w:pPr>
    </w:p>
    <w:p w14:paraId="7A9817B9">
      <w:pPr>
        <w:ind w:firstLine="880"/>
        <w:jc w:val="center"/>
        <w:rPr>
          <w:rFonts w:hint="eastAsia" w:ascii="黑体" w:hAnsi="黑体" w:eastAsia="黑体" w:cs="黑体"/>
          <w:sz w:val="44"/>
          <w:szCs w:val="44"/>
        </w:rPr>
      </w:pPr>
    </w:p>
    <w:p w14:paraId="20106F11">
      <w:pPr>
        <w:ind w:firstLine="880"/>
        <w:jc w:val="center"/>
        <w:rPr>
          <w:rFonts w:hint="eastAsia" w:ascii="黑体" w:hAnsi="黑体" w:eastAsia="黑体" w:cs="黑体"/>
          <w:sz w:val="44"/>
          <w:szCs w:val="44"/>
        </w:rPr>
      </w:pPr>
    </w:p>
    <w:p w14:paraId="0FA00E34">
      <w:pPr>
        <w:ind w:firstLine="880"/>
        <w:jc w:val="center"/>
        <w:rPr>
          <w:rFonts w:ascii="黑体" w:hAnsi="黑体" w:eastAsia="黑体" w:cs="黑体"/>
          <w:sz w:val="44"/>
          <w:szCs w:val="44"/>
        </w:rPr>
      </w:pPr>
      <w:r>
        <w:rPr>
          <w:rFonts w:hint="eastAsia" w:ascii="黑体" w:hAnsi="黑体" w:eastAsia="黑体" w:cs="黑体"/>
          <w:sz w:val="44"/>
          <w:szCs w:val="44"/>
        </w:rPr>
        <w:t>第一部分张楞乡人民政府概况</w:t>
      </w:r>
    </w:p>
    <w:p w14:paraId="5085C74C">
      <w:pPr>
        <w:pStyle w:val="10"/>
        <w:ind w:firstLine="642"/>
        <w:rPr>
          <w:rFonts w:ascii="仿宋" w:hAnsi="仿宋" w:eastAsia="仿宋" w:cs="仿宋"/>
          <w:sz w:val="28"/>
          <w:szCs w:val="28"/>
        </w:rPr>
      </w:pPr>
      <w:r>
        <w:rPr>
          <w:rFonts w:hint="eastAsia"/>
          <w:b/>
          <w:sz w:val="32"/>
          <w:szCs w:val="32"/>
        </w:rPr>
        <w:t>一、</w:t>
      </w:r>
      <w:r>
        <w:rPr>
          <w:rFonts w:hint="eastAsia" w:ascii="仿宋" w:hAnsi="仿宋" w:eastAsia="仿宋" w:cs="仿宋"/>
          <w:sz w:val="28"/>
          <w:szCs w:val="28"/>
        </w:rPr>
        <w:t>主要职能</w:t>
      </w:r>
    </w:p>
    <w:p w14:paraId="46C0E3E6">
      <w:pPr>
        <w:pStyle w:val="10"/>
        <w:ind w:firstLine="560"/>
        <w:rPr>
          <w:rFonts w:ascii="仿宋" w:hAnsi="仿宋" w:eastAsia="仿宋" w:cs="仿宋"/>
          <w:sz w:val="28"/>
          <w:szCs w:val="28"/>
        </w:rPr>
      </w:pPr>
      <w:r>
        <w:rPr>
          <w:rFonts w:hint="eastAsia" w:ascii="仿宋" w:hAnsi="仿宋" w:eastAsia="仿宋" w:cs="仿宋"/>
          <w:sz w:val="28"/>
          <w:szCs w:val="28"/>
        </w:rPr>
        <w:t>（一）促进经济发展。1、搞好本乡镇产业发展规划，引导农民立足自身资源和区位条件，发挥优势，大力发展区域特色经济。为农民提供政策、信息等服务，促进农民脱贫致富。2、加强工业经济管理，为招商引资营造良好环境，大力发展第二、第三产业，加快城镇化进程。3、配合民政、商务和供销社等部门，培育和发展农村合作组织（各种协会及中介组织）；配合农口部门做好农业技术推广和服务工作。</w:t>
      </w:r>
    </w:p>
    <w:p w14:paraId="0BC29193">
      <w:pPr>
        <w:pStyle w:val="10"/>
        <w:rPr>
          <w:rFonts w:ascii="仿宋" w:hAnsi="仿宋" w:eastAsia="仿宋" w:cs="仿宋"/>
          <w:sz w:val="28"/>
          <w:szCs w:val="28"/>
        </w:rPr>
      </w:pPr>
      <w:r>
        <w:rPr>
          <w:rFonts w:hint="eastAsia" w:ascii="仿宋" w:hAnsi="仿宋" w:eastAsia="仿宋" w:cs="仿宋"/>
          <w:bCs/>
          <w:sz w:val="28"/>
          <w:szCs w:val="28"/>
        </w:rPr>
        <w:t xml:space="preserve">    （二）加强社会管理。1、</w:t>
      </w:r>
      <w:r>
        <w:rPr>
          <w:rFonts w:hint="eastAsia" w:ascii="仿宋" w:hAnsi="仿宋" w:eastAsia="仿宋" w:cs="仿宋"/>
          <w:sz w:val="28"/>
          <w:szCs w:val="28"/>
        </w:rPr>
        <w:t>加强乡村财政资金监督管理，农村合同管理及农民减负工作；做好乡镇统计审计工作2、做好人口和计划生育管理工作及计划生育协会工作。加强流动人口生育管理和计划生育技术服务等工作。3推进农村民政政治建设和村民自治，加强农村基层组织建设，为实现公民在选举、决策、管理等方面的民主权利创造条件。4加强农村精神和生态文明村建设，制定构建和谐社会的具体措施，并抓好组织实施。5、配合城建、国土资源部门做好村镇建设规划、保护耕地工作。6、配合安全生产监督管理部门做好安全生产监督管理工作。7、配合武装部做好征兵工作及民兵工作。8、配合环保部门做好环境、改善生态环境工作，提高资源利用率。9、配合交通部门完善道路硬化、加强公路养护。</w:t>
      </w:r>
    </w:p>
    <w:p w14:paraId="4D32B511">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firstLineChars="0"/>
        <w:jc w:val="left"/>
        <w:rPr>
          <w:rFonts w:ascii="仿宋" w:hAnsi="仿宋" w:eastAsia="仿宋" w:cs="仿宋"/>
          <w:sz w:val="28"/>
          <w:szCs w:val="28"/>
        </w:rPr>
      </w:pPr>
      <w:r>
        <w:rPr>
          <w:rFonts w:hint="eastAsia" w:ascii="仿宋" w:hAnsi="仿宋" w:eastAsia="仿宋" w:cs="仿宋"/>
          <w:bCs/>
          <w:sz w:val="28"/>
          <w:szCs w:val="28"/>
        </w:rPr>
        <w:t>提供公共服务。1、</w:t>
      </w:r>
      <w:r>
        <w:rPr>
          <w:rFonts w:hint="eastAsia" w:ascii="仿宋" w:hAnsi="仿宋" w:eastAsia="仿宋" w:cs="仿宋"/>
          <w:sz w:val="28"/>
          <w:szCs w:val="28"/>
        </w:rPr>
        <w:t>组织乡村公共基础设施建设。配合教育、科技、文体、卫生等部门搞好九年义务教育，普及推广科学技术，丰富农村文化生活，开展全民健身运动，推行和完善新型合作医疗制度，提高参保率，加强农村食品安全监管。3、配合农口部门做好农业技术服务和技术推广以及动物防疫工作；加强农田水利基本建设，增强农业抗御自然灾害的能力。4、配合广播电台、电力、电信等部门，做好普及有线电视、电网改造工作，扩大通讯网络在农村的覆盖面。5、配合民政、残联部门做好农村扶贫、低保工作、特困户救助和残疾人服务工作。6、配合人力资源和社会保障部门做好农村劳动力职业培训、劳动就业和社会保障工作。</w:t>
      </w:r>
    </w:p>
    <w:p w14:paraId="39B0B38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0" w:firstLineChars="0"/>
        <w:jc w:val="left"/>
        <w:rPr>
          <w:rFonts w:ascii="仿宋" w:hAnsi="仿宋" w:eastAsia="仿宋" w:cs="仿宋"/>
          <w:sz w:val="28"/>
          <w:szCs w:val="28"/>
        </w:rPr>
      </w:pPr>
      <w:r>
        <w:rPr>
          <w:rFonts w:hint="eastAsia" w:ascii="仿宋" w:hAnsi="仿宋" w:eastAsia="仿宋" w:cs="仿宋"/>
          <w:bCs/>
          <w:sz w:val="28"/>
          <w:szCs w:val="28"/>
        </w:rPr>
        <w:t xml:space="preserve">    （四）维护农村稳定。</w:t>
      </w:r>
      <w:r>
        <w:rPr>
          <w:rFonts w:hint="eastAsia" w:ascii="仿宋" w:hAnsi="仿宋" w:eastAsia="仿宋" w:cs="仿宋"/>
          <w:sz w:val="28"/>
          <w:szCs w:val="28"/>
        </w:rPr>
        <w:t>1、做好社会治安综合治理工作，正确指导农村治保会和民兵连的工作。2、宣传贯彻国家法律法规和政策，增强农民法律意识，教育农民知法、懂法、守法。3、做好司法、宗教工作，打击邪教。4、做好群众来信来访、法律咨询、搞好农村矛盾纠纷排查调处；做好群众来信来访、法律咨询、搞好农村矛盾纠纷排查调处。5、妥善处理突发性、群体性时间，维护社会稳定。6、协助司法机关打击各类刑事法罪活动。</w:t>
      </w:r>
    </w:p>
    <w:p w14:paraId="291F532A">
      <w:pPr>
        <w:pStyle w:val="10"/>
        <w:rPr>
          <w:rFonts w:ascii="仿宋" w:hAnsi="仿宋" w:eastAsia="仿宋" w:cs="仿宋"/>
          <w:sz w:val="28"/>
          <w:szCs w:val="28"/>
        </w:rPr>
      </w:pPr>
      <w:r>
        <w:rPr>
          <w:rFonts w:hint="eastAsia" w:ascii="仿宋" w:hAnsi="仿宋" w:eastAsia="仿宋" w:cs="仿宋"/>
          <w:sz w:val="28"/>
          <w:szCs w:val="28"/>
        </w:rPr>
        <w:t xml:space="preserve">    二、机构设置</w:t>
      </w:r>
    </w:p>
    <w:p w14:paraId="2C6F6DCD">
      <w:pPr>
        <w:pStyle w:val="10"/>
        <w:rPr>
          <w:rFonts w:ascii="仿宋" w:hAnsi="仿宋" w:eastAsia="仿宋" w:cs="仿宋"/>
          <w:sz w:val="28"/>
          <w:szCs w:val="28"/>
        </w:rPr>
      </w:pPr>
      <w:r>
        <w:rPr>
          <w:rFonts w:hint="eastAsia" w:ascii="仿宋" w:hAnsi="仿宋" w:eastAsia="仿宋" w:cs="仿宋"/>
          <w:sz w:val="28"/>
          <w:szCs w:val="28"/>
        </w:rPr>
        <w:t xml:space="preserve">    （一）党政机构</w:t>
      </w:r>
    </w:p>
    <w:p w14:paraId="6D449E8C">
      <w:pPr>
        <w:pStyle w:val="10"/>
        <w:rPr>
          <w:rFonts w:ascii="仿宋" w:hAnsi="仿宋" w:eastAsia="仿宋" w:cs="仿宋"/>
          <w:sz w:val="28"/>
          <w:szCs w:val="28"/>
        </w:rPr>
      </w:pPr>
      <w:r>
        <w:rPr>
          <w:rFonts w:hint="eastAsia" w:ascii="仿宋" w:hAnsi="仿宋" w:eastAsia="仿宋" w:cs="仿宋"/>
          <w:sz w:val="28"/>
          <w:szCs w:val="28"/>
        </w:rPr>
        <w:t xml:space="preserve">    1、党政办公室。负责乡镇党委、政府各项工作的督导催办，处理机关日常事务，搞好文秘、档案管理、政务公开和机关后勤保障工作；负责组织、纪检、宣传、武装、人大、政协、统战、工会、共青团、妇联等工作；抓好农村基层组织建设和民主政治建设。</w:t>
      </w:r>
    </w:p>
    <w:p w14:paraId="4A5CCC75">
      <w:pPr>
        <w:pStyle w:val="10"/>
        <w:rPr>
          <w:rFonts w:ascii="仿宋" w:hAnsi="仿宋" w:eastAsia="仿宋" w:cs="仿宋"/>
          <w:sz w:val="28"/>
          <w:szCs w:val="28"/>
        </w:rPr>
      </w:pPr>
      <w:r>
        <w:rPr>
          <w:rFonts w:hint="eastAsia" w:ascii="仿宋" w:hAnsi="仿宋" w:eastAsia="仿宋" w:cs="仿宋"/>
          <w:sz w:val="28"/>
          <w:szCs w:val="28"/>
        </w:rPr>
        <w:t xml:space="preserve">    2、计划生育和社会事务办公室。</w:t>
      </w:r>
    </w:p>
    <w:p w14:paraId="7F43AA5F">
      <w:pPr>
        <w:pStyle w:val="10"/>
        <w:rPr>
          <w:rFonts w:ascii="仿宋" w:hAnsi="仿宋" w:eastAsia="仿宋" w:cs="仿宋"/>
          <w:sz w:val="28"/>
          <w:szCs w:val="28"/>
        </w:rPr>
      </w:pPr>
      <w:r>
        <w:rPr>
          <w:rFonts w:hint="eastAsia" w:ascii="仿宋" w:hAnsi="仿宋" w:eastAsia="仿宋" w:cs="仿宋"/>
          <w:sz w:val="28"/>
          <w:szCs w:val="28"/>
        </w:rPr>
        <w:t>负责人口和计划生育行政管理工作及计划生育协会工作。</w:t>
      </w:r>
    </w:p>
    <w:p w14:paraId="289C4E5D">
      <w:pPr>
        <w:pStyle w:val="10"/>
        <w:rPr>
          <w:rFonts w:ascii="仿宋" w:hAnsi="仿宋" w:eastAsia="仿宋" w:cs="仿宋"/>
          <w:sz w:val="28"/>
          <w:szCs w:val="28"/>
        </w:rPr>
      </w:pPr>
      <w:r>
        <w:rPr>
          <w:rFonts w:hint="eastAsia" w:ascii="仿宋" w:hAnsi="仿宋" w:eastAsia="仿宋" w:cs="仿宋"/>
          <w:sz w:val="28"/>
          <w:szCs w:val="28"/>
        </w:rPr>
        <w:t>负责精神文明和新农村建设、科技、教育、文化、卫生、民政、广播电视、残联等社会事务工作的指导服务和协调。</w:t>
      </w:r>
    </w:p>
    <w:p w14:paraId="67853F7F">
      <w:pPr>
        <w:pStyle w:val="10"/>
        <w:rPr>
          <w:rFonts w:ascii="仿宋" w:hAnsi="仿宋" w:eastAsia="仿宋" w:cs="仿宋"/>
          <w:sz w:val="28"/>
          <w:szCs w:val="28"/>
        </w:rPr>
      </w:pPr>
      <w:r>
        <w:rPr>
          <w:rFonts w:hint="eastAsia" w:ascii="仿宋" w:hAnsi="仿宋" w:eastAsia="仿宋" w:cs="仿宋"/>
          <w:sz w:val="28"/>
          <w:szCs w:val="28"/>
        </w:rPr>
        <w:t>负责社会治安综合治理工作；做好宗教工作，打击邪教；调处矛盾纠纷；做好群众来访来信、社会稳定等工作。</w:t>
      </w:r>
    </w:p>
    <w:p w14:paraId="1A31F2B3">
      <w:pPr>
        <w:pStyle w:val="10"/>
        <w:rPr>
          <w:rFonts w:ascii="仿宋" w:hAnsi="仿宋" w:eastAsia="仿宋" w:cs="仿宋"/>
          <w:sz w:val="28"/>
          <w:szCs w:val="28"/>
        </w:rPr>
      </w:pPr>
      <w:r>
        <w:rPr>
          <w:rFonts w:hint="eastAsia" w:ascii="仿宋" w:hAnsi="仿宋" w:eastAsia="仿宋" w:cs="仿宋"/>
          <w:sz w:val="28"/>
          <w:szCs w:val="28"/>
        </w:rPr>
        <w:t xml:space="preserve">    3、经济发展办公室。负责制定乡镇财政计划和经济发展规划；为招商引资、发展民营企业和第三产业提供服务；做好乡镇统计、审计工作；做好环境保护工作；指导农村经济合作组织开展工作；协调配合做好农业技术推广和服务工作。</w:t>
      </w:r>
    </w:p>
    <w:p w14:paraId="504C3691">
      <w:pPr>
        <w:pStyle w:val="10"/>
        <w:ind w:firstLine="560"/>
        <w:rPr>
          <w:rFonts w:ascii="仿宋" w:hAnsi="仿宋" w:eastAsia="仿宋" w:cs="仿宋"/>
          <w:sz w:val="28"/>
          <w:szCs w:val="28"/>
        </w:rPr>
      </w:pPr>
      <w:r>
        <w:rPr>
          <w:rFonts w:hint="eastAsia" w:ascii="仿宋" w:hAnsi="仿宋" w:eastAsia="仿宋" w:cs="仿宋"/>
          <w:sz w:val="28"/>
          <w:szCs w:val="28"/>
        </w:rPr>
        <w:t>设立纪律检查委员会；工会、共青团、妇联、人大秘书、司法所等按有关规定设置。</w:t>
      </w:r>
    </w:p>
    <w:p w14:paraId="77175AFD">
      <w:pPr>
        <w:pStyle w:val="10"/>
        <w:ind w:firstLine="560"/>
        <w:rPr>
          <w:rFonts w:ascii="仿宋" w:hAnsi="仿宋" w:eastAsia="仿宋" w:cs="仿宋"/>
          <w:sz w:val="28"/>
          <w:szCs w:val="28"/>
        </w:rPr>
      </w:pPr>
      <w:r>
        <w:rPr>
          <w:rFonts w:hint="eastAsia" w:ascii="仿宋" w:hAnsi="仿宋" w:eastAsia="仿宋" w:cs="仿宋"/>
          <w:sz w:val="28"/>
          <w:szCs w:val="28"/>
        </w:rPr>
        <w:t>（二）事业单位</w:t>
      </w:r>
    </w:p>
    <w:p w14:paraId="6935C4D4">
      <w:pPr>
        <w:pStyle w:val="10"/>
        <w:rPr>
          <w:rFonts w:ascii="仿宋" w:hAnsi="仿宋" w:eastAsia="仿宋" w:cs="仿宋"/>
          <w:sz w:val="28"/>
          <w:szCs w:val="28"/>
        </w:rPr>
      </w:pPr>
      <w:r>
        <w:rPr>
          <w:rFonts w:hint="eastAsia" w:ascii="仿宋" w:hAnsi="仿宋" w:eastAsia="仿宋" w:cs="仿宋"/>
          <w:sz w:val="28"/>
          <w:szCs w:val="28"/>
        </w:rPr>
        <w:t xml:space="preserve">    1、农业综合服务中心。</w:t>
      </w:r>
    </w:p>
    <w:p w14:paraId="6C1B74FE">
      <w:pPr>
        <w:pStyle w:val="10"/>
        <w:rPr>
          <w:rFonts w:ascii="仿宋" w:hAnsi="仿宋" w:eastAsia="仿宋" w:cs="仿宋"/>
          <w:sz w:val="28"/>
          <w:szCs w:val="28"/>
        </w:rPr>
      </w:pPr>
      <w:r>
        <w:rPr>
          <w:rFonts w:hint="eastAsia" w:ascii="仿宋" w:hAnsi="仿宋" w:eastAsia="仿宋" w:cs="仿宋"/>
          <w:sz w:val="28"/>
          <w:szCs w:val="28"/>
        </w:rPr>
        <w:t>负责新品种新技术推广、农业机械推广应用、农作物病虫害防治、土壤改良工程、农田水利基本建设、人畜饮水工程等工作。</w:t>
      </w:r>
    </w:p>
    <w:p w14:paraId="613CE574">
      <w:pPr>
        <w:pStyle w:val="10"/>
        <w:rPr>
          <w:rFonts w:ascii="仿宋" w:hAnsi="仿宋" w:eastAsia="仿宋" w:cs="仿宋"/>
          <w:sz w:val="28"/>
          <w:szCs w:val="28"/>
        </w:rPr>
      </w:pPr>
      <w:r>
        <w:rPr>
          <w:rFonts w:hint="eastAsia" w:ascii="仿宋" w:hAnsi="仿宋" w:eastAsia="仿宋" w:cs="仿宋"/>
          <w:sz w:val="28"/>
          <w:szCs w:val="28"/>
        </w:rPr>
        <w:t xml:space="preserve">    2、文化广播服务中心</w:t>
      </w:r>
    </w:p>
    <w:p w14:paraId="5EC936BF">
      <w:pPr>
        <w:pStyle w:val="10"/>
        <w:rPr>
          <w:rFonts w:ascii="仿宋" w:hAnsi="仿宋" w:eastAsia="仿宋" w:cs="仿宋"/>
          <w:sz w:val="28"/>
          <w:szCs w:val="28"/>
        </w:rPr>
      </w:pPr>
      <w:r>
        <w:rPr>
          <w:rFonts w:hint="eastAsia" w:ascii="仿宋" w:hAnsi="仿宋" w:eastAsia="仿宋" w:cs="仿宋"/>
          <w:sz w:val="28"/>
          <w:szCs w:val="28"/>
        </w:rPr>
        <w:t>负责文化、体育、广播、电视等服务管理工作。</w:t>
      </w:r>
    </w:p>
    <w:p w14:paraId="7B56E272">
      <w:pPr>
        <w:pStyle w:val="10"/>
        <w:rPr>
          <w:rFonts w:ascii="仿宋" w:hAnsi="仿宋" w:eastAsia="仿宋" w:cs="仿宋"/>
          <w:sz w:val="28"/>
          <w:szCs w:val="28"/>
        </w:rPr>
      </w:pPr>
      <w:r>
        <w:rPr>
          <w:rFonts w:hint="eastAsia" w:ascii="仿宋" w:hAnsi="仿宋" w:eastAsia="仿宋" w:cs="仿宋"/>
          <w:sz w:val="28"/>
          <w:szCs w:val="28"/>
        </w:rPr>
        <w:t xml:space="preserve">    3、计划生育服务中心</w:t>
      </w:r>
    </w:p>
    <w:p w14:paraId="31DCAFF5">
      <w:pPr>
        <w:pStyle w:val="10"/>
        <w:rPr>
          <w:rFonts w:ascii="仿宋" w:hAnsi="仿宋" w:eastAsia="仿宋" w:cs="仿宋"/>
          <w:sz w:val="28"/>
          <w:szCs w:val="28"/>
        </w:rPr>
      </w:pPr>
      <w:r>
        <w:rPr>
          <w:rFonts w:hint="eastAsia" w:ascii="仿宋" w:hAnsi="仿宋" w:eastAsia="仿宋" w:cs="仿宋"/>
          <w:sz w:val="28"/>
          <w:szCs w:val="28"/>
        </w:rPr>
        <w:t>负责计划生育技术服务及人口生育管理，负责育龄妇女普查、妇女病防治、四术及协会等工作。</w:t>
      </w:r>
    </w:p>
    <w:p w14:paraId="5B3A5FB4">
      <w:pPr>
        <w:pStyle w:val="10"/>
        <w:rPr>
          <w:rFonts w:ascii="仿宋" w:hAnsi="仿宋" w:eastAsia="仿宋" w:cs="仿宋"/>
          <w:sz w:val="28"/>
          <w:szCs w:val="28"/>
        </w:rPr>
      </w:pPr>
      <w:r>
        <w:rPr>
          <w:rFonts w:hint="eastAsia" w:ascii="仿宋" w:hAnsi="仿宋" w:eastAsia="仿宋" w:cs="仿宋"/>
          <w:sz w:val="28"/>
          <w:szCs w:val="28"/>
        </w:rPr>
        <w:t xml:space="preserve">    4、劳动和社会保障事务所</w:t>
      </w:r>
    </w:p>
    <w:p w14:paraId="01A3E895">
      <w:pPr>
        <w:pStyle w:val="10"/>
        <w:rPr>
          <w:rFonts w:ascii="仿宋" w:hAnsi="仿宋" w:eastAsia="仿宋" w:cs="仿宋"/>
          <w:sz w:val="28"/>
          <w:szCs w:val="28"/>
        </w:rPr>
      </w:pPr>
      <w:r>
        <w:rPr>
          <w:rFonts w:hint="eastAsia" w:ascii="仿宋" w:hAnsi="仿宋" w:eastAsia="仿宋" w:cs="仿宋"/>
          <w:sz w:val="28"/>
          <w:szCs w:val="28"/>
        </w:rPr>
        <w:t>负责劳动法的宣传贯彻、劳动就业、社会保障、安全生产监督管理等工作。</w:t>
      </w:r>
    </w:p>
    <w:p w14:paraId="22313774">
      <w:pPr>
        <w:pStyle w:val="10"/>
        <w:ind w:firstLine="570"/>
        <w:rPr>
          <w:rFonts w:ascii="仿宋" w:hAnsi="仿宋" w:eastAsia="仿宋" w:cs="仿宋"/>
          <w:sz w:val="28"/>
          <w:szCs w:val="28"/>
        </w:rPr>
      </w:pPr>
      <w:r>
        <w:rPr>
          <w:rFonts w:hint="eastAsia" w:ascii="仿宋" w:hAnsi="仿宋" w:eastAsia="仿宋" w:cs="仿宋"/>
          <w:sz w:val="28"/>
          <w:szCs w:val="28"/>
        </w:rPr>
        <w:t>（三）人员情况</w:t>
      </w:r>
    </w:p>
    <w:p w14:paraId="7DF6F182">
      <w:pPr>
        <w:pStyle w:val="10"/>
        <w:ind w:firstLine="570"/>
        <w:rPr>
          <w:rFonts w:ascii="仿宋" w:hAnsi="仿宋" w:eastAsia="仿宋" w:cs="仿宋"/>
          <w:sz w:val="28"/>
          <w:szCs w:val="28"/>
        </w:rPr>
      </w:pPr>
      <w:r>
        <w:rPr>
          <w:rFonts w:hint="eastAsia" w:ascii="仿宋" w:hAnsi="仿宋" w:eastAsia="仿宋" w:cs="仿宋"/>
          <w:sz w:val="28"/>
          <w:szCs w:val="28"/>
        </w:rPr>
        <w:t>张楞乡机关行政编制21名。事业单位编制18名。机关工勤人员编制2名。</w:t>
      </w:r>
    </w:p>
    <w:p w14:paraId="5C57FDD0">
      <w:pPr>
        <w:pStyle w:val="10"/>
        <w:ind w:left="2520"/>
        <w:rPr>
          <w:rFonts w:ascii="仿宋_GB2312" w:hAnsi="仿宋_GB2312" w:cs="仿宋_GB2312"/>
          <w:sz w:val="32"/>
          <w:szCs w:val="32"/>
        </w:rPr>
      </w:pPr>
    </w:p>
    <w:p w14:paraId="4336EB43">
      <w:pPr>
        <w:pStyle w:val="10"/>
        <w:jc w:val="center"/>
        <w:rPr>
          <w:b/>
          <w:sz w:val="44"/>
          <w:szCs w:val="44"/>
        </w:rPr>
      </w:pPr>
      <w:r>
        <w:rPr>
          <w:rFonts w:hint="eastAsia"/>
          <w:b/>
          <w:sz w:val="44"/>
          <w:szCs w:val="44"/>
        </w:rPr>
        <w:t>第二部分2017年度张楞乡人民政府单位部门决算情况说明</w:t>
      </w:r>
    </w:p>
    <w:p w14:paraId="5DD29F6D">
      <w:pPr>
        <w:pStyle w:val="10"/>
        <w:rPr>
          <w:rFonts w:ascii="仿宋" w:hAnsi="仿宋" w:eastAsia="仿宋" w:cs="仿宋"/>
          <w:sz w:val="28"/>
          <w:szCs w:val="28"/>
        </w:rPr>
      </w:pPr>
      <w:r>
        <w:rPr>
          <w:rFonts w:hint="eastAsia" w:ascii="仿宋" w:hAnsi="仿宋" w:eastAsia="仿宋" w:cs="仿宋"/>
          <w:sz w:val="28"/>
          <w:szCs w:val="28"/>
        </w:rPr>
        <w:t xml:space="preserve">    一、2017年度收入支出总表情况说明</w:t>
      </w:r>
    </w:p>
    <w:p w14:paraId="0D6F6884">
      <w:pPr>
        <w:adjustRightInd w:val="0"/>
        <w:snapToGrid w:val="0"/>
        <w:spacing w:line="600" w:lineRule="exact"/>
        <w:ind w:firstLine="0" w:firstLineChars="0"/>
        <w:rPr>
          <w:rFonts w:ascii="仿宋" w:hAnsi="仿宋" w:eastAsia="仿宋" w:cs="仿宋"/>
          <w:bCs/>
          <w:sz w:val="28"/>
          <w:szCs w:val="28"/>
        </w:rPr>
      </w:pPr>
      <w:r>
        <w:rPr>
          <w:rFonts w:hint="eastAsia" w:ascii="仿宋" w:hAnsi="仿宋" w:eastAsia="仿宋" w:cs="仿宋"/>
          <w:bCs/>
          <w:sz w:val="28"/>
          <w:szCs w:val="28"/>
        </w:rPr>
        <w:t xml:space="preserve">    （一）、本年度决算收入1127.22万元，上年度项目结余0万元，决算支出1127.22万元，与2016年相比，决算收入减少</w:t>
      </w:r>
      <w:r>
        <w:rPr>
          <w:rFonts w:hint="eastAsia" w:ascii="仿宋" w:hAnsi="仿宋" w:eastAsia="仿宋" w:cs="仿宋"/>
          <w:bCs/>
          <w:sz w:val="28"/>
          <w:szCs w:val="28"/>
          <w:lang w:val="en-US" w:eastAsia="zh-CN"/>
        </w:rPr>
        <w:t>75.33</w:t>
      </w:r>
      <w:r>
        <w:rPr>
          <w:rFonts w:hint="eastAsia" w:ascii="仿宋" w:hAnsi="仿宋" w:eastAsia="仿宋" w:cs="仿宋"/>
          <w:bCs/>
          <w:sz w:val="28"/>
          <w:szCs w:val="28"/>
        </w:rPr>
        <w:t>万元</w:t>
      </w:r>
      <w:r>
        <w:rPr>
          <w:rFonts w:hint="eastAsia" w:ascii="仿宋" w:hAnsi="仿宋" w:eastAsia="仿宋" w:cs="仿宋"/>
          <w:bCs/>
          <w:sz w:val="28"/>
          <w:szCs w:val="28"/>
          <w:lang w:eastAsia="zh-CN"/>
        </w:rPr>
        <w:t>。</w:t>
      </w:r>
    </w:p>
    <w:p w14:paraId="1AE77894">
      <w:pPr>
        <w:adjustRightInd w:val="0"/>
        <w:snapToGrid w:val="0"/>
        <w:spacing w:line="600" w:lineRule="exact"/>
        <w:ind w:firstLine="560"/>
        <w:rPr>
          <w:rFonts w:ascii="仿宋" w:hAnsi="仿宋" w:eastAsia="仿宋" w:cs="仿宋"/>
          <w:bCs/>
          <w:sz w:val="28"/>
          <w:szCs w:val="28"/>
        </w:rPr>
      </w:pPr>
      <w:r>
        <w:rPr>
          <w:rFonts w:hint="eastAsia" w:ascii="仿宋" w:hAnsi="仿宋" w:eastAsia="仿宋" w:cs="仿宋"/>
          <w:bCs/>
          <w:sz w:val="28"/>
          <w:szCs w:val="28"/>
        </w:rPr>
        <w:t>1、2017年度收入决算情况说明</w:t>
      </w:r>
    </w:p>
    <w:p w14:paraId="2740AEB1">
      <w:pPr>
        <w:adjustRightInd w:val="0"/>
        <w:snapToGrid w:val="0"/>
        <w:spacing w:line="600" w:lineRule="exact"/>
        <w:ind w:firstLine="560"/>
        <w:rPr>
          <w:rFonts w:hint="eastAsia" w:ascii="仿宋" w:hAnsi="仿宋" w:eastAsia="仿宋" w:cs="仿宋"/>
          <w:bCs/>
          <w:sz w:val="28"/>
          <w:szCs w:val="28"/>
        </w:rPr>
      </w:pPr>
      <w:r>
        <w:rPr>
          <w:rFonts w:hint="eastAsia" w:ascii="仿宋" w:hAnsi="仿宋" w:eastAsia="仿宋" w:cs="仿宋"/>
          <w:bCs/>
          <w:sz w:val="28"/>
          <w:szCs w:val="28"/>
        </w:rPr>
        <w:t>本年收入合计1127.22万元，其中：财政拨款收入  1127.22万元；事业收入  0 万元；经营收入  0万元；其他收入 0 万元。财政拨款收入主要用于保障部门机关正常运转、完成日常工作任务以及征地拆迁占地补偿相关工作；</w:t>
      </w:r>
    </w:p>
    <w:p w14:paraId="1D64B41A">
      <w:pPr>
        <w:adjustRightInd w:val="0"/>
        <w:snapToGrid w:val="0"/>
        <w:spacing w:line="600" w:lineRule="exact"/>
        <w:ind w:firstLine="560"/>
        <w:rPr>
          <w:rFonts w:hint="eastAsia" w:ascii="仿宋" w:hAnsi="仿宋" w:eastAsia="仿宋" w:cs="仿宋"/>
          <w:bCs/>
          <w:sz w:val="28"/>
          <w:szCs w:val="28"/>
        </w:rPr>
      </w:pPr>
      <w:r>
        <w:rPr>
          <w:rFonts w:hint="eastAsia" w:ascii="仿宋" w:hAnsi="仿宋" w:eastAsia="仿宋" w:cs="仿宋"/>
          <w:sz w:val="28"/>
          <w:szCs w:val="28"/>
        </w:rPr>
        <w:drawing>
          <wp:anchor distT="0" distB="0" distL="114300" distR="114300" simplePos="0" relativeHeight="251659264" behindDoc="1" locked="0" layoutInCell="1" allowOverlap="1">
            <wp:simplePos x="0" y="0"/>
            <wp:positionH relativeFrom="column">
              <wp:posOffset>619125</wp:posOffset>
            </wp:positionH>
            <wp:positionV relativeFrom="paragraph">
              <wp:posOffset>434340</wp:posOffset>
            </wp:positionV>
            <wp:extent cx="4495165" cy="2894330"/>
            <wp:effectExtent l="0" t="0" r="635" b="1270"/>
            <wp:wrapTight wrapText="bothSides">
              <wp:wrapPolygon>
                <wp:start x="0" y="0"/>
                <wp:lineTo x="0" y="21467"/>
                <wp:lineTo x="21512" y="21467"/>
                <wp:lineTo x="21512" y="0"/>
                <wp:lineTo x="0" y="0"/>
              </wp:wrapPolygon>
            </wp:wrapTight>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12"/>
                    <a:stretch>
                      <a:fillRect/>
                    </a:stretch>
                  </pic:blipFill>
                  <pic:spPr>
                    <a:xfrm>
                      <a:off x="0" y="0"/>
                      <a:ext cx="4495165" cy="2894330"/>
                    </a:xfrm>
                    <a:prstGeom prst="rect">
                      <a:avLst/>
                    </a:prstGeom>
                    <a:noFill/>
                    <a:ln w="9525">
                      <a:noFill/>
                    </a:ln>
                  </pic:spPr>
                </pic:pic>
              </a:graphicData>
            </a:graphic>
          </wp:anchor>
        </w:drawing>
      </w:r>
    </w:p>
    <w:p w14:paraId="7E5E3E76">
      <w:pPr>
        <w:adjustRightInd w:val="0"/>
        <w:snapToGrid w:val="0"/>
        <w:spacing w:line="600" w:lineRule="exact"/>
        <w:ind w:firstLine="560"/>
        <w:rPr>
          <w:rFonts w:hint="eastAsia" w:ascii="仿宋" w:hAnsi="仿宋" w:eastAsia="仿宋" w:cs="仿宋"/>
          <w:bCs/>
          <w:sz w:val="28"/>
          <w:szCs w:val="28"/>
        </w:rPr>
      </w:pPr>
    </w:p>
    <w:p w14:paraId="3A42BE4A">
      <w:pPr>
        <w:adjustRightInd w:val="0"/>
        <w:snapToGrid w:val="0"/>
        <w:spacing w:line="600" w:lineRule="exact"/>
        <w:ind w:firstLine="560"/>
        <w:rPr>
          <w:rFonts w:ascii="仿宋" w:hAnsi="仿宋" w:eastAsia="仿宋" w:cs="仿宋"/>
          <w:bCs/>
          <w:sz w:val="28"/>
          <w:szCs w:val="28"/>
        </w:rPr>
      </w:pPr>
    </w:p>
    <w:p w14:paraId="0319FA8D">
      <w:pPr>
        <w:adjustRightInd w:val="0"/>
        <w:snapToGrid w:val="0"/>
        <w:spacing w:line="600" w:lineRule="exact"/>
        <w:ind w:firstLine="560"/>
        <w:rPr>
          <w:rFonts w:ascii="仿宋" w:hAnsi="仿宋" w:eastAsia="仿宋" w:cs="仿宋"/>
          <w:bCs/>
          <w:sz w:val="28"/>
          <w:szCs w:val="28"/>
        </w:rPr>
      </w:pPr>
    </w:p>
    <w:p w14:paraId="3DB8767E">
      <w:pPr>
        <w:adjustRightInd w:val="0"/>
        <w:snapToGrid w:val="0"/>
        <w:spacing w:line="600" w:lineRule="exact"/>
        <w:ind w:firstLine="560"/>
        <w:rPr>
          <w:rFonts w:ascii="仿宋" w:hAnsi="仿宋" w:eastAsia="仿宋" w:cs="仿宋"/>
          <w:bCs/>
          <w:sz w:val="28"/>
          <w:szCs w:val="28"/>
        </w:rPr>
      </w:pPr>
    </w:p>
    <w:p w14:paraId="15FFC997">
      <w:pPr>
        <w:adjustRightInd w:val="0"/>
        <w:snapToGrid w:val="0"/>
        <w:spacing w:line="600" w:lineRule="exact"/>
        <w:ind w:firstLine="560"/>
        <w:rPr>
          <w:rFonts w:hint="eastAsia" w:ascii="仿宋" w:hAnsi="仿宋" w:eastAsia="仿宋" w:cs="仿宋"/>
          <w:bCs/>
          <w:sz w:val="28"/>
          <w:szCs w:val="28"/>
        </w:rPr>
      </w:pPr>
    </w:p>
    <w:p w14:paraId="27EA763F">
      <w:pPr>
        <w:adjustRightInd w:val="0"/>
        <w:snapToGrid w:val="0"/>
        <w:spacing w:line="600" w:lineRule="exact"/>
        <w:ind w:firstLine="560"/>
        <w:rPr>
          <w:rFonts w:hint="eastAsia" w:ascii="仿宋" w:hAnsi="仿宋" w:eastAsia="仿宋" w:cs="仿宋"/>
          <w:bCs/>
          <w:sz w:val="28"/>
          <w:szCs w:val="28"/>
        </w:rPr>
      </w:pPr>
    </w:p>
    <w:p w14:paraId="3919A920">
      <w:pPr>
        <w:adjustRightInd w:val="0"/>
        <w:snapToGrid w:val="0"/>
        <w:spacing w:line="600" w:lineRule="exact"/>
        <w:ind w:firstLine="560"/>
        <w:rPr>
          <w:rFonts w:hint="eastAsia" w:ascii="仿宋" w:hAnsi="仿宋" w:eastAsia="仿宋" w:cs="仿宋"/>
          <w:bCs/>
          <w:sz w:val="28"/>
          <w:szCs w:val="28"/>
        </w:rPr>
      </w:pPr>
      <w:r>
        <w:rPr>
          <w:rFonts w:hint="eastAsia" w:ascii="仿宋" w:hAnsi="仿宋" w:eastAsia="仿宋" w:cs="仿宋"/>
          <w:bCs/>
          <w:sz w:val="28"/>
          <w:szCs w:val="28"/>
        </w:rPr>
        <w:t>2、2017年度支出决算情况说本年度支出合计  1127.22万元，其中：</w:t>
      </w:r>
      <w:bookmarkStart w:id="0" w:name="OLE_LINK3"/>
      <w:bookmarkStart w:id="1" w:name="OLE_LINK2"/>
      <w:r>
        <w:rPr>
          <w:rFonts w:hint="eastAsia" w:ascii="仿宋" w:hAnsi="仿宋" w:eastAsia="仿宋" w:cs="仿宋"/>
          <w:bCs/>
          <w:sz w:val="28"/>
          <w:szCs w:val="28"/>
        </w:rPr>
        <w:t xml:space="preserve">基本支出 </w:t>
      </w:r>
      <w:bookmarkStart w:id="2" w:name="OLE_LINK6"/>
      <w:r>
        <w:rPr>
          <w:rFonts w:hint="eastAsia" w:ascii="仿宋" w:hAnsi="仿宋" w:eastAsia="仿宋" w:cs="仿宋"/>
          <w:bCs/>
          <w:sz w:val="28"/>
          <w:szCs w:val="28"/>
        </w:rPr>
        <w:t>1101.64万元</w:t>
      </w:r>
      <w:bookmarkEnd w:id="0"/>
      <w:bookmarkEnd w:id="2"/>
      <w:r>
        <w:rPr>
          <w:rFonts w:hint="eastAsia" w:ascii="仿宋" w:hAnsi="仿宋" w:eastAsia="仿宋" w:cs="仿宋"/>
          <w:bCs/>
          <w:sz w:val="28"/>
          <w:szCs w:val="28"/>
        </w:rPr>
        <w:t>，占  97.73%；</w:t>
      </w:r>
      <w:bookmarkStart w:id="3" w:name="OLE_LINK5"/>
      <w:r>
        <w:rPr>
          <w:rFonts w:hint="eastAsia" w:ascii="仿宋" w:hAnsi="仿宋" w:eastAsia="仿宋" w:cs="仿宋"/>
          <w:bCs/>
          <w:sz w:val="28"/>
          <w:szCs w:val="28"/>
        </w:rPr>
        <w:t>项目支出 25.58万元</w:t>
      </w:r>
      <w:bookmarkEnd w:id="3"/>
      <w:r>
        <w:rPr>
          <w:rFonts w:hint="eastAsia" w:ascii="仿宋" w:hAnsi="仿宋" w:eastAsia="仿宋" w:cs="仿宋"/>
          <w:bCs/>
          <w:sz w:val="28"/>
          <w:szCs w:val="28"/>
        </w:rPr>
        <w:t>，占  2.27%</w:t>
      </w:r>
      <w:bookmarkEnd w:id="1"/>
      <w:r>
        <w:rPr>
          <w:rFonts w:hint="eastAsia" w:ascii="仿宋" w:hAnsi="仿宋" w:eastAsia="仿宋" w:cs="仿宋"/>
          <w:bCs/>
          <w:sz w:val="28"/>
          <w:szCs w:val="28"/>
        </w:rPr>
        <w:t>。</w:t>
      </w:r>
    </w:p>
    <w:p w14:paraId="19B8117A">
      <w:pPr>
        <w:autoSpaceDE w:val="0"/>
        <w:autoSpaceDN w:val="0"/>
        <w:adjustRightInd w:val="0"/>
        <w:spacing w:before="0" w:beforeAutospacing="0" w:after="0" w:afterAutospacing="0" w:line="240" w:lineRule="auto"/>
        <w:ind w:firstLine="560"/>
        <w:jc w:val="left"/>
        <w:rPr>
          <w:rFonts w:ascii="仿宋" w:hAnsi="仿宋" w:eastAsia="仿宋" w:cs="仿宋"/>
          <w:bCs/>
          <w:sz w:val="28"/>
          <w:szCs w:val="28"/>
        </w:rPr>
      </w:pPr>
      <w:r>
        <w:rPr>
          <w:rFonts w:hint="eastAsia" w:ascii="仿宋" w:hAnsi="仿宋" w:eastAsia="仿宋" w:cs="仿宋"/>
          <w:sz w:val="28"/>
          <w:szCs w:val="28"/>
        </w:rPr>
        <w:drawing>
          <wp:inline distT="0" distB="0" distL="114300" distR="114300">
            <wp:extent cx="4572000" cy="2743200"/>
            <wp:effectExtent l="4445" t="4445" r="14605" b="14605"/>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F5AC5E">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  </w:t>
      </w:r>
    </w:p>
    <w:p w14:paraId="3901D15D">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lang w:val="en-US" w:eastAsia="zh-CN"/>
        </w:rPr>
      </w:pPr>
    </w:p>
    <w:p w14:paraId="1BE75BDD">
      <w:pPr>
        <w:autoSpaceDE w:val="0"/>
        <w:autoSpaceDN w:val="0"/>
        <w:adjustRightInd w:val="0"/>
        <w:spacing w:before="0" w:beforeAutospacing="0" w:after="0" w:afterAutospacing="0" w:line="240" w:lineRule="auto"/>
        <w:ind w:left="0" w:leftChars="0" w:firstLine="0" w:firstLineChars="0"/>
        <w:jc w:val="left"/>
        <w:rPr>
          <w:rFonts w:hint="eastAsia" w:ascii="仿宋" w:hAnsi="仿宋" w:eastAsia="仿宋" w:cs="仿宋"/>
          <w:bCs/>
          <w:sz w:val="28"/>
          <w:szCs w:val="28"/>
          <w:lang w:val="en-US" w:eastAsia="zh-CN"/>
        </w:rPr>
      </w:pPr>
    </w:p>
    <w:p w14:paraId="6D54BC41">
      <w:pPr>
        <w:autoSpaceDE w:val="0"/>
        <w:autoSpaceDN w:val="0"/>
        <w:adjustRightInd w:val="0"/>
        <w:spacing w:before="0" w:beforeAutospacing="0" w:after="0" w:afterAutospacing="0" w:line="240" w:lineRule="auto"/>
        <w:ind w:left="0" w:leftChars="0" w:firstLine="0" w:firstLineChars="0"/>
        <w:jc w:val="left"/>
        <w:rPr>
          <w:rFonts w:hint="eastAsia" w:ascii="仿宋" w:hAnsi="仿宋" w:eastAsia="仿宋" w:cs="仿宋"/>
          <w:bCs/>
          <w:sz w:val="28"/>
          <w:szCs w:val="28"/>
        </w:rPr>
      </w:pPr>
      <w:r>
        <w:rPr>
          <w:rFonts w:hint="eastAsia" w:ascii="仿宋" w:hAnsi="仿宋" w:eastAsia="仿宋" w:cs="仿宋"/>
          <w:bCs/>
          <w:sz w:val="28"/>
          <w:szCs w:val="28"/>
        </w:rPr>
        <w:t>（二）、机关运行经费31.34万元，主要是</w:t>
      </w:r>
      <w:bookmarkStart w:id="4" w:name="OLE_LINK7"/>
      <w:r>
        <w:rPr>
          <w:rFonts w:hint="eastAsia" w:ascii="仿宋" w:hAnsi="仿宋" w:eastAsia="仿宋" w:cs="仿宋"/>
          <w:bCs/>
          <w:sz w:val="28"/>
          <w:szCs w:val="28"/>
        </w:rPr>
        <w:t>办公费8.36万元</w:t>
      </w:r>
      <w:bookmarkEnd w:id="4"/>
      <w:r>
        <w:rPr>
          <w:rFonts w:hint="eastAsia" w:ascii="仿宋" w:hAnsi="仿宋" w:eastAsia="仿宋" w:cs="仿宋"/>
          <w:bCs/>
          <w:sz w:val="28"/>
          <w:szCs w:val="28"/>
        </w:rPr>
        <w:t>，</w:t>
      </w:r>
      <w:bookmarkStart w:id="5" w:name="OLE_LINK10"/>
      <w:r>
        <w:rPr>
          <w:rFonts w:hint="eastAsia" w:ascii="仿宋" w:hAnsi="仿宋" w:eastAsia="仿宋" w:cs="仿宋"/>
          <w:bCs/>
          <w:sz w:val="28"/>
          <w:szCs w:val="28"/>
        </w:rPr>
        <w:t>电费7.56万元</w:t>
      </w:r>
      <w:bookmarkEnd w:id="5"/>
      <w:r>
        <w:rPr>
          <w:rFonts w:hint="eastAsia" w:ascii="仿宋" w:hAnsi="仿宋" w:eastAsia="仿宋" w:cs="仿宋"/>
          <w:bCs/>
          <w:sz w:val="28"/>
          <w:szCs w:val="28"/>
        </w:rPr>
        <w:t>，</w:t>
      </w:r>
      <w:bookmarkStart w:id="6" w:name="OLE_LINK11"/>
      <w:r>
        <w:rPr>
          <w:rFonts w:hint="eastAsia" w:ascii="仿宋" w:hAnsi="仿宋" w:eastAsia="仿宋" w:cs="仿宋"/>
          <w:bCs/>
          <w:sz w:val="28"/>
          <w:szCs w:val="28"/>
        </w:rPr>
        <w:t>取暖费3.62万元，差旅费1.5万元，维修费1.22万元，劳务费5.48万元，</w:t>
      </w:r>
      <w:bookmarkEnd w:id="6"/>
      <w:bookmarkStart w:id="7" w:name="OLE_LINK14"/>
      <w:r>
        <w:rPr>
          <w:rFonts w:hint="eastAsia" w:ascii="仿宋" w:hAnsi="仿宋" w:eastAsia="仿宋" w:cs="仿宋"/>
          <w:bCs/>
          <w:sz w:val="28"/>
          <w:szCs w:val="28"/>
        </w:rPr>
        <w:t>公务用车运行维护费3.6元</w:t>
      </w:r>
      <w:bookmarkEnd w:id="7"/>
      <w:r>
        <w:rPr>
          <w:rFonts w:hint="eastAsia" w:ascii="仿宋" w:hAnsi="仿宋" w:eastAsia="仿宋" w:cs="仿宋"/>
          <w:bCs/>
          <w:sz w:val="28"/>
          <w:szCs w:val="28"/>
        </w:rPr>
        <w:t>。</w:t>
      </w:r>
    </w:p>
    <w:p w14:paraId="544416E9">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rPr>
      </w:pPr>
      <w:r>
        <w:drawing>
          <wp:inline distT="0" distB="0" distL="0" distR="0">
            <wp:extent cx="4572000" cy="2743200"/>
            <wp:effectExtent l="0" t="0" r="19050" b="1905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4CD5D5">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rPr>
      </w:pPr>
    </w:p>
    <w:p w14:paraId="0D0FC44D">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rPr>
      </w:pPr>
    </w:p>
    <w:p w14:paraId="3FB369A6">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rPr>
      </w:pPr>
    </w:p>
    <w:p w14:paraId="0A7A537F">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rPr>
      </w:pPr>
    </w:p>
    <w:p w14:paraId="05EF4C26">
      <w:pPr>
        <w:autoSpaceDE w:val="0"/>
        <w:autoSpaceDN w:val="0"/>
        <w:adjustRightInd w:val="0"/>
        <w:spacing w:before="0" w:beforeAutospacing="0" w:after="0" w:afterAutospacing="0" w:line="240" w:lineRule="auto"/>
        <w:ind w:firstLine="640" w:firstLineChars="0"/>
        <w:jc w:val="left"/>
        <w:rPr>
          <w:rFonts w:hint="eastAsia" w:ascii="仿宋" w:hAnsi="仿宋" w:eastAsia="仿宋" w:cs="仿宋"/>
          <w:bCs/>
          <w:sz w:val="28"/>
          <w:szCs w:val="28"/>
        </w:rPr>
      </w:pPr>
    </w:p>
    <w:p w14:paraId="20DA827C">
      <w:pPr>
        <w:adjustRightInd w:val="0"/>
        <w:snapToGrid w:val="0"/>
        <w:spacing w:line="600" w:lineRule="exact"/>
        <w:ind w:firstLine="0" w:firstLineChars="0"/>
        <w:rPr>
          <w:rFonts w:ascii="仿宋" w:hAnsi="仿宋" w:eastAsia="仿宋" w:cs="仿宋"/>
          <w:color w:val="000000"/>
          <w:kern w:val="0"/>
          <w:sz w:val="28"/>
          <w:szCs w:val="28"/>
        </w:rPr>
      </w:pPr>
      <w:r>
        <w:rPr>
          <w:rFonts w:hint="eastAsia" w:ascii="仿宋" w:hAnsi="仿宋" w:eastAsia="仿宋" w:cs="仿宋"/>
          <w:sz w:val="28"/>
          <w:szCs w:val="28"/>
        </w:rPr>
        <w:t xml:space="preserve">    二、 </w:t>
      </w:r>
      <w:r>
        <w:rPr>
          <w:rFonts w:hint="eastAsia" w:ascii="仿宋" w:hAnsi="仿宋" w:eastAsia="仿宋" w:cs="仿宋"/>
          <w:color w:val="000000"/>
          <w:kern w:val="0"/>
          <w:sz w:val="28"/>
          <w:szCs w:val="28"/>
        </w:rPr>
        <w:t>年度一般公共预算财政拨款支出情况说明</w:t>
      </w:r>
    </w:p>
    <w:p w14:paraId="6DBCF137">
      <w:pPr>
        <w:adjustRightInd w:val="0"/>
        <w:snapToGrid w:val="0"/>
        <w:spacing w:line="600" w:lineRule="exact"/>
        <w:ind w:firstLine="560"/>
        <w:rPr>
          <w:rFonts w:ascii="仿宋" w:hAnsi="仿宋" w:eastAsia="仿宋" w:cs="仿宋"/>
          <w:bCs/>
          <w:sz w:val="28"/>
          <w:szCs w:val="28"/>
        </w:rPr>
      </w:pPr>
      <w:r>
        <w:rPr>
          <w:rFonts w:hint="eastAsia" w:ascii="仿宋" w:hAnsi="仿宋" w:eastAsia="仿宋" w:cs="仿宋"/>
          <w:bCs/>
          <w:sz w:val="28"/>
          <w:szCs w:val="28"/>
        </w:rPr>
        <w:t xml:space="preserve">    2017年度财政拨款收入决算总计1127.22万元，财政拨款支出决算总计 11127.22万元，（其中：基本支出 1101.64万元，占  97.73%；项目支出 25.58万元，占  2.27%。与2016年相比，财政拨款收入减少万元，减少 %,</w:t>
      </w:r>
      <w:r>
        <w:rPr>
          <w:rFonts w:hint="eastAsia" w:ascii="仿宋" w:hAnsi="仿宋" w:eastAsia="仿宋" w:cs="仿宋"/>
          <w:sz w:val="28"/>
          <w:szCs w:val="28"/>
        </w:rPr>
        <w:t>主要原因2016年由于</w:t>
      </w:r>
    </w:p>
    <w:p w14:paraId="53DE369D">
      <w:pPr>
        <w:adjustRightInd w:val="0"/>
        <w:snapToGrid w:val="0"/>
        <w:spacing w:line="600" w:lineRule="exact"/>
        <w:ind w:firstLine="560"/>
        <w:rPr>
          <w:rFonts w:ascii="仿宋" w:hAnsi="仿宋" w:eastAsia="仿宋" w:cs="仿宋"/>
          <w:bCs/>
          <w:sz w:val="28"/>
          <w:szCs w:val="28"/>
        </w:rPr>
      </w:pPr>
      <w:r>
        <w:rPr>
          <w:rFonts w:hint="eastAsia" w:ascii="仿宋" w:hAnsi="仿宋" w:eastAsia="仿宋" w:cs="仿宋"/>
          <w:bCs/>
          <w:sz w:val="28"/>
          <w:szCs w:val="28"/>
        </w:rPr>
        <w:t>年初</w:t>
      </w:r>
      <w:r>
        <w:rPr>
          <w:rFonts w:hint="eastAsia" w:ascii="仿宋" w:hAnsi="仿宋" w:eastAsia="仿宋" w:cs="仿宋"/>
          <w:color w:val="000000"/>
          <w:kern w:val="0"/>
          <w:sz w:val="28"/>
          <w:szCs w:val="28"/>
        </w:rPr>
        <w:t>一般公共预算财政拨款</w:t>
      </w:r>
      <w:r>
        <w:rPr>
          <w:rFonts w:hint="eastAsia" w:ascii="仿宋" w:hAnsi="仿宋" w:eastAsia="仿宋" w:cs="仿宋"/>
          <w:bCs/>
          <w:sz w:val="28"/>
          <w:szCs w:val="28"/>
        </w:rPr>
        <w:t>结转结余 0  万元，年末结转结余   0万元。</w:t>
      </w:r>
    </w:p>
    <w:p w14:paraId="6FC913FC">
      <w:pPr>
        <w:ind w:firstLine="0" w:firstLineChars="0"/>
        <w:rPr>
          <w:rFonts w:ascii="仿宋" w:hAnsi="仿宋" w:eastAsia="仿宋" w:cs="仿宋"/>
          <w:sz w:val="28"/>
          <w:szCs w:val="28"/>
        </w:rPr>
      </w:pPr>
      <w:r>
        <w:rPr>
          <w:rFonts w:hint="eastAsia" w:ascii="仿宋" w:hAnsi="仿宋" w:eastAsia="仿宋" w:cs="仿宋"/>
          <w:sz w:val="28"/>
          <w:szCs w:val="28"/>
        </w:rPr>
        <w:t xml:space="preserve">    三、2017年度一般公共预算财政拨款基本支出情况说明</w:t>
      </w:r>
    </w:p>
    <w:p w14:paraId="4679AC34">
      <w:pPr>
        <w:ind w:firstLine="0" w:firstLineChars="0"/>
        <w:rPr>
          <w:rFonts w:ascii="仿宋" w:hAnsi="仿宋" w:eastAsia="仿宋" w:cs="仿宋"/>
          <w:sz w:val="28"/>
          <w:szCs w:val="28"/>
        </w:rPr>
      </w:pPr>
      <w:r>
        <w:rPr>
          <w:rFonts w:hint="eastAsia" w:ascii="仿宋" w:hAnsi="仿宋" w:eastAsia="仿宋" w:cs="仿宋"/>
          <w:bCs/>
          <w:sz w:val="28"/>
          <w:szCs w:val="28"/>
        </w:rPr>
        <w:t xml:space="preserve">    2017年度财政拨款年初调整预算数为 1127.22万元，本年支出决算为1127.22万元,决算为1127.22万元，其中基本支出1101.64万元，主要为工资福利支出919.92万元，商品和服务支出31.34万元，对个人和家庭的补助支出 150.38万元，其他资本性支出25.59万元。</w:t>
      </w:r>
    </w:p>
    <w:p w14:paraId="68D46F85">
      <w:pPr>
        <w:adjustRightInd w:val="0"/>
        <w:snapToGrid w:val="0"/>
        <w:spacing w:line="600" w:lineRule="exact"/>
        <w:ind w:firstLine="0" w:firstLineChars="0"/>
        <w:rPr>
          <w:rFonts w:ascii="仿宋" w:hAnsi="仿宋" w:eastAsia="仿宋" w:cs="仿宋"/>
          <w:color w:val="000000"/>
          <w:kern w:val="0"/>
          <w:sz w:val="28"/>
          <w:szCs w:val="28"/>
        </w:rPr>
      </w:pPr>
      <w:r>
        <w:rPr>
          <w:rFonts w:hint="eastAsia" w:ascii="仿宋" w:hAnsi="仿宋" w:eastAsia="仿宋" w:cs="仿宋"/>
          <w:color w:val="000000"/>
          <w:kern w:val="0"/>
          <w:sz w:val="28"/>
          <w:szCs w:val="28"/>
        </w:rPr>
        <w:t xml:space="preserve">     四、2017年度一般公共预算财政拨款“三公”经费支出情况说明</w:t>
      </w:r>
    </w:p>
    <w:p w14:paraId="1EDB7CCF">
      <w:pPr>
        <w:adjustRightInd w:val="0"/>
        <w:snapToGrid w:val="0"/>
        <w:spacing w:line="600" w:lineRule="exact"/>
        <w:ind w:firstLine="0" w:firstLineChars="0"/>
        <w:rPr>
          <w:rFonts w:ascii="仿宋" w:hAnsi="仿宋" w:eastAsia="仿宋" w:cs="仿宋"/>
          <w:bCs/>
          <w:sz w:val="28"/>
          <w:szCs w:val="28"/>
        </w:rPr>
      </w:pPr>
      <w:r>
        <w:rPr>
          <w:rFonts w:hint="eastAsia" w:ascii="仿宋" w:hAnsi="仿宋" w:eastAsia="仿宋" w:cs="仿宋"/>
          <w:color w:val="000000"/>
          <w:kern w:val="0"/>
          <w:sz w:val="28"/>
          <w:szCs w:val="28"/>
        </w:rPr>
        <w:t xml:space="preserve">    </w:t>
      </w:r>
      <w:r>
        <w:rPr>
          <w:rFonts w:hint="eastAsia" w:ascii="仿宋" w:hAnsi="仿宋" w:eastAsia="仿宋" w:cs="仿宋"/>
          <w:bCs/>
          <w:sz w:val="28"/>
          <w:szCs w:val="28"/>
        </w:rPr>
        <w:t>2017年，在做好各项工作的前提下，节省各项开支，尤其是严格开支</w:t>
      </w:r>
      <w:r>
        <w:rPr>
          <w:rFonts w:hint="eastAsia" w:ascii="仿宋" w:hAnsi="仿宋" w:eastAsia="仿宋" w:cs="仿宋"/>
          <w:bCs/>
          <w:sz w:val="28"/>
          <w:szCs w:val="28"/>
          <w:lang w:eastAsia="zh-CN"/>
        </w:rPr>
        <w:t>“三公”经费</w:t>
      </w:r>
      <w:r>
        <w:rPr>
          <w:rFonts w:hint="eastAsia" w:ascii="仿宋" w:hAnsi="仿宋" w:eastAsia="仿宋" w:cs="仿宋"/>
          <w:bCs/>
          <w:sz w:val="28"/>
          <w:szCs w:val="28"/>
        </w:rPr>
        <w:t>的支出，全年一般公共预算财政拨款</w:t>
      </w:r>
      <w:r>
        <w:rPr>
          <w:rFonts w:hint="eastAsia" w:ascii="仿宋" w:hAnsi="仿宋" w:eastAsia="仿宋" w:cs="仿宋"/>
          <w:bCs/>
          <w:sz w:val="28"/>
          <w:szCs w:val="28"/>
          <w:lang w:eastAsia="zh-CN"/>
        </w:rPr>
        <w:t>“三公”经费</w:t>
      </w:r>
      <w:r>
        <w:rPr>
          <w:rFonts w:hint="eastAsia" w:ascii="仿宋" w:hAnsi="仿宋" w:eastAsia="仿宋" w:cs="仿宋"/>
          <w:bCs/>
          <w:sz w:val="28"/>
          <w:szCs w:val="28"/>
        </w:rPr>
        <w:t>支出3.6万元，较去年减少0.1万元。今年发生因公出国费0万元（2017年度本单位组织因公出国团组0个，因公出国人次数0人）。</w:t>
      </w:r>
    </w:p>
    <w:p w14:paraId="0F46FEBB">
      <w:pPr>
        <w:ind w:firstLine="560"/>
        <w:rPr>
          <w:rFonts w:ascii="仿宋" w:hAnsi="仿宋" w:eastAsia="仿宋" w:cs="仿宋"/>
          <w:bCs/>
          <w:sz w:val="28"/>
          <w:szCs w:val="28"/>
        </w:rPr>
      </w:pPr>
      <w:r>
        <w:rPr>
          <w:rFonts w:hint="eastAsia" w:ascii="仿宋" w:hAnsi="仿宋" w:eastAsia="仿宋" w:cs="仿宋"/>
          <w:bCs/>
          <w:sz w:val="28"/>
          <w:szCs w:val="28"/>
        </w:rPr>
        <w:t xml:space="preserve">    公务接待费0元，公务接待比上年减少0万元。厉行节约，管理制度不断完善，“三公”经费支出得到了有效控制，实现了只减不增的目标。</w:t>
      </w:r>
    </w:p>
    <w:p w14:paraId="389D7AE0">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28"/>
          <w:szCs w:val="28"/>
        </w:rPr>
      </w:pPr>
      <w:r>
        <w:rPr>
          <w:rFonts w:hint="eastAsia" w:ascii="仿宋" w:hAnsi="仿宋" w:eastAsia="仿宋" w:cs="仿宋"/>
          <w:color w:val="000000"/>
          <w:kern w:val="0"/>
          <w:sz w:val="28"/>
          <w:szCs w:val="28"/>
        </w:rPr>
        <w:t xml:space="preserve">    五、2017年度政府性基金预算财政拨款收入</w:t>
      </w:r>
      <w:bookmarkStart w:id="9" w:name="_GoBack"/>
      <w:bookmarkEnd w:id="9"/>
      <w:r>
        <w:rPr>
          <w:rFonts w:hint="eastAsia" w:ascii="仿宋" w:hAnsi="仿宋" w:eastAsia="仿宋" w:cs="仿宋"/>
          <w:color w:val="000000"/>
          <w:kern w:val="0"/>
          <w:sz w:val="28"/>
          <w:szCs w:val="28"/>
        </w:rPr>
        <w:t>支出情况说明</w:t>
      </w:r>
    </w:p>
    <w:p w14:paraId="43250BBE">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28"/>
          <w:szCs w:val="28"/>
        </w:rPr>
      </w:pPr>
      <w:r>
        <w:rPr>
          <w:rFonts w:hint="eastAsia" w:ascii="仿宋" w:hAnsi="仿宋" w:eastAsia="仿宋" w:cs="仿宋"/>
          <w:bCs/>
          <w:sz w:val="28"/>
          <w:szCs w:val="28"/>
        </w:rPr>
        <w:t xml:space="preserve">    2017年度政府性基金预算财政拨款25.59万元，本年度支出25.59万元，年末结转和结余0万元。</w:t>
      </w:r>
    </w:p>
    <w:p w14:paraId="13E3C885">
      <w:pPr>
        <w:ind w:firstLine="0" w:firstLineChars="0"/>
        <w:rPr>
          <w:rFonts w:ascii="仿宋" w:hAnsi="仿宋" w:eastAsia="仿宋" w:cs="仿宋"/>
          <w:sz w:val="28"/>
          <w:szCs w:val="28"/>
        </w:rPr>
      </w:pPr>
      <w:r>
        <w:rPr>
          <w:rFonts w:hint="eastAsia" w:ascii="仿宋" w:hAnsi="仿宋" w:eastAsia="仿宋" w:cs="仿宋"/>
          <w:color w:val="000000"/>
          <w:kern w:val="0"/>
          <w:sz w:val="28"/>
          <w:szCs w:val="28"/>
        </w:rPr>
        <w:t xml:space="preserve">    六、2017年度预算绩效情况说明</w:t>
      </w:r>
      <w:r>
        <w:rPr>
          <w:rFonts w:hint="eastAsia" w:ascii="仿宋" w:hAnsi="仿宋" w:eastAsia="仿宋" w:cs="仿宋"/>
          <w:sz w:val="28"/>
          <w:szCs w:val="28"/>
        </w:rPr>
        <w:t>1、制定绩效评价指标体系。对应四个层次的绩效评价 体系，研究建立了部门整体支出、工作活动、预算项目、财政政策绩效评价指标框架体系，为部门整体支出、工作活动、预算项目和财政政策评价提供了科学规范的指标体系，成为开展评价工作的基本遵循，有效保障了绩效评价工作的顺利开展。2、组织开展绩效评价。预算编制会议着重强调做好部门绩效评价工作，绩效审核作为预算编制的必要环节和安排预算重要依据，按规范格式编制部门绩效预算文本，改革涵盖所有预算部门。并且将绩效评价报告反馈被评价部门，并要求部门在限期内对发现的问题进行整改的，部门将整改报告反馈财政局的，将绩效评价结果应用于下年度预算安排。3、推进绩效预算管理示范县建设。我县非绩效预算示范县。</w:t>
      </w:r>
    </w:p>
    <w:p w14:paraId="0A5B0870">
      <w:pPr>
        <w:autoSpaceDE w:val="0"/>
        <w:autoSpaceDN w:val="0"/>
        <w:adjustRightInd w:val="0"/>
        <w:spacing w:before="0" w:beforeAutospacing="0" w:after="0" w:afterAutospacing="0" w:line="240" w:lineRule="auto"/>
        <w:ind w:firstLine="560" w:firstLineChars="0"/>
        <w:jc w:val="left"/>
        <w:rPr>
          <w:rFonts w:ascii="仿宋" w:hAnsi="仿宋" w:eastAsia="仿宋" w:cs="仿宋"/>
          <w:color w:val="000000"/>
          <w:kern w:val="0"/>
          <w:sz w:val="28"/>
          <w:szCs w:val="28"/>
        </w:rPr>
      </w:pPr>
      <w:r>
        <w:rPr>
          <w:rFonts w:hint="eastAsia" w:ascii="仿宋" w:hAnsi="仿宋" w:eastAsia="仿宋" w:cs="仿宋"/>
          <w:color w:val="000000"/>
          <w:kern w:val="0"/>
          <w:sz w:val="28"/>
          <w:szCs w:val="28"/>
        </w:rPr>
        <w:t>七、2017年度其他重要事项情况说明</w:t>
      </w:r>
    </w:p>
    <w:p w14:paraId="14DE1548">
      <w:pPr>
        <w:autoSpaceDE w:val="0"/>
        <w:autoSpaceDN w:val="0"/>
        <w:adjustRightInd w:val="0"/>
        <w:spacing w:before="0" w:beforeAutospacing="0" w:after="0" w:afterAutospacing="0" w:line="240" w:lineRule="auto"/>
        <w:ind w:firstLine="560"/>
        <w:jc w:val="left"/>
        <w:rPr>
          <w:rFonts w:ascii="仿宋" w:hAnsi="仿宋" w:eastAsia="仿宋" w:cs="仿宋"/>
          <w:color w:val="000000"/>
          <w:kern w:val="0"/>
          <w:sz w:val="28"/>
          <w:szCs w:val="28"/>
        </w:rPr>
      </w:pPr>
      <w:r>
        <w:rPr>
          <w:rFonts w:hint="eastAsia" w:ascii="仿宋" w:hAnsi="仿宋" w:eastAsia="仿宋" w:cs="仿宋"/>
          <w:color w:val="000000"/>
          <w:kern w:val="0"/>
          <w:sz w:val="28"/>
          <w:szCs w:val="28"/>
        </w:rPr>
        <w:t>（一）机关运行经费支出情况的说明</w:t>
      </w:r>
    </w:p>
    <w:p w14:paraId="045BA2D9">
      <w:pPr>
        <w:autoSpaceDE w:val="0"/>
        <w:autoSpaceDN w:val="0"/>
        <w:adjustRightInd w:val="0"/>
        <w:spacing w:before="0" w:beforeAutospacing="0" w:after="0" w:afterAutospacing="0" w:line="240" w:lineRule="auto"/>
        <w:ind w:firstLine="570" w:firstLineChars="0"/>
        <w:jc w:val="left"/>
        <w:rPr>
          <w:rFonts w:ascii="仿宋" w:hAnsi="仿宋" w:eastAsia="仿宋" w:cs="仿宋"/>
          <w:sz w:val="28"/>
          <w:szCs w:val="28"/>
        </w:rPr>
      </w:pPr>
      <w:r>
        <w:rPr>
          <w:rFonts w:hint="eastAsia" w:ascii="仿宋" w:hAnsi="仿宋" w:eastAsia="仿宋" w:cs="仿宋"/>
          <w:sz w:val="28"/>
          <w:szCs w:val="28"/>
        </w:rPr>
        <w:t>2017 年度行政运行经费支出31.34万元，比 2016 年减少万元，减少%，</w:t>
      </w:r>
      <w:bookmarkStart w:id="8" w:name="OLE_LINK4"/>
      <w:r>
        <w:rPr>
          <w:rFonts w:hint="eastAsia" w:ascii="仿宋" w:hAnsi="仿宋" w:eastAsia="仿宋" w:cs="仿宋"/>
          <w:sz w:val="28"/>
          <w:szCs w:val="28"/>
        </w:rPr>
        <w:t>主要原因2016年由于</w:t>
      </w:r>
      <w:bookmarkEnd w:id="8"/>
    </w:p>
    <w:p w14:paraId="1907BB79">
      <w:pPr>
        <w:autoSpaceDE w:val="0"/>
        <w:autoSpaceDN w:val="0"/>
        <w:adjustRightInd w:val="0"/>
        <w:spacing w:before="0" w:beforeAutospacing="0" w:after="0" w:afterAutospacing="0" w:line="240" w:lineRule="auto"/>
        <w:ind w:firstLine="478" w:firstLineChars="171"/>
        <w:jc w:val="left"/>
        <w:rPr>
          <w:rFonts w:ascii="仿宋" w:hAnsi="仿宋" w:eastAsia="仿宋" w:cs="仿宋"/>
          <w:color w:val="000000"/>
          <w:kern w:val="0"/>
          <w:sz w:val="28"/>
          <w:szCs w:val="28"/>
        </w:rPr>
      </w:pPr>
      <w:r>
        <w:rPr>
          <w:rFonts w:hint="eastAsia" w:ascii="仿宋" w:hAnsi="仿宋" w:eastAsia="仿宋" w:cs="仿宋"/>
          <w:color w:val="000000"/>
          <w:kern w:val="0"/>
          <w:sz w:val="28"/>
          <w:szCs w:val="28"/>
        </w:rPr>
        <w:t xml:space="preserve">（二）政府采购支出情况 </w:t>
      </w:r>
    </w:p>
    <w:p w14:paraId="036B949D">
      <w:pPr>
        <w:autoSpaceDE w:val="0"/>
        <w:autoSpaceDN w:val="0"/>
        <w:adjustRightInd w:val="0"/>
        <w:spacing w:before="0" w:beforeAutospacing="0" w:after="0" w:afterAutospacing="0" w:line="240" w:lineRule="auto"/>
        <w:ind w:firstLine="0" w:firstLineChars="0"/>
        <w:jc w:val="left"/>
        <w:rPr>
          <w:rFonts w:ascii="仿宋" w:hAnsi="仿宋" w:eastAsia="仿宋" w:cs="仿宋"/>
          <w:sz w:val="28"/>
          <w:szCs w:val="28"/>
        </w:rPr>
      </w:pPr>
      <w:r>
        <w:rPr>
          <w:rFonts w:hint="eastAsia" w:ascii="仿宋" w:hAnsi="仿宋" w:eastAsia="仿宋" w:cs="仿宋"/>
          <w:sz w:val="28"/>
          <w:szCs w:val="28"/>
        </w:rPr>
        <w:t xml:space="preserve">    2017 年度政府采购支出总额0万元，其中：政府采购货物支出 0 万元、政府采购工程支出0万元、政府采购服务支出 0 万元。 </w:t>
      </w:r>
    </w:p>
    <w:p w14:paraId="5EE3579C">
      <w:pPr>
        <w:autoSpaceDE w:val="0"/>
        <w:autoSpaceDN w:val="0"/>
        <w:adjustRightInd w:val="0"/>
        <w:spacing w:before="0" w:beforeAutospacing="0" w:after="0" w:afterAutospacing="0" w:line="240" w:lineRule="auto"/>
        <w:ind w:firstLine="0" w:firstLineChars="0"/>
        <w:jc w:val="left"/>
        <w:rPr>
          <w:rFonts w:ascii="仿宋" w:hAnsi="仿宋" w:eastAsia="仿宋" w:cs="仿宋"/>
          <w:color w:val="000000"/>
          <w:kern w:val="0"/>
          <w:sz w:val="28"/>
          <w:szCs w:val="28"/>
        </w:rPr>
      </w:pPr>
      <w:r>
        <w:rPr>
          <w:rFonts w:hint="eastAsia" w:ascii="仿宋" w:hAnsi="仿宋" w:eastAsia="仿宋" w:cs="仿宋"/>
          <w:color w:val="000000"/>
          <w:kern w:val="0"/>
          <w:sz w:val="28"/>
          <w:szCs w:val="28"/>
        </w:rPr>
        <w:t xml:space="preserve">    （三）国有资产占用情况 </w:t>
      </w:r>
    </w:p>
    <w:p w14:paraId="10418778">
      <w:pPr>
        <w:autoSpaceDE w:val="0"/>
        <w:autoSpaceDN w:val="0"/>
        <w:adjustRightInd w:val="0"/>
        <w:spacing w:before="0" w:beforeAutospacing="0" w:after="0" w:afterAutospacing="0" w:line="240" w:lineRule="auto"/>
        <w:ind w:firstLine="0" w:firstLineChars="0"/>
        <w:jc w:val="left"/>
        <w:rPr>
          <w:rFonts w:ascii="仿宋" w:hAnsi="仿宋" w:eastAsia="仿宋" w:cs="仿宋"/>
          <w:sz w:val="28"/>
          <w:szCs w:val="28"/>
        </w:rPr>
      </w:pPr>
      <w:r>
        <w:rPr>
          <w:rFonts w:hint="eastAsia" w:ascii="仿宋" w:hAnsi="仿宋" w:eastAsia="仿宋" w:cs="仿宋"/>
          <w:sz w:val="28"/>
          <w:szCs w:val="28"/>
        </w:rPr>
        <w:t xml:space="preserve">    截至 2017 年 12 月 31 日，本部门共有车辆1辆，其中，一般公务用车2辆；单位价值 50 万元以上通用设备0  台（套），单价100 万元以上专用设备 0台（套）。</w:t>
      </w:r>
    </w:p>
    <w:p w14:paraId="731AFC0E">
      <w:pPr>
        <w:autoSpaceDE w:val="0"/>
        <w:autoSpaceDN w:val="0"/>
        <w:adjustRightInd w:val="0"/>
        <w:spacing w:before="0" w:beforeAutospacing="0" w:after="0" w:afterAutospacing="0" w:line="240" w:lineRule="auto"/>
        <w:ind w:firstLine="0" w:firstLineChars="0"/>
        <w:jc w:val="center"/>
        <w:rPr>
          <w:b/>
          <w:sz w:val="44"/>
          <w:szCs w:val="44"/>
        </w:rPr>
      </w:pPr>
    </w:p>
    <w:p w14:paraId="5767FB46">
      <w:pPr>
        <w:autoSpaceDE w:val="0"/>
        <w:autoSpaceDN w:val="0"/>
        <w:adjustRightInd w:val="0"/>
        <w:spacing w:before="0" w:beforeAutospacing="0" w:after="0" w:afterAutospacing="0" w:line="240" w:lineRule="auto"/>
        <w:ind w:firstLine="0" w:firstLineChars="0"/>
        <w:jc w:val="center"/>
        <w:rPr>
          <w:b/>
          <w:sz w:val="44"/>
          <w:szCs w:val="44"/>
        </w:rPr>
      </w:pPr>
    </w:p>
    <w:p w14:paraId="2DFCE6DF">
      <w:pPr>
        <w:autoSpaceDE w:val="0"/>
        <w:autoSpaceDN w:val="0"/>
        <w:adjustRightInd w:val="0"/>
        <w:spacing w:before="0" w:beforeAutospacing="0" w:after="0" w:afterAutospacing="0" w:line="240" w:lineRule="auto"/>
        <w:ind w:firstLine="0" w:firstLineChars="0"/>
        <w:rPr>
          <w:b/>
          <w:sz w:val="44"/>
          <w:szCs w:val="44"/>
        </w:rPr>
      </w:pPr>
      <w:r>
        <w:rPr>
          <w:rFonts w:hint="eastAsia"/>
          <w:b/>
          <w:sz w:val="44"/>
          <w:szCs w:val="44"/>
        </w:rPr>
        <w:t xml:space="preserve">          </w:t>
      </w:r>
    </w:p>
    <w:p w14:paraId="33396EA8">
      <w:pPr>
        <w:autoSpaceDE w:val="0"/>
        <w:autoSpaceDN w:val="0"/>
        <w:adjustRightInd w:val="0"/>
        <w:spacing w:before="0" w:beforeAutospacing="0" w:after="0" w:afterAutospacing="0" w:line="240" w:lineRule="auto"/>
        <w:ind w:firstLine="0" w:firstLineChars="0"/>
        <w:rPr>
          <w:rFonts w:ascii="黑体" w:hAnsi="黑体" w:cs="黑体"/>
          <w:b/>
          <w:color w:val="000000"/>
          <w:kern w:val="0"/>
          <w:sz w:val="44"/>
          <w:szCs w:val="44"/>
        </w:rPr>
      </w:pPr>
      <w:r>
        <w:rPr>
          <w:rFonts w:hint="eastAsia"/>
          <w:b/>
          <w:sz w:val="44"/>
          <w:szCs w:val="44"/>
        </w:rPr>
        <w:t xml:space="preserve">          第三部分</w:t>
      </w:r>
      <w:r>
        <w:rPr>
          <w:rFonts w:hint="eastAsia" w:ascii="黑体" w:hAnsi="黑体" w:cs="黑体"/>
          <w:b/>
          <w:color w:val="000000"/>
          <w:kern w:val="0"/>
          <w:sz w:val="44"/>
          <w:szCs w:val="44"/>
        </w:rPr>
        <w:t>名词解释</w:t>
      </w:r>
    </w:p>
    <w:p w14:paraId="444E499A">
      <w:pPr>
        <w:ind w:firstLine="560"/>
        <w:rPr>
          <w:rFonts w:ascii="仿宋" w:hAnsi="仿宋" w:eastAsia="仿宋" w:cs="仿宋"/>
          <w:sz w:val="28"/>
          <w:szCs w:val="28"/>
        </w:rPr>
      </w:pPr>
      <w:r>
        <w:rPr>
          <w:rFonts w:hint="eastAsia" w:ascii="仿宋" w:hAnsi="仿宋" w:eastAsia="仿宋" w:cs="仿宋"/>
          <w:sz w:val="28"/>
          <w:szCs w:val="28"/>
        </w:rPr>
        <w:t xml:space="preserve">（一）财政拨款收入：指本年度从省级财政部门取得的 财政拨款。 </w:t>
      </w:r>
    </w:p>
    <w:p w14:paraId="1361D7E8">
      <w:pPr>
        <w:ind w:firstLine="560"/>
        <w:rPr>
          <w:rFonts w:ascii="仿宋" w:hAnsi="仿宋" w:eastAsia="仿宋" w:cs="仿宋"/>
          <w:sz w:val="28"/>
          <w:szCs w:val="28"/>
        </w:rPr>
      </w:pPr>
      <w:r>
        <w:rPr>
          <w:rFonts w:hint="eastAsia" w:ascii="仿宋" w:hAnsi="仿宋" w:eastAsia="仿宋" w:cs="仿宋"/>
          <w:sz w:val="28"/>
          <w:szCs w:val="28"/>
        </w:rPr>
        <w:t xml:space="preserve">（二）事业收入：指事业单位开展专业业务活动及辅助 活动所取得的收入。如：河北省注册会计师协会、河北省注 册资产评估师协会收取的会费收入等。 </w:t>
      </w:r>
    </w:p>
    <w:p w14:paraId="758FD9A0">
      <w:pPr>
        <w:ind w:firstLine="560"/>
        <w:rPr>
          <w:rFonts w:ascii="仿宋" w:hAnsi="仿宋" w:eastAsia="仿宋" w:cs="仿宋"/>
          <w:sz w:val="28"/>
          <w:szCs w:val="28"/>
        </w:rPr>
      </w:pPr>
      <w:r>
        <w:rPr>
          <w:rFonts w:hint="eastAsia" w:ascii="仿宋" w:hAnsi="仿宋" w:eastAsia="仿宋" w:cs="仿宋"/>
          <w:sz w:val="28"/>
          <w:szCs w:val="28"/>
        </w:rPr>
        <w:t xml:space="preserve">（三）其他收入：指除“财政拨款收入”、“上级补助收 入”、“事业收入”、“经营收入”、“附属单位上缴收入”以外 的各项收入。 </w:t>
      </w:r>
    </w:p>
    <w:p w14:paraId="4B515D56">
      <w:pPr>
        <w:ind w:firstLine="560"/>
        <w:rPr>
          <w:rFonts w:ascii="仿宋" w:hAnsi="仿宋" w:eastAsia="仿宋" w:cs="仿宋"/>
          <w:sz w:val="28"/>
          <w:szCs w:val="28"/>
        </w:rPr>
      </w:pPr>
      <w:r>
        <w:rPr>
          <w:rFonts w:hint="eastAsia" w:ascii="仿宋" w:hAnsi="仿宋" w:eastAsia="仿宋" w:cs="仿宋"/>
          <w:sz w:val="28"/>
          <w:szCs w:val="28"/>
        </w:rPr>
        <w:t xml:space="preserve">（四）用事业基金弥补收支差额：指事业单位在用当年的“财政拨款收入”、“财政拨款结转和结余资金”、“事业收入”、 “其他收入”不足以安排当年支出的情况下，使用以前年度积累的事业基金（事业单位当年收支相抵后按 国家规定提取、用于弥补以后年度收支差额的基金）弥补本年度收支缺口的资金。 </w:t>
      </w:r>
    </w:p>
    <w:p w14:paraId="4EB3B931">
      <w:pPr>
        <w:ind w:firstLine="560"/>
        <w:rPr>
          <w:rFonts w:ascii="仿宋" w:hAnsi="仿宋" w:eastAsia="仿宋" w:cs="仿宋"/>
          <w:sz w:val="28"/>
          <w:szCs w:val="28"/>
        </w:rPr>
      </w:pPr>
      <w:r>
        <w:rPr>
          <w:rFonts w:hint="eastAsia" w:ascii="仿宋" w:hAnsi="仿宋" w:eastAsia="仿宋" w:cs="仿宋"/>
          <w:sz w:val="28"/>
          <w:szCs w:val="28"/>
        </w:rPr>
        <w:t xml:space="preserve">（五）年初结转和结余：指以前年度尚未完成、结转到 本年仍按原规定用途继续使用的资金。 </w:t>
      </w:r>
    </w:p>
    <w:p w14:paraId="38C2F445">
      <w:pPr>
        <w:ind w:firstLine="560"/>
        <w:rPr>
          <w:rFonts w:ascii="仿宋" w:hAnsi="仿宋" w:eastAsia="仿宋" w:cs="仿宋"/>
          <w:sz w:val="28"/>
          <w:szCs w:val="28"/>
        </w:rPr>
      </w:pPr>
      <w:r>
        <w:rPr>
          <w:rFonts w:hint="eastAsia" w:ascii="仿宋" w:hAnsi="仿宋" w:eastAsia="仿宋" w:cs="仿宋"/>
          <w:sz w:val="28"/>
          <w:szCs w:val="28"/>
        </w:rPr>
        <w:t xml:space="preserve">（六）结余分配：指事业单位按照事业单位会计制度的 规定从非财政补助结余中分配的事业基金和职工福利基金等。 </w:t>
      </w:r>
    </w:p>
    <w:p w14:paraId="46540D0D">
      <w:pPr>
        <w:ind w:firstLine="560"/>
        <w:rPr>
          <w:rFonts w:ascii="仿宋" w:hAnsi="仿宋" w:eastAsia="仿宋" w:cs="仿宋"/>
          <w:sz w:val="28"/>
          <w:szCs w:val="28"/>
        </w:rPr>
      </w:pPr>
      <w:r>
        <w:rPr>
          <w:rFonts w:hint="eastAsia" w:ascii="仿宋" w:hAnsi="仿宋" w:eastAsia="仿宋" w:cs="仿宋"/>
          <w:sz w:val="28"/>
          <w:szCs w:val="28"/>
        </w:rPr>
        <w:t xml:space="preserve">（七）年末结转和结余：指本年度或以前年度预算安排、 因客观条件发生变化无法按原计划实施，需要延迟到以后年度按有关规定继续使用的资金。 </w:t>
      </w:r>
    </w:p>
    <w:p w14:paraId="22F1A4C7">
      <w:pPr>
        <w:ind w:firstLine="560"/>
        <w:rPr>
          <w:rFonts w:ascii="仿宋" w:hAnsi="仿宋" w:eastAsia="仿宋" w:cs="仿宋"/>
          <w:sz w:val="28"/>
          <w:szCs w:val="28"/>
        </w:rPr>
      </w:pPr>
      <w:r>
        <w:rPr>
          <w:rFonts w:hint="eastAsia" w:ascii="仿宋" w:hAnsi="仿宋" w:eastAsia="仿宋" w:cs="仿宋"/>
          <w:sz w:val="28"/>
          <w:szCs w:val="28"/>
        </w:rPr>
        <w:t xml:space="preserve">（八）基本支出：指为保障机构正常运转、完成日常工作任务而发生的人员支出和公用支出。 </w:t>
      </w:r>
    </w:p>
    <w:p w14:paraId="3BBC4A22">
      <w:pPr>
        <w:ind w:firstLine="560"/>
        <w:rPr>
          <w:rFonts w:ascii="仿宋" w:hAnsi="仿宋" w:eastAsia="仿宋" w:cs="仿宋"/>
          <w:sz w:val="28"/>
          <w:szCs w:val="28"/>
        </w:rPr>
      </w:pPr>
      <w:r>
        <w:rPr>
          <w:rFonts w:hint="eastAsia" w:ascii="仿宋" w:hAnsi="仿宋" w:eastAsia="仿宋" w:cs="仿宋"/>
          <w:sz w:val="28"/>
          <w:szCs w:val="28"/>
        </w:rPr>
        <w:t xml:space="preserve">（九）项目支出：指在基本支出之外为完成特定行政任务和事业发展目标所发生的支出。 </w:t>
      </w:r>
    </w:p>
    <w:p w14:paraId="38475192">
      <w:pPr>
        <w:ind w:firstLine="560"/>
        <w:rPr>
          <w:rFonts w:ascii="仿宋" w:hAnsi="仿宋" w:eastAsia="仿宋" w:cs="仿宋"/>
          <w:sz w:val="28"/>
          <w:szCs w:val="28"/>
        </w:rPr>
      </w:pPr>
      <w:r>
        <w:rPr>
          <w:rFonts w:hint="eastAsia" w:ascii="仿宋" w:hAnsi="仿宋" w:eastAsia="仿宋" w:cs="仿宋"/>
          <w:sz w:val="28"/>
          <w:szCs w:val="28"/>
        </w:rPr>
        <w:t xml:space="preserve">（十）“三公”经费：财政预决算管理的“三公”经费 指部门用财政拨款安排的因公出国（境）费、公务用车购置及运行维护费和公务接待费。其中，因公出国（境）费反映单位公务出国（境）的国际旅费、国外城市间交通费、住宿费、伙食费、培训费、公杂费等支出；公务用车购置及运行 维护费反映单位公务用车购置支出（含车辆购置税）及租用费、燃料费、维修费、过路过桥费、保险费、安全奖励费用 等支出；公务接待费反映单位按规定开支的各类公务接待（含外宾接待）支出。 </w:t>
      </w:r>
    </w:p>
    <w:p w14:paraId="6410B499">
      <w:pPr>
        <w:ind w:firstLine="560"/>
        <w:rPr>
          <w:rFonts w:ascii="仿宋" w:hAnsi="仿宋" w:eastAsia="仿宋" w:cs="仿宋"/>
          <w:sz w:val="28"/>
          <w:szCs w:val="28"/>
        </w:rPr>
      </w:pPr>
      <w:r>
        <w:rPr>
          <w:rFonts w:hint="eastAsia" w:ascii="仿宋" w:hAnsi="仿宋" w:eastAsia="仿宋" w:cs="仿宋"/>
          <w:sz w:val="28"/>
          <w:szCs w:val="28"/>
        </w:rPr>
        <w:t xml:space="preserve">（十一）其他交通费用：指单位除公务用车运行维护费以外的其他交通费用。主要是厅机关及参公事业单位发放的公务交通补贴等。 </w:t>
      </w:r>
    </w:p>
    <w:p w14:paraId="0F570B5E">
      <w:pPr>
        <w:ind w:firstLine="555" w:firstLineChars="0"/>
        <w:rPr>
          <w:rFonts w:ascii="仿宋" w:hAnsi="仿宋" w:eastAsia="仿宋" w:cs="仿宋"/>
          <w:sz w:val="28"/>
          <w:szCs w:val="28"/>
        </w:rPr>
      </w:pPr>
      <w:r>
        <w:rPr>
          <w:rFonts w:hint="eastAsia" w:ascii="仿宋" w:hAnsi="仿宋" w:eastAsia="仿宋" w:cs="仿宋"/>
          <w:sz w:val="28"/>
          <w:szCs w:val="28"/>
        </w:rPr>
        <w:t>（十二）机关运行经费：指为保障行政单位（包括参照 公务员法管理的事业单位）运行用于购买货物和服务的各项 资金，包括办公及印刷费、邮电费、差旅费、会议费、福利费、日常维修费、专用材料以及一般设备购置费、办公用房 水电费、办公用房取暖费、办公用房物业管理费、公务用车 。</w:t>
      </w:r>
    </w:p>
    <w:p w14:paraId="1DE9F394">
      <w:pPr>
        <w:ind w:firstLine="560"/>
        <w:rPr>
          <w:rFonts w:ascii="仿宋" w:hAnsi="仿宋" w:eastAsia="仿宋" w:cs="仿宋"/>
          <w:sz w:val="28"/>
          <w:szCs w:val="28"/>
        </w:rPr>
      </w:pPr>
      <w:r>
        <w:rPr>
          <w:rFonts w:hint="eastAsia" w:ascii="仿宋" w:hAnsi="仿宋" w:eastAsia="仿宋" w:cs="仿宋"/>
          <w:sz w:val="28"/>
          <w:szCs w:val="28"/>
        </w:rPr>
        <w:t>（十三）政府性基金：指各级人民政府及其所属部门根据法律、国家行政法规和中共中央、国务院有关文件的规定，为支持某项事业发展，按照国家规定程序批准，向公民、法人和其他组织征收的具有专项用途的资金包括各种基金、资金、附加和专项收费。</w:t>
      </w:r>
    </w:p>
    <w:p w14:paraId="64595C3F">
      <w:pPr>
        <w:ind w:firstLine="560"/>
        <w:rPr>
          <w:rFonts w:ascii="仿宋" w:hAnsi="仿宋" w:eastAsia="仿宋" w:cs="仿宋"/>
          <w:sz w:val="28"/>
          <w:szCs w:val="28"/>
        </w:rPr>
      </w:pPr>
      <w:r>
        <w:rPr>
          <w:rFonts w:hint="eastAsia" w:ascii="仿宋" w:hAnsi="仿宋" w:eastAsia="仿宋" w:cs="仿宋"/>
          <w:sz w:val="28"/>
          <w:szCs w:val="28"/>
        </w:rPr>
        <w:t>（十四）工资福利支出：指单位开支的在职职工和编外长期聘用人员的各类劳动报酬，以及为上述人员缴纳的各项社会保险费。</w:t>
      </w:r>
    </w:p>
    <w:p w14:paraId="23F7157C">
      <w:pPr>
        <w:ind w:firstLine="560"/>
        <w:rPr>
          <w:rFonts w:ascii="仿宋" w:hAnsi="仿宋" w:eastAsia="仿宋" w:cs="仿宋"/>
          <w:sz w:val="28"/>
          <w:szCs w:val="28"/>
        </w:rPr>
      </w:pPr>
      <w:r>
        <w:rPr>
          <w:rFonts w:hint="eastAsia" w:ascii="仿宋" w:hAnsi="仿宋" w:eastAsia="仿宋" w:cs="仿宋"/>
          <w:sz w:val="28"/>
          <w:szCs w:val="28"/>
        </w:rPr>
        <w:t>（十五）商品和服务支出：指单位购买商品和服务的支出（不包括用于购置固定资产的支出、战略性和应急储备支出）</w:t>
      </w:r>
    </w:p>
    <w:p w14:paraId="6B416D6F">
      <w:pPr>
        <w:ind w:firstLine="700" w:firstLineChars="250"/>
        <w:rPr>
          <w:rFonts w:ascii="仿宋" w:hAnsi="仿宋" w:eastAsia="仿宋" w:cs="仿宋"/>
          <w:sz w:val="28"/>
          <w:szCs w:val="28"/>
        </w:rPr>
      </w:pPr>
      <w:r>
        <w:rPr>
          <w:rFonts w:hint="eastAsia" w:ascii="仿宋" w:hAnsi="仿宋" w:eastAsia="仿宋" w:cs="仿宋"/>
          <w:sz w:val="28"/>
          <w:szCs w:val="28"/>
        </w:rPr>
        <w:t>（十六）对个人和家庭的补助：指用于对个人和家庭的补助支出。</w:t>
      </w: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863BFA">
    <w:pPr>
      <w:pStyle w:val="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44F20">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9295A">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20"/>
      </w:pPr>
      <w:r>
        <w:separator/>
      </w:r>
    </w:p>
  </w:footnote>
  <w:footnote w:type="continuationSeparator" w:id="1">
    <w:p>
      <w:pPr>
        <w:spacing w:before="0" w:after="0"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617AE">
    <w:pPr>
      <w:pStyle w:val="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FA92D">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8F379">
    <w:pPr>
      <w:pStyle w:val="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3EFC04"/>
    <w:multiLevelType w:val="singleLevel"/>
    <w:tmpl w:val="5C3EFC04"/>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BA3"/>
    <w:rsid w:val="000059DC"/>
    <w:rsid w:val="000424BD"/>
    <w:rsid w:val="000D4A89"/>
    <w:rsid w:val="000E673A"/>
    <w:rsid w:val="0011680F"/>
    <w:rsid w:val="001345EC"/>
    <w:rsid w:val="00172712"/>
    <w:rsid w:val="001A1E91"/>
    <w:rsid w:val="001A36EE"/>
    <w:rsid w:val="001A3DA3"/>
    <w:rsid w:val="001D61F8"/>
    <w:rsid w:val="001E2EFC"/>
    <w:rsid w:val="0022040F"/>
    <w:rsid w:val="00252EB5"/>
    <w:rsid w:val="00267FF3"/>
    <w:rsid w:val="00275683"/>
    <w:rsid w:val="00277154"/>
    <w:rsid w:val="002823C7"/>
    <w:rsid w:val="002B1DC0"/>
    <w:rsid w:val="002B2063"/>
    <w:rsid w:val="002D10DE"/>
    <w:rsid w:val="002F0866"/>
    <w:rsid w:val="00324B92"/>
    <w:rsid w:val="0033690B"/>
    <w:rsid w:val="0034763F"/>
    <w:rsid w:val="00385D9F"/>
    <w:rsid w:val="003A0A68"/>
    <w:rsid w:val="003A40C3"/>
    <w:rsid w:val="004728A8"/>
    <w:rsid w:val="00495596"/>
    <w:rsid w:val="004A3633"/>
    <w:rsid w:val="004B12A7"/>
    <w:rsid w:val="004B682C"/>
    <w:rsid w:val="004E4BA3"/>
    <w:rsid w:val="00507794"/>
    <w:rsid w:val="00523694"/>
    <w:rsid w:val="0052648B"/>
    <w:rsid w:val="005305B2"/>
    <w:rsid w:val="005443FE"/>
    <w:rsid w:val="00586E74"/>
    <w:rsid w:val="005C55BA"/>
    <w:rsid w:val="00637051"/>
    <w:rsid w:val="0066010B"/>
    <w:rsid w:val="00662888"/>
    <w:rsid w:val="006C1C7C"/>
    <w:rsid w:val="006D7807"/>
    <w:rsid w:val="006D7ABA"/>
    <w:rsid w:val="00701DB6"/>
    <w:rsid w:val="00730449"/>
    <w:rsid w:val="00746D87"/>
    <w:rsid w:val="00755D93"/>
    <w:rsid w:val="007A42AA"/>
    <w:rsid w:val="007B5444"/>
    <w:rsid w:val="007E7F3E"/>
    <w:rsid w:val="00822804"/>
    <w:rsid w:val="00825512"/>
    <w:rsid w:val="00856EE6"/>
    <w:rsid w:val="00864AEE"/>
    <w:rsid w:val="00876A72"/>
    <w:rsid w:val="008B2F61"/>
    <w:rsid w:val="008B7881"/>
    <w:rsid w:val="00917C06"/>
    <w:rsid w:val="00946F20"/>
    <w:rsid w:val="009505B1"/>
    <w:rsid w:val="00950D4F"/>
    <w:rsid w:val="00985031"/>
    <w:rsid w:val="009D2BB0"/>
    <w:rsid w:val="00A00006"/>
    <w:rsid w:val="00A031F2"/>
    <w:rsid w:val="00A50A3F"/>
    <w:rsid w:val="00A61D40"/>
    <w:rsid w:val="00A71121"/>
    <w:rsid w:val="00AF6FF9"/>
    <w:rsid w:val="00B40DEF"/>
    <w:rsid w:val="00B76AE5"/>
    <w:rsid w:val="00B87BB4"/>
    <w:rsid w:val="00B93697"/>
    <w:rsid w:val="00BD173B"/>
    <w:rsid w:val="00C34414"/>
    <w:rsid w:val="00C435D4"/>
    <w:rsid w:val="00C43AD5"/>
    <w:rsid w:val="00C46827"/>
    <w:rsid w:val="00C77764"/>
    <w:rsid w:val="00CB734A"/>
    <w:rsid w:val="00CE0BB0"/>
    <w:rsid w:val="00D02492"/>
    <w:rsid w:val="00D028D3"/>
    <w:rsid w:val="00D1477F"/>
    <w:rsid w:val="00D2334E"/>
    <w:rsid w:val="00D6681E"/>
    <w:rsid w:val="00D75AE9"/>
    <w:rsid w:val="00D8103E"/>
    <w:rsid w:val="00D81E70"/>
    <w:rsid w:val="00D82501"/>
    <w:rsid w:val="00D83CA9"/>
    <w:rsid w:val="00DA440E"/>
    <w:rsid w:val="00DE20AC"/>
    <w:rsid w:val="00DE3487"/>
    <w:rsid w:val="00DF34A0"/>
    <w:rsid w:val="00E11BD3"/>
    <w:rsid w:val="00E24AFA"/>
    <w:rsid w:val="00E34680"/>
    <w:rsid w:val="00E37B48"/>
    <w:rsid w:val="00E7532B"/>
    <w:rsid w:val="00E941D7"/>
    <w:rsid w:val="00EC33D1"/>
    <w:rsid w:val="00EE0DC0"/>
    <w:rsid w:val="00F25DEA"/>
    <w:rsid w:val="00F273F8"/>
    <w:rsid w:val="00F73966"/>
    <w:rsid w:val="00F935FE"/>
    <w:rsid w:val="00FA460A"/>
    <w:rsid w:val="00FA7280"/>
    <w:rsid w:val="00FB1BC3"/>
    <w:rsid w:val="00FE00E1"/>
    <w:rsid w:val="00FE4107"/>
    <w:rsid w:val="01C2361F"/>
    <w:rsid w:val="03413AA2"/>
    <w:rsid w:val="036A7F42"/>
    <w:rsid w:val="03B34AB5"/>
    <w:rsid w:val="03B91AE0"/>
    <w:rsid w:val="045C218A"/>
    <w:rsid w:val="04D04986"/>
    <w:rsid w:val="05AA521C"/>
    <w:rsid w:val="07147AC6"/>
    <w:rsid w:val="074F745E"/>
    <w:rsid w:val="0791516D"/>
    <w:rsid w:val="09142B69"/>
    <w:rsid w:val="09CC280B"/>
    <w:rsid w:val="0B3E076C"/>
    <w:rsid w:val="0B820F52"/>
    <w:rsid w:val="0BE25887"/>
    <w:rsid w:val="0BE752F6"/>
    <w:rsid w:val="0CB16B32"/>
    <w:rsid w:val="0D4129B0"/>
    <w:rsid w:val="0D5123AA"/>
    <w:rsid w:val="0D662CE8"/>
    <w:rsid w:val="0D6F11AD"/>
    <w:rsid w:val="0F17120F"/>
    <w:rsid w:val="0F1C6003"/>
    <w:rsid w:val="10C43E52"/>
    <w:rsid w:val="10EA6789"/>
    <w:rsid w:val="1266695D"/>
    <w:rsid w:val="12BE79D2"/>
    <w:rsid w:val="13AC2A79"/>
    <w:rsid w:val="1496756C"/>
    <w:rsid w:val="155646BB"/>
    <w:rsid w:val="1587097B"/>
    <w:rsid w:val="171512E4"/>
    <w:rsid w:val="173F6B03"/>
    <w:rsid w:val="188913DA"/>
    <w:rsid w:val="18FF163E"/>
    <w:rsid w:val="19C5285D"/>
    <w:rsid w:val="1B393B6D"/>
    <w:rsid w:val="1B4B7CAC"/>
    <w:rsid w:val="1BDE517B"/>
    <w:rsid w:val="1CD8343E"/>
    <w:rsid w:val="1D6435A2"/>
    <w:rsid w:val="1E6C378B"/>
    <w:rsid w:val="1E9551CB"/>
    <w:rsid w:val="1ED25BD4"/>
    <w:rsid w:val="1EE017D0"/>
    <w:rsid w:val="1F14269F"/>
    <w:rsid w:val="1F714986"/>
    <w:rsid w:val="1FD6163D"/>
    <w:rsid w:val="201D76B4"/>
    <w:rsid w:val="2239741D"/>
    <w:rsid w:val="224E425E"/>
    <w:rsid w:val="23210D20"/>
    <w:rsid w:val="232E378A"/>
    <w:rsid w:val="23617D80"/>
    <w:rsid w:val="23AF2936"/>
    <w:rsid w:val="23C16DB2"/>
    <w:rsid w:val="24BC2EB0"/>
    <w:rsid w:val="253166EC"/>
    <w:rsid w:val="257C466C"/>
    <w:rsid w:val="258C3D63"/>
    <w:rsid w:val="26B61188"/>
    <w:rsid w:val="273E2F8E"/>
    <w:rsid w:val="274D4DF7"/>
    <w:rsid w:val="27F5376F"/>
    <w:rsid w:val="2CB40397"/>
    <w:rsid w:val="2CE41BC1"/>
    <w:rsid w:val="2D146FBB"/>
    <w:rsid w:val="2D1879B1"/>
    <w:rsid w:val="2E131872"/>
    <w:rsid w:val="2E4F4CFB"/>
    <w:rsid w:val="2EC24364"/>
    <w:rsid w:val="2F947F83"/>
    <w:rsid w:val="3198358E"/>
    <w:rsid w:val="33EE4199"/>
    <w:rsid w:val="34B051FE"/>
    <w:rsid w:val="35F27BAA"/>
    <w:rsid w:val="37D020A2"/>
    <w:rsid w:val="37E557E3"/>
    <w:rsid w:val="38717649"/>
    <w:rsid w:val="3C000F08"/>
    <w:rsid w:val="3F545356"/>
    <w:rsid w:val="40EE2600"/>
    <w:rsid w:val="42B714E5"/>
    <w:rsid w:val="434F519D"/>
    <w:rsid w:val="437E3A91"/>
    <w:rsid w:val="44F37027"/>
    <w:rsid w:val="450C1D20"/>
    <w:rsid w:val="450F07E3"/>
    <w:rsid w:val="45100F5E"/>
    <w:rsid w:val="469567BE"/>
    <w:rsid w:val="47D47826"/>
    <w:rsid w:val="490136C4"/>
    <w:rsid w:val="492C0F96"/>
    <w:rsid w:val="492C469F"/>
    <w:rsid w:val="495573C0"/>
    <w:rsid w:val="4A782EA7"/>
    <w:rsid w:val="4AC809C9"/>
    <w:rsid w:val="4AE752AB"/>
    <w:rsid w:val="4B1F16C5"/>
    <w:rsid w:val="4C2E5390"/>
    <w:rsid w:val="4C434F1C"/>
    <w:rsid w:val="4CAA303A"/>
    <w:rsid w:val="4E10733A"/>
    <w:rsid w:val="4FAF54C6"/>
    <w:rsid w:val="4FB43F6B"/>
    <w:rsid w:val="51665013"/>
    <w:rsid w:val="526F26C1"/>
    <w:rsid w:val="52ED3774"/>
    <w:rsid w:val="533D1484"/>
    <w:rsid w:val="551476CE"/>
    <w:rsid w:val="559A001F"/>
    <w:rsid w:val="56CC7922"/>
    <w:rsid w:val="576810C6"/>
    <w:rsid w:val="58342508"/>
    <w:rsid w:val="59BA751F"/>
    <w:rsid w:val="5A1D4D2B"/>
    <w:rsid w:val="5A9B408C"/>
    <w:rsid w:val="5AD62844"/>
    <w:rsid w:val="5BFD52B1"/>
    <w:rsid w:val="5C4F20CD"/>
    <w:rsid w:val="5D410251"/>
    <w:rsid w:val="5ED9627E"/>
    <w:rsid w:val="5F7B61C6"/>
    <w:rsid w:val="5FAC0005"/>
    <w:rsid w:val="6014064A"/>
    <w:rsid w:val="60E4121E"/>
    <w:rsid w:val="64704610"/>
    <w:rsid w:val="657B32CE"/>
    <w:rsid w:val="65A9215F"/>
    <w:rsid w:val="66111DCE"/>
    <w:rsid w:val="68186B7E"/>
    <w:rsid w:val="687C5BD0"/>
    <w:rsid w:val="694271AF"/>
    <w:rsid w:val="6A1C5554"/>
    <w:rsid w:val="6A504295"/>
    <w:rsid w:val="6B832335"/>
    <w:rsid w:val="6BA40C9B"/>
    <w:rsid w:val="6BDC2EBA"/>
    <w:rsid w:val="6C0A03D2"/>
    <w:rsid w:val="6C1472F5"/>
    <w:rsid w:val="6C9765C1"/>
    <w:rsid w:val="6CAD5D46"/>
    <w:rsid w:val="6CB36F0C"/>
    <w:rsid w:val="6D4515AB"/>
    <w:rsid w:val="6D47450E"/>
    <w:rsid w:val="6D6B3A66"/>
    <w:rsid w:val="6ED032CA"/>
    <w:rsid w:val="6FE707D2"/>
    <w:rsid w:val="6FF36F37"/>
    <w:rsid w:val="700D4034"/>
    <w:rsid w:val="706F1852"/>
    <w:rsid w:val="70B11AB0"/>
    <w:rsid w:val="70D324A2"/>
    <w:rsid w:val="712829DB"/>
    <w:rsid w:val="71D7251D"/>
    <w:rsid w:val="71D83743"/>
    <w:rsid w:val="729F4F78"/>
    <w:rsid w:val="72AD3C48"/>
    <w:rsid w:val="730F0FEB"/>
    <w:rsid w:val="73704125"/>
    <w:rsid w:val="739A7060"/>
    <w:rsid w:val="73F31500"/>
    <w:rsid w:val="752D4ED1"/>
    <w:rsid w:val="75AB49A8"/>
    <w:rsid w:val="773A4807"/>
    <w:rsid w:val="774B5127"/>
    <w:rsid w:val="78B01582"/>
    <w:rsid w:val="790E73E8"/>
    <w:rsid w:val="79120D19"/>
    <w:rsid w:val="795B6474"/>
    <w:rsid w:val="7A0C7490"/>
    <w:rsid w:val="7A222A17"/>
    <w:rsid w:val="7A447F9A"/>
    <w:rsid w:val="7A5304AC"/>
    <w:rsid w:val="7C8733E1"/>
    <w:rsid w:val="7CD14BA1"/>
    <w:rsid w:val="7F3B1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100" w:beforeAutospacing="1" w:after="100" w:afterAutospacing="1" w:line="220" w:lineRule="atLeast"/>
      <w:ind w:firstLine="200" w:firstLineChars="20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alloon Text"/>
    <w:basedOn w:val="1"/>
    <w:link w:val="12"/>
    <w:unhideWhenUsed/>
    <w:qFormat/>
    <w:uiPriority w:val="99"/>
    <w:pPr>
      <w:spacing w:before="0" w:after="0" w:line="240" w:lineRule="auto"/>
    </w:pPr>
    <w:rPr>
      <w:sz w:val="18"/>
      <w:szCs w:val="18"/>
    </w:rPr>
  </w:style>
  <w:style w:type="paragraph" w:styleId="3">
    <w:name w:val="footer"/>
    <w:basedOn w:val="1"/>
    <w:link w:val="9"/>
    <w:unhideWhenUsed/>
    <w:qFormat/>
    <w:uiPriority w:val="99"/>
    <w:pPr>
      <w:tabs>
        <w:tab w:val="center" w:pos="4153"/>
        <w:tab w:val="right" w:pos="8306"/>
      </w:tabs>
      <w:snapToGrid w:val="0"/>
      <w:spacing w:line="240" w:lineRule="atLeast"/>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5">
    <w:name w:val="Normal (Web)"/>
    <w:basedOn w:val="1"/>
    <w:unhideWhenUsed/>
    <w:qFormat/>
    <w:uiPriority w:val="99"/>
    <w:pPr>
      <w:widowControl/>
      <w:spacing w:line="240" w:lineRule="auto"/>
      <w:ind w:firstLine="0" w:firstLineChars="0"/>
      <w:jc w:val="left"/>
    </w:pPr>
    <w:rPr>
      <w:rFonts w:ascii="宋体" w:hAnsi="宋体" w:eastAsia="宋体" w:cs="宋体"/>
      <w:kern w:val="0"/>
      <w:sz w:val="24"/>
      <w:szCs w:val="24"/>
    </w:rPr>
  </w:style>
  <w:style w:type="character" w:customStyle="1" w:styleId="8">
    <w:name w:val="页眉 Char"/>
    <w:basedOn w:val="7"/>
    <w:link w:val="4"/>
    <w:semiHidden/>
    <w:qFormat/>
    <w:uiPriority w:val="99"/>
    <w:rPr>
      <w:sz w:val="18"/>
      <w:szCs w:val="18"/>
    </w:rPr>
  </w:style>
  <w:style w:type="character" w:customStyle="1" w:styleId="9">
    <w:name w:val="页脚 Char"/>
    <w:basedOn w:val="7"/>
    <w:link w:val="3"/>
    <w:semiHidden/>
    <w:qFormat/>
    <w:uiPriority w:val="99"/>
    <w:rPr>
      <w:sz w:val="18"/>
      <w:szCs w:val="18"/>
    </w:rPr>
  </w:style>
  <w:style w:type="paragraph" w:customStyle="1" w:styleId="10">
    <w:name w:val="Default"/>
    <w:qFormat/>
    <w:uiPriority w:val="0"/>
    <w:pPr>
      <w:widowControl w:val="0"/>
      <w:autoSpaceDE w:val="0"/>
      <w:autoSpaceDN w:val="0"/>
      <w:adjustRightInd w:val="0"/>
    </w:pPr>
    <w:rPr>
      <w:rFonts w:ascii="黑体" w:hAnsi="黑体" w:cs="黑体" w:eastAsiaTheme="minorEastAsia"/>
      <w:color w:val="000000"/>
      <w:sz w:val="24"/>
      <w:szCs w:val="24"/>
      <w:lang w:val="en-US" w:eastAsia="zh-CN" w:bidi="ar-SA"/>
    </w:rPr>
  </w:style>
  <w:style w:type="paragraph" w:customStyle="1" w:styleId="11">
    <w:name w:val="列出段落1"/>
    <w:basedOn w:val="1"/>
    <w:qFormat/>
    <w:uiPriority w:val="34"/>
    <w:pPr>
      <w:ind w:firstLine="420"/>
    </w:pPr>
  </w:style>
  <w:style w:type="character" w:customStyle="1" w:styleId="12">
    <w:name w:val="批注框文本 Char"/>
    <w:basedOn w:val="7"/>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numbering" Target="numbering.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6032;&#24314;%20Microsoft%20Excel%20&#24037;&#20316;&#34920;.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a:t>
            </a:r>
            <a:r>
              <a:rPr lang="zh-CN" altLang="en-US"/>
              <a:t>年财政支出</a:t>
            </a:r>
            <a:endParaRPr lang="zh-CN" altLang="en-US"/>
          </a:p>
        </c:rich>
      </c:tx>
      <c:layout>
        <c:manualLayout>
          <c:xMode val="edge"/>
          <c:yMode val="edge"/>
          <c:x val="0.422777777777778"/>
          <c:y val="0.0277777777777778"/>
        </c:manualLayout>
      </c:layout>
      <c:overlay val="0"/>
      <c:spPr>
        <a:noFill/>
        <a:ln>
          <a:noFill/>
        </a:ln>
        <a:effectLst/>
      </c:spPr>
    </c:title>
    <c:autoTitleDeleted val="0"/>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multiLvlStrRef>
              <c:f>'[新建 Microsoft Excel 工作表.xlsx]Sheet1'!$A$1:$B$2</c:f>
              <c:multiLvlStrCache>
                <c:ptCount val="2"/>
                <c:lvl>
                  <c:pt idx="0">
                    <c:v>1364.05万元</c:v>
                  </c:pt>
                  <c:pt idx="1">
                    <c:v>353.35万元</c:v>
                  </c:pt>
                </c:lvl>
                <c:lvl>
                  <c:pt idx="0">
                    <c:v>基本支出</c:v>
                  </c:pt>
                  <c:pt idx="1">
                    <c:v>项目支出 </c:v>
                  </c:pt>
                </c:lvl>
              </c:multiLvlStrCache>
            </c:multiLvlStrRef>
          </c:cat>
          <c:val>
            <c:numRef>
              <c:f>'[新建 Microsoft Excel 工作表.xlsx]Sheet1'!$C$1:$C$2</c:f>
              <c:numCache>
                <c:formatCode>0.00%</c:formatCode>
                <c:ptCount val="2"/>
                <c:pt idx="0">
                  <c:v>0.7943</c:v>
                </c:pt>
                <c:pt idx="1">
                  <c:v>0.2057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0272fca-1e43-4879-933b-0965bb78bb7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29033245844269"/>
          <c:y val="0.0787037037037037"/>
          <c:w val="0.538888888888889"/>
          <c:h val="0.89814814814814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Lbls>
            <c:delete val="1"/>
          </c:dLbls>
          <c:cat>
            <c:multiLvlStrRef>
              <c:f>Sheet4!$A$1:$B$7</c:f>
              <c:multiLvlStrCache>
                <c:ptCount val="7"/>
                <c:lvl>
                  <c:pt idx="0">
                    <c:v>8.36万元</c:v>
                  </c:pt>
                  <c:pt idx="1">
                    <c:v>7.56万元</c:v>
                  </c:pt>
                  <c:pt idx="2">
                    <c:v>3.62万元</c:v>
                  </c:pt>
                  <c:pt idx="3">
                    <c:v>1.5万元</c:v>
                  </c:pt>
                  <c:pt idx="4">
                    <c:v>1.22万元</c:v>
                  </c:pt>
                  <c:pt idx="5">
                    <c:v>5.48万元</c:v>
                  </c:pt>
                  <c:pt idx="6">
                    <c:v>3.6万元</c:v>
                  </c:pt>
                </c:lvl>
                <c:lvl>
                  <c:pt idx="0">
                    <c:v>办公费</c:v>
                  </c:pt>
                  <c:pt idx="1">
                    <c:v>电费</c:v>
                  </c:pt>
                  <c:pt idx="2">
                    <c:v>取暖费</c:v>
                  </c:pt>
                  <c:pt idx="3">
                    <c:v>差旅费</c:v>
                  </c:pt>
                  <c:pt idx="4">
                    <c:v>维修费</c:v>
                  </c:pt>
                  <c:pt idx="5">
                    <c:v>劳务费</c:v>
                  </c:pt>
                  <c:pt idx="6">
                    <c:v>公务用车运行维护费</c:v>
                  </c:pt>
                </c:lvl>
              </c:multiLvlStrCache>
            </c:multiLvlStrRef>
          </c:cat>
          <c:val>
            <c:numRef>
              <c:f>Sheet4!$C$1:$C$7</c:f>
              <c:numCache>
                <c:formatCode>0.00%</c:formatCode>
                <c:ptCount val="7"/>
                <c:pt idx="0">
                  <c:v>0.2668</c:v>
                </c:pt>
                <c:pt idx="1">
                  <c:v>0.2412</c:v>
                </c:pt>
                <c:pt idx="2">
                  <c:v>0.1155</c:v>
                </c:pt>
                <c:pt idx="3">
                  <c:v>0.0479</c:v>
                </c:pt>
                <c:pt idx="4">
                  <c:v>0.0389</c:v>
                </c:pt>
                <c:pt idx="5">
                  <c:v>0.1749</c:v>
                </c:pt>
                <c:pt idx="6">
                  <c:v>0.1148</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b93a0008-748e-4592-835d-b5774c0a0ed8}"/>
      </c:ext>
    </c:extLst>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58241E-A173-4A72-80A5-75772C8488EE}">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13</Pages>
  <Words>4570</Words>
  <Characters>4840</Characters>
  <Lines>33</Lines>
  <Paragraphs>9</Paragraphs>
  <TotalTime>0</TotalTime>
  <ScaleCrop>false</ScaleCrop>
  <LinksUpToDate>false</LinksUpToDate>
  <CharactersWithSpaces>5056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2019-01-17T00:17:00Z</dcterms:created>
  <dc:creator>CZJ6</dc:creator>
  <cp:lastModifiedBy>13323011735</cp:lastModifiedBy>
  <cp:lastPrinted>2017-11-01T01:19:00Z</cp:lastPrinted>
  <dcterms:modified xsi:type="dcterms:W3CDTF">2025-02-26T08:51:23Z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F7FE5F55937E41B38B60D62BDE23E860_12</vt:lpwstr>
  </property>
</Properties>
</file>