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sz w:val="44"/>
          <w:szCs w:val="44"/>
        </w:rPr>
      </w:pPr>
      <w:r>
        <w:rPr>
          <w:rFonts w:hint="eastAsia" w:ascii="宋体" w:hAnsi="宋体" w:cs="宋体"/>
          <w:b/>
          <w:sz w:val="44"/>
          <w:szCs w:val="44"/>
        </w:rPr>
        <w:t>赞皇县文化广电体育和旅游局</w:t>
      </w:r>
    </w:p>
    <w:p>
      <w:pPr>
        <w:jc w:val="center"/>
        <w:rPr>
          <w:rFonts w:ascii="Times New Roman" w:hAnsi="Times New Roman"/>
          <w:b/>
          <w:sz w:val="44"/>
          <w:szCs w:val="44"/>
        </w:rPr>
      </w:pPr>
      <w:r>
        <w:rPr>
          <w:rFonts w:ascii="Times New Roman" w:hAnsi="Times New Roman"/>
          <w:b/>
          <w:sz w:val="44"/>
          <w:szCs w:val="44"/>
        </w:rPr>
        <w:t>2020</w:t>
      </w:r>
      <w:r>
        <w:rPr>
          <w:rFonts w:hint="eastAsia" w:ascii="宋体" w:hAnsi="宋体" w:cs="宋体"/>
          <w:b/>
          <w:sz w:val="44"/>
          <w:szCs w:val="44"/>
        </w:rPr>
        <w:t>年部门预算信息公开情况说明</w:t>
      </w:r>
    </w:p>
    <w:p>
      <w:pPr>
        <w:ind w:firstLine="640" w:firstLineChars="200"/>
        <w:rPr>
          <w:rFonts w:ascii="仿宋" w:hAnsi="仿宋" w:eastAsia="仿宋"/>
          <w:sz w:val="32"/>
          <w:szCs w:val="32"/>
        </w:rPr>
      </w:pPr>
      <w:r>
        <w:rPr>
          <w:rFonts w:hint="eastAsia" w:ascii="仿宋" w:hAnsi="仿宋" w:eastAsia="仿宋"/>
          <w:sz w:val="32"/>
          <w:szCs w:val="32"/>
        </w:rPr>
        <w:t>按照《中华人民共和国预算法》</w:t>
      </w:r>
      <w:bookmarkStart w:id="21" w:name="_GoBack"/>
      <w:bookmarkEnd w:id="21"/>
      <w:r>
        <w:rPr>
          <w:rFonts w:hint="eastAsia" w:ascii="仿宋" w:hAnsi="仿宋" w:eastAsia="仿宋"/>
          <w:sz w:val="32"/>
          <w:szCs w:val="32"/>
        </w:rPr>
        <w:t>、《地方预决算公开操作规程》和河北省财政厅《关于转发&lt;财政部办公厅印发财政预决算领域基层政务公开指标指引&gt;的通知》（冀财办〔2019〕43号）规定，现将赞皇县文化广电体育和旅游局</w:t>
      </w:r>
      <w:r>
        <w:rPr>
          <w:rFonts w:ascii="仿宋" w:hAnsi="仿宋" w:eastAsia="仿宋"/>
          <w:sz w:val="32"/>
          <w:szCs w:val="32"/>
        </w:rPr>
        <w:t>2020</w:t>
      </w:r>
      <w:r>
        <w:rPr>
          <w:rFonts w:hint="eastAsia" w:ascii="仿宋" w:hAnsi="仿宋" w:eastAsia="仿宋"/>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spacing w:line="570" w:lineRule="exact"/>
        <w:ind w:firstLine="643" w:firstLineChars="200"/>
        <w:rPr>
          <w:rFonts w:ascii="宋体" w:cs="宋体"/>
          <w:b/>
          <w:sz w:val="32"/>
          <w:szCs w:val="32"/>
        </w:rPr>
      </w:pPr>
      <w:r>
        <w:rPr>
          <w:rFonts w:hint="eastAsia" w:ascii="宋体" w:hAnsi="宋体" w:cs="宋体"/>
          <w:b/>
          <w:sz w:val="32"/>
          <w:szCs w:val="32"/>
        </w:rPr>
        <w:t>部门职责：</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一）贯彻执行党和国家文化、广播电视、网络视听节目、体育和旅游工作方针政策和法律法规。研究拟订全县文化、广播电视、体育和旅游政策措施，起草全县文化、广播电视、网络视听节目服务管理、体育和旅游地方性法规、政府规章和规范性文件草案。</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（二）拟订全县文化事业、文化产业、广播电视领域、体育事业、体育产业和旅游业发展规划并组织实施，推进文化、广播电视、体育和旅游融合发展，推进文化、广播电视、体育和旅游体制机制改革。</w:t>
      </w:r>
    </w:p>
    <w:p>
      <w:pPr>
        <w:adjustRightInd w:val="0"/>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三）管理和组织全县性重大文化、体育和旅游活动，组织实施全县广播电视公共服务重大公益工程和公益活动。指导和监管全县重点文化、体育和旅游设施建设，组织赞皇文化、体育和旅游整体形象推广，促进对外合作和国际市场推广；指导、组织推进全域旅游。</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（四）指导、管理全县文艺事业。指导艺术创作生产，扶持体现社会主义核心价值观、具有导向性代表性示范性的文艺作品，推动全县各门类艺术、各艺术品种发展。指导全县电视剧行业发展和电视剧创作生产。</w:t>
      </w:r>
    </w:p>
    <w:p>
      <w:pPr>
        <w:adjustRightInd w:val="0"/>
        <w:spacing w:line="570" w:lineRule="exact"/>
        <w:ind w:firstLine="640" w:firstLineChars="200"/>
        <w:rPr>
          <w:rFonts w:ascii="仿宋" w:hAnsi="仿宋" w:eastAsia="仿宋" w:cs="仿宋"/>
          <w:sz w:val="32"/>
          <w:szCs w:val="32"/>
        </w:rPr>
      </w:pPr>
      <w:r>
        <w:rPr>
          <w:rFonts w:hint="eastAsia" w:ascii="仿宋" w:hAnsi="仿宋" w:eastAsia="仿宋" w:cs="仿宋"/>
          <w:snapToGrid w:val="0"/>
          <w:kern w:val="0"/>
          <w:sz w:val="32"/>
          <w:szCs w:val="32"/>
        </w:rPr>
        <w:t>（五）负责统筹规划全县群众体育发展，推行全民健身计划，开展群众性体育活动，实施国家体育锻炼标准，开展国民体质监测，负责公共体育设施建设及监督管理工作。</w:t>
      </w:r>
    </w:p>
    <w:p>
      <w:pPr>
        <w:adjustRightInd w:val="0"/>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（六）</w:t>
      </w:r>
      <w:r>
        <w:rPr>
          <w:rFonts w:hint="eastAsia" w:ascii="仿宋" w:hAnsi="仿宋" w:eastAsia="仿宋" w:cs="仿宋"/>
          <w:snapToGrid w:val="0"/>
          <w:kern w:val="0"/>
          <w:sz w:val="32"/>
          <w:szCs w:val="32"/>
        </w:rPr>
        <w:t>负责统筹规划全县竞技体育发展，确定全县青少年体育项目的设置和布局，指导全县青少年业余训练机构开展业余训练，建设县级青少年竞赛体系，组织协调由县级承办的重要竞技体育赛事，组织开展全县青少年反兴奋剂工作。</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（七）负责全县文化、广播电视、体育和旅游事业发展。推动全县文化、广播电视、体育和旅游公共服务体系建设，深入实施文化惠民工程，统筹推进全县文化、广播电视、体育和旅游服务标准化、均等化。</w:t>
      </w:r>
    </w:p>
    <w:p>
      <w:pPr>
        <w:spacing w:line="570" w:lineRule="exact"/>
        <w:ind w:firstLine="640" w:firstLineChars="200"/>
        <w:rPr>
          <w:rFonts w:ascii="仿宋" w:hAnsi="仿宋" w:eastAsia="仿宋" w:cs="仿宋"/>
          <w:color w:val="FF0000"/>
          <w:sz w:val="32"/>
          <w:szCs w:val="32"/>
        </w:rPr>
      </w:pPr>
      <w:r>
        <w:rPr>
          <w:rFonts w:hint="eastAsia" w:ascii="仿宋" w:hAnsi="仿宋" w:eastAsia="仿宋" w:cs="仿宋"/>
          <w:color w:val="000000"/>
          <w:sz w:val="32"/>
          <w:szCs w:val="32"/>
        </w:rPr>
        <w:t>（八）</w:t>
      </w:r>
      <w:r>
        <w:rPr>
          <w:rFonts w:hint="eastAsia" w:ascii="仿宋" w:hAnsi="仿宋" w:eastAsia="仿宋" w:cs="仿宋"/>
          <w:sz w:val="32"/>
          <w:szCs w:val="32"/>
        </w:rPr>
        <w:t>指导、推进全县文化、广播电视、体育和旅游科技创新发展，推进文化、体育和旅游行业信息化、标准化建设；</w:t>
      </w:r>
      <w:r>
        <w:rPr>
          <w:rFonts w:hint="eastAsia" w:ascii="仿宋" w:hAnsi="仿宋" w:eastAsia="仿宋" w:cs="仿宋"/>
          <w:color w:val="000000"/>
          <w:sz w:val="32"/>
          <w:szCs w:val="32"/>
        </w:rPr>
        <w:t>负责对广播电视节目传输覆盖、监听、监看、监测的监管，指导、监管全县广播电视广告播放；推进全县应急广播体系建设，监管协调调度全县广播电视安全播出。</w:t>
      </w:r>
    </w:p>
    <w:p>
      <w:pPr>
        <w:pStyle w:val="2"/>
        <w:spacing w:line="570" w:lineRule="exact"/>
        <w:ind w:firstLine="640" w:firstLineChars="200"/>
        <w:rPr>
          <w:rFonts w:ascii="仿宋" w:hAnsi="仿宋" w:eastAsia="仿宋" w:cs="仿宋"/>
          <w:color w:val="000000"/>
          <w:sz w:val="32"/>
          <w:szCs w:val="32"/>
        </w:rPr>
      </w:pPr>
      <w:r>
        <w:rPr>
          <w:rFonts w:hint="eastAsia" w:ascii="仿宋" w:hAnsi="仿宋" w:eastAsia="仿宋" w:cs="仿宋"/>
          <w:sz w:val="32"/>
          <w:szCs w:val="32"/>
        </w:rPr>
        <w:t>（九）</w:t>
      </w:r>
      <w:r>
        <w:rPr>
          <w:rFonts w:hint="eastAsia" w:ascii="仿宋" w:hAnsi="仿宋" w:eastAsia="仿宋" w:cs="仿宋"/>
          <w:color w:val="000000"/>
          <w:sz w:val="32"/>
          <w:szCs w:val="32"/>
        </w:rPr>
        <w:t>负责对全县各类广播电视机构进行业务指导和监管，会同有关部门对全县网络视听节目服务机构进行管理，推进广播电视与新媒体新技术新业态融合发展，推进广电网与电信网、互联网三网融合。</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（十）负责全县非物质文化遗产保护，推动非物质文化遗产的保护、传承、普及、弘扬和振兴。</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（十一）统筹规划全县文化产业、广播电视产业、体育产业和旅游产业。组织实施文化、体育和旅游资源普查、挖掘、保护和开发利用工作，促进文化产业、广播电视产业、体育产业和旅游产业发展。</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十二）指导全县文化、广播电视、体育和旅游市场发展。对文化、广播电视、体育和旅游市场经营进行行业监管，推进全县文化、广播电视、体育和旅游行业信用体系建设，依法规范文化、广播电视、体育和旅游市场。</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（十三）负责全县文化、文物、出版、广播电视、电影、体育、旅游等市场综合执法。督查督办全县性、跨区域性大案要案，维护市场秩序。</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（十四）负责文化遗产的管理和保护，指导和管理文物、博物馆事业，组织指导文物的保护抢救、考古发掘和开发利用工作。</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（十五）承担全县文化、广播电视、体育和旅游行业安全综合协调和监督管理工作，负责全县文化、广播电视、体育和旅游行业突发应急事件的处理工作。</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十六）指导、管理全县文化、广播电视、体育和旅游对外及对港澳台交流、合作和宣传、推广工作。代表县政府签订对外文化、广播电视、体育和旅游合作交流协定，组织大型文化、广播电视、体育和旅游对外及对港澳台交流活动。</w:t>
      </w:r>
    </w:p>
    <w:p>
      <w:pPr>
        <w:spacing w:line="570" w:lineRule="exact"/>
        <w:ind w:firstLine="640" w:firstLineChars="200"/>
        <w:rPr>
          <w:rFonts w:ascii="仿宋" w:hAnsi="仿宋" w:eastAsia="仿宋" w:cs="仿宋"/>
          <w:sz w:val="32"/>
          <w:szCs w:val="32"/>
        </w:rPr>
      </w:pPr>
      <w:r>
        <w:rPr>
          <w:rFonts w:hint="eastAsia" w:ascii="仿宋" w:hAnsi="仿宋" w:eastAsia="仿宋" w:cs="仿宋"/>
          <w:sz w:val="32"/>
          <w:szCs w:val="32"/>
        </w:rPr>
        <w:t>（十七）完成县委、县政府交办的其他任务。</w:t>
      </w:r>
    </w:p>
    <w:p>
      <w:pPr>
        <w:spacing w:line="570" w:lineRule="exact"/>
        <w:ind w:firstLine="640" w:firstLineChars="200"/>
        <w:rPr>
          <w:rFonts w:ascii="仿宋" w:hAnsi="仿宋" w:eastAsia="仿宋" w:cs="仿宋"/>
          <w:sz w:val="32"/>
          <w:szCs w:val="32"/>
          <w:shd w:val="clear" w:color="auto" w:fill="FFFFFF"/>
        </w:rPr>
      </w:pPr>
      <w:r>
        <w:rPr>
          <w:rFonts w:hint="eastAsia" w:ascii="仿宋" w:hAnsi="仿宋" w:eastAsia="仿宋" w:cs="仿宋"/>
          <w:sz w:val="32"/>
          <w:szCs w:val="32"/>
        </w:rPr>
        <w:t>县文化广电体育和旅游局设下列内设机构：办公室、规划发展科、</w:t>
      </w:r>
      <w:r>
        <w:rPr>
          <w:rFonts w:hint="eastAsia" w:ascii="仿宋" w:hAnsi="仿宋" w:eastAsia="仿宋" w:cs="仿宋"/>
          <w:sz w:val="32"/>
          <w:szCs w:val="32"/>
          <w:shd w:val="clear" w:color="auto" w:fill="FFFFFF"/>
        </w:rPr>
        <w:t>公共服务科、体育科。</w:t>
      </w:r>
    </w:p>
    <w:p>
      <w:pPr>
        <w:spacing w:line="570" w:lineRule="exact"/>
        <w:rPr>
          <w:rFonts w:ascii="仿宋" w:hAnsi="仿宋" w:eastAsia="仿宋" w:cs="仿宋"/>
          <w:sz w:val="32"/>
          <w:szCs w:val="32"/>
        </w:rPr>
      </w:pPr>
    </w:p>
    <w:p>
      <w:pPr>
        <w:autoSpaceDE w:val="0"/>
        <w:autoSpaceDN w:val="0"/>
        <w:adjustRightInd w:val="0"/>
        <w:ind w:left="198" w:firstLine="643" w:firstLineChars="200"/>
        <w:jc w:val="left"/>
        <w:rPr>
          <w:rFonts w:ascii="仿宋" w:hAnsi="仿宋" w:eastAsia="仿宋" w:cs="仿宋"/>
          <w:b/>
          <w:sz w:val="32"/>
          <w:szCs w:val="32"/>
        </w:rPr>
      </w:pPr>
    </w:p>
    <w:p>
      <w:pPr>
        <w:autoSpaceDE w:val="0"/>
        <w:autoSpaceDN w:val="0"/>
        <w:adjustRightInd w:val="0"/>
        <w:ind w:left="198" w:firstLine="640" w:firstLineChars="200"/>
        <w:jc w:val="left"/>
        <w:rPr>
          <w:rFonts w:ascii="????_GBK" w:hAnsi="Times New Roman" w:eastAsia="Times New Roman"/>
          <w:b/>
          <w:sz w:val="32"/>
          <w:szCs w:val="32"/>
        </w:rPr>
      </w:pPr>
      <w:r>
        <w:rPr>
          <w:rFonts w:ascii="????_GBK" w:hAnsi="Times New Roman" w:eastAsia="Times New Roman"/>
          <w:b/>
          <w:sz w:val="32"/>
          <w:szCs w:val="32"/>
        </w:rPr>
        <w:t>机构设置：</w:t>
      </w:r>
    </w:p>
    <w:p>
      <w:pPr>
        <w:jc w:val="center"/>
        <w:outlineLvl w:val="0"/>
        <w:rPr>
          <w:rFonts w:ascii="Times New Roman" w:hAnsi="Times New Roman"/>
          <w:sz w:val="32"/>
          <w:szCs w:val="24"/>
        </w:rPr>
      </w:pPr>
      <w:r>
        <w:rPr>
          <w:rFonts w:hint="eastAsia" w:ascii="宋体" w:hAnsi="宋体" w:cs="宋体"/>
          <w:sz w:val="32"/>
          <w:szCs w:val="24"/>
        </w:rPr>
        <w:t>部门机构设置情况</w:t>
      </w:r>
    </w:p>
    <w:tbl>
      <w:tblPr>
        <w:tblStyle w:val="9"/>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vAlign w:val="center"/>
          </w:tcPr>
          <w:p>
            <w:pPr>
              <w:spacing w:line="300" w:lineRule="exact"/>
              <w:jc w:val="left"/>
              <w:outlineLvl w:val="0"/>
            </w:pPr>
          </w:p>
        </w:tc>
        <w:tc>
          <w:tcPr>
            <w:tcW w:w="1134"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301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pPr>
              <w:spacing w:line="300" w:lineRule="exact"/>
              <w:jc w:val="left"/>
              <w:rPr>
                <w:rFonts w:ascii="方正书宋_GBK" w:eastAsia="方正书宋_GBK"/>
              </w:rPr>
            </w:pPr>
            <w:r>
              <w:rPr>
                <w:rFonts w:hint="eastAsia" w:ascii="方正书宋_GBK" w:eastAsia="方正书宋_GBK"/>
              </w:rPr>
              <w:t>赞皇县文化广电体育和旅游局</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ind w:firstLine="64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按照预算管理有关规定，目前我县部门预算的编制实行综合预算管理，即全部收入和支出都反映在预算中。赞皇县文化广电体育和旅游局机关及所属事业单位的收支包含在部门预算中。</w:t>
      </w:r>
    </w:p>
    <w:p>
      <w:pPr>
        <w:ind w:firstLine="643" w:firstLineChars="200"/>
        <w:rPr>
          <w:rFonts w:ascii="仿宋" w:hAnsi="仿宋" w:eastAsia="仿宋" w:cs="仿宋"/>
          <w:b/>
          <w:bCs/>
          <w:sz w:val="32"/>
          <w:szCs w:val="32"/>
        </w:rPr>
      </w:pPr>
      <w:r>
        <w:rPr>
          <w:rFonts w:ascii="仿宋" w:hAnsi="仿宋" w:eastAsia="仿宋" w:cs="仿宋"/>
          <w:b/>
          <w:bCs/>
          <w:sz w:val="32"/>
          <w:szCs w:val="32"/>
        </w:rPr>
        <w:t>1</w:t>
      </w:r>
      <w:r>
        <w:rPr>
          <w:rFonts w:hint="eastAsia" w:ascii="仿宋" w:hAnsi="仿宋" w:eastAsia="仿宋" w:cs="仿宋"/>
          <w:b/>
          <w:bCs/>
          <w:sz w:val="32"/>
          <w:szCs w:val="32"/>
        </w:rPr>
        <w:t>、收入说明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2020</w:t>
      </w:r>
      <w:r>
        <w:rPr>
          <w:rFonts w:hint="eastAsia" w:ascii="仿宋" w:hAnsi="仿宋" w:eastAsia="仿宋" w:cs="仿宋"/>
          <w:sz w:val="32"/>
          <w:szCs w:val="32"/>
        </w:rPr>
        <w:t>年预算收入</w:t>
      </w:r>
      <w:r>
        <w:rPr>
          <w:rFonts w:ascii="仿宋" w:hAnsi="仿宋" w:eastAsia="仿宋" w:cs="仿宋"/>
          <w:sz w:val="32"/>
          <w:szCs w:val="32"/>
        </w:rPr>
        <w:t>1108.37</w:t>
      </w:r>
      <w:r>
        <w:rPr>
          <w:rFonts w:hint="eastAsia" w:ascii="仿宋" w:hAnsi="仿宋" w:eastAsia="仿宋" w:cs="仿宋"/>
          <w:sz w:val="32"/>
          <w:szCs w:val="32"/>
        </w:rPr>
        <w:t>万元，其中：一般公共预算收入</w:t>
      </w:r>
      <w:r>
        <w:rPr>
          <w:rFonts w:ascii="仿宋" w:hAnsi="仿宋" w:eastAsia="仿宋" w:cs="仿宋"/>
          <w:sz w:val="32"/>
          <w:szCs w:val="32"/>
        </w:rPr>
        <w:t>968.37</w:t>
      </w:r>
      <w:r>
        <w:rPr>
          <w:rFonts w:hint="eastAsia" w:ascii="仿宋" w:hAnsi="仿宋" w:eastAsia="仿宋" w:cs="仿宋"/>
          <w:sz w:val="32"/>
          <w:szCs w:val="32"/>
        </w:rPr>
        <w:t>万元，基金预算收入</w:t>
      </w:r>
      <w:r>
        <w:rPr>
          <w:rFonts w:ascii="仿宋" w:hAnsi="仿宋" w:eastAsia="仿宋" w:cs="仿宋"/>
          <w:sz w:val="32"/>
          <w:szCs w:val="32"/>
        </w:rPr>
        <w:t>140</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pPr>
        <w:ind w:firstLine="643" w:firstLineChars="200"/>
        <w:rPr>
          <w:rFonts w:ascii="仿宋" w:hAnsi="仿宋" w:eastAsia="仿宋" w:cs="仿宋"/>
          <w:b/>
          <w:bCs/>
          <w:sz w:val="32"/>
          <w:szCs w:val="32"/>
        </w:rPr>
      </w:pPr>
      <w:r>
        <w:rPr>
          <w:rFonts w:ascii="仿宋" w:hAnsi="仿宋" w:eastAsia="仿宋" w:cs="仿宋"/>
          <w:b/>
          <w:bCs/>
          <w:sz w:val="32"/>
          <w:szCs w:val="32"/>
        </w:rPr>
        <w:t>2</w:t>
      </w:r>
      <w:r>
        <w:rPr>
          <w:rFonts w:hint="eastAsia" w:ascii="仿宋" w:hAnsi="仿宋" w:eastAsia="仿宋" w:cs="仿宋"/>
          <w:b/>
          <w:bCs/>
          <w:sz w:val="32"/>
          <w:szCs w:val="32"/>
        </w:rPr>
        <w:t>、支出说明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收支预算总表支出栏、基本支出表、项目支出表按经济分类和支出功能分类科目编制，反映赞皇县文化广电体育和旅游局年度部门预算中支出预算的总体情况。</w:t>
      </w:r>
      <w:r>
        <w:rPr>
          <w:rFonts w:ascii="仿宋" w:hAnsi="仿宋" w:eastAsia="仿宋" w:cs="仿宋"/>
          <w:sz w:val="32"/>
          <w:szCs w:val="32"/>
        </w:rPr>
        <w:t>2020</w:t>
      </w:r>
      <w:r>
        <w:rPr>
          <w:rFonts w:hint="eastAsia" w:ascii="仿宋" w:hAnsi="仿宋" w:eastAsia="仿宋" w:cs="仿宋"/>
          <w:sz w:val="32"/>
          <w:szCs w:val="32"/>
        </w:rPr>
        <w:t>年支出预算</w:t>
      </w:r>
      <w:r>
        <w:rPr>
          <w:rFonts w:ascii="仿宋" w:hAnsi="仿宋" w:eastAsia="仿宋" w:cs="仿宋"/>
          <w:sz w:val="32"/>
          <w:szCs w:val="32"/>
        </w:rPr>
        <w:t>1108.34</w:t>
      </w:r>
      <w:r>
        <w:rPr>
          <w:rFonts w:hint="eastAsia" w:ascii="仿宋" w:hAnsi="仿宋" w:eastAsia="仿宋" w:cs="仿宋"/>
          <w:sz w:val="32"/>
          <w:szCs w:val="32"/>
        </w:rPr>
        <w:t>万元，其中基本支出</w:t>
      </w:r>
      <w:r>
        <w:rPr>
          <w:rFonts w:ascii="仿宋" w:hAnsi="仿宋" w:eastAsia="仿宋" w:cs="仿宋"/>
          <w:sz w:val="32"/>
          <w:szCs w:val="32"/>
        </w:rPr>
        <w:t>421.68</w:t>
      </w:r>
      <w:r>
        <w:rPr>
          <w:rFonts w:hint="eastAsia" w:ascii="仿宋" w:hAnsi="仿宋" w:eastAsia="仿宋" w:cs="仿宋"/>
          <w:sz w:val="32"/>
          <w:szCs w:val="32"/>
        </w:rPr>
        <w:t>万元，包括人员经费</w:t>
      </w:r>
      <w:r>
        <w:rPr>
          <w:rFonts w:ascii="仿宋" w:hAnsi="仿宋" w:eastAsia="仿宋" w:cs="仿宋"/>
          <w:sz w:val="32"/>
          <w:szCs w:val="32"/>
        </w:rPr>
        <w:t>365.43</w:t>
      </w:r>
      <w:r>
        <w:rPr>
          <w:rFonts w:hint="eastAsia" w:ascii="仿宋" w:hAnsi="仿宋" w:eastAsia="仿宋" w:cs="仿宋"/>
          <w:sz w:val="32"/>
          <w:szCs w:val="32"/>
        </w:rPr>
        <w:t>万元和日常公用经费</w:t>
      </w:r>
      <w:r>
        <w:rPr>
          <w:rFonts w:ascii="仿宋" w:hAnsi="仿宋" w:eastAsia="仿宋" w:cs="仿宋"/>
          <w:sz w:val="32"/>
          <w:szCs w:val="32"/>
        </w:rPr>
        <w:t>56.25</w:t>
      </w:r>
      <w:r>
        <w:rPr>
          <w:rFonts w:hint="eastAsia" w:ascii="仿宋" w:hAnsi="仿宋" w:eastAsia="仿宋" w:cs="仿宋"/>
          <w:sz w:val="32"/>
          <w:szCs w:val="32"/>
        </w:rPr>
        <w:t>万元；项目支出686</w:t>
      </w:r>
      <w:r>
        <w:rPr>
          <w:rFonts w:ascii="仿宋" w:hAnsi="仿宋" w:eastAsia="仿宋" w:cs="仿宋"/>
          <w:sz w:val="32"/>
          <w:szCs w:val="32"/>
        </w:rPr>
        <w:t>.69</w:t>
      </w:r>
      <w:r>
        <w:rPr>
          <w:rFonts w:hint="eastAsia" w:ascii="仿宋" w:hAnsi="仿宋" w:eastAsia="仿宋" w:cs="仿宋"/>
          <w:sz w:val="32"/>
          <w:szCs w:val="32"/>
        </w:rPr>
        <w:t>万元。包括本级支出和对下补助支出，主要为其他文化体育与传媒支出、其他文化和旅游支出、艺术表演团体、旅游行业业务管理、文物保护及体育发展等。</w:t>
      </w:r>
    </w:p>
    <w:p>
      <w:pPr>
        <w:tabs>
          <w:tab w:val="left" w:pos="599"/>
        </w:tabs>
        <w:ind w:firstLine="643" w:firstLineChars="200"/>
        <w:rPr>
          <w:rFonts w:ascii="仿宋" w:hAnsi="仿宋" w:eastAsia="仿宋" w:cs="仿宋"/>
          <w:b/>
          <w:bCs/>
          <w:sz w:val="32"/>
          <w:szCs w:val="32"/>
        </w:rPr>
      </w:pPr>
      <w:r>
        <w:rPr>
          <w:rFonts w:hint="eastAsia" w:ascii="仿宋" w:hAnsi="仿宋" w:eastAsia="仿宋" w:cs="仿宋"/>
          <w:b/>
          <w:bCs/>
          <w:sz w:val="32"/>
          <w:szCs w:val="32"/>
        </w:rPr>
        <w:t>3、比上年增减情况</w:t>
      </w:r>
    </w:p>
    <w:p>
      <w:pPr>
        <w:ind w:firstLine="640" w:firstLineChars="200"/>
        <w:rPr>
          <w:rFonts w:ascii="仿宋" w:hAnsi="仿宋" w:eastAsia="仿宋" w:cs="仿宋"/>
          <w:sz w:val="32"/>
          <w:szCs w:val="32"/>
        </w:rPr>
      </w:pPr>
      <w:r>
        <w:rPr>
          <w:rFonts w:hint="eastAsia" w:ascii="仿宋" w:hAnsi="仿宋" w:eastAsia="仿宋" w:cs="仿宋"/>
          <w:sz w:val="32"/>
          <w:szCs w:val="32"/>
        </w:rPr>
        <w:t>2020年预算收支安排1108.37万元，较2019年预算同比减少103.39万元，其中：基本支出增加2.01万元，主要因人员变动；项目支出减少105.4万元，主要为机构改革职责划分，对应经费预算划归其他部门。</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640" w:firstLineChars="200"/>
        <w:rPr>
          <w:rFonts w:ascii="仿宋" w:hAnsi="仿宋" w:eastAsia="仿宋" w:cs="仿宋"/>
          <w:sz w:val="32"/>
          <w:szCs w:val="32"/>
        </w:rPr>
      </w:pPr>
      <w:r>
        <w:rPr>
          <w:rFonts w:ascii="仿宋" w:hAnsi="仿宋" w:eastAsia="仿宋" w:cs="仿宋"/>
          <w:sz w:val="32"/>
          <w:szCs w:val="32"/>
        </w:rPr>
        <w:t>2020</w:t>
      </w:r>
      <w:r>
        <w:rPr>
          <w:rFonts w:hint="eastAsia" w:ascii="仿宋" w:hAnsi="仿宋" w:eastAsia="仿宋" w:cs="仿宋"/>
          <w:sz w:val="32"/>
          <w:szCs w:val="32"/>
        </w:rPr>
        <w:t>年，部门机关运行经费共计安排</w:t>
      </w:r>
      <w:r>
        <w:rPr>
          <w:rFonts w:ascii="仿宋" w:hAnsi="仿宋" w:eastAsia="仿宋" w:cs="仿宋"/>
          <w:sz w:val="32"/>
          <w:szCs w:val="32"/>
        </w:rPr>
        <w:t>56.25</w:t>
      </w:r>
      <w:r>
        <w:rPr>
          <w:rFonts w:hint="eastAsia" w:ascii="仿宋" w:hAnsi="仿宋" w:eastAsia="仿宋" w:cs="仿宋"/>
          <w:sz w:val="32"/>
          <w:szCs w:val="32"/>
        </w:rPr>
        <w:t>万元，</w:t>
      </w:r>
      <w:r>
        <w:rPr>
          <w:rFonts w:hint="eastAsia" w:ascii="仿宋_GB2312" w:hAnsi="仿宋_GB2312" w:eastAsia="仿宋_GB2312" w:cs="仿宋_GB2312"/>
          <w:sz w:val="32"/>
          <w:szCs w:val="32"/>
        </w:rPr>
        <w:t>主要用于其他交通费用、邮电费、办公设备购置、全民健身中心办公</w:t>
      </w:r>
      <w:r>
        <w:rPr>
          <w:rFonts w:hint="eastAsia" w:ascii="仿宋" w:hAnsi="仿宋" w:eastAsia="仿宋" w:cs="仿宋"/>
          <w:sz w:val="32"/>
          <w:szCs w:val="32"/>
        </w:rPr>
        <w:t>等日常运行支出。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ind w:firstLine="640" w:firstLineChars="200"/>
        <w:rPr>
          <w:rFonts w:ascii="仿宋" w:hAnsi="仿宋" w:eastAsia="仿宋" w:cs="仿宋"/>
          <w:sz w:val="32"/>
          <w:szCs w:val="32"/>
        </w:rPr>
      </w:pPr>
      <w:r>
        <w:rPr>
          <w:rFonts w:ascii="仿宋" w:hAnsi="仿宋" w:eastAsia="仿宋" w:cs="仿宋"/>
          <w:sz w:val="32"/>
          <w:szCs w:val="32"/>
        </w:rPr>
        <w:t>2020</w:t>
      </w:r>
      <w:r>
        <w:rPr>
          <w:rFonts w:hint="eastAsia" w:ascii="仿宋" w:hAnsi="仿宋" w:eastAsia="仿宋" w:cs="仿宋"/>
          <w:sz w:val="32"/>
          <w:szCs w:val="32"/>
        </w:rPr>
        <w:t>年，我局财政拨款“三公”经费预算安排</w:t>
      </w:r>
      <w:r>
        <w:rPr>
          <w:rFonts w:ascii="仿宋" w:hAnsi="仿宋" w:eastAsia="仿宋" w:cs="仿宋"/>
          <w:sz w:val="32"/>
          <w:szCs w:val="32"/>
        </w:rPr>
        <w:t>0</w:t>
      </w:r>
      <w:r>
        <w:rPr>
          <w:rFonts w:hint="eastAsia" w:ascii="仿宋" w:hAnsi="仿宋" w:eastAsia="仿宋" w:cs="仿宋"/>
          <w:sz w:val="32"/>
          <w:szCs w:val="32"/>
        </w:rPr>
        <w:t>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w:t>
      </w:r>
      <w:r>
        <w:rPr>
          <w:rFonts w:ascii="仿宋" w:hAnsi="仿宋" w:eastAsia="仿宋" w:cs="仿宋"/>
          <w:sz w:val="32"/>
          <w:szCs w:val="32"/>
        </w:rPr>
        <w:t>0</w:t>
      </w:r>
      <w:r>
        <w:rPr>
          <w:rFonts w:hint="eastAsia" w:ascii="仿宋" w:hAnsi="仿宋" w:eastAsia="仿宋" w:cs="仿宋"/>
          <w:sz w:val="32"/>
          <w:szCs w:val="32"/>
        </w:rPr>
        <w:t>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w:t>
      </w:r>
      <w:r>
        <w:rPr>
          <w:rFonts w:ascii="仿宋" w:hAnsi="仿宋" w:eastAsia="仿宋" w:cs="仿宋"/>
          <w:sz w:val="32"/>
          <w:szCs w:val="32"/>
        </w:rPr>
        <w:t>0</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0</w:t>
      </w:r>
      <w:r>
        <w:rPr>
          <w:rFonts w:hint="eastAsia" w:ascii="仿宋" w:hAnsi="仿宋" w:eastAsia="仿宋" w:cs="仿宋"/>
          <w:sz w:val="32"/>
          <w:szCs w:val="32"/>
        </w:rPr>
        <w:t>万元。与上年比无变化。</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五、绩效预算信息</w:t>
      </w:r>
    </w:p>
    <w:p>
      <w:pPr>
        <w:ind w:firstLine="643" w:firstLineChars="200"/>
        <w:jc w:val="left"/>
        <w:rPr>
          <w:rFonts w:ascii="楷体" w:hAnsi="楷体" w:eastAsia="楷体"/>
          <w:b/>
          <w:sz w:val="32"/>
          <w:szCs w:val="32"/>
        </w:rPr>
      </w:pPr>
      <w:r>
        <w:rPr>
          <w:rFonts w:hint="eastAsia" w:ascii="楷体" w:hAnsi="楷体" w:eastAsia="楷体"/>
          <w:b/>
          <w:sz w:val="32"/>
          <w:szCs w:val="32"/>
        </w:rPr>
        <w:t>第一部分部门整体绩效目标</w:t>
      </w:r>
    </w:p>
    <w:p>
      <w:pPr>
        <w:ind w:firstLine="643" w:firstLineChars="200"/>
        <w:jc w:val="left"/>
        <w:rPr>
          <w:rFonts w:ascii="仿宋" w:hAnsi="仿宋" w:eastAsia="仿宋"/>
          <w:b/>
          <w:sz w:val="32"/>
          <w:szCs w:val="32"/>
        </w:rPr>
      </w:pPr>
      <w:r>
        <w:rPr>
          <w:rFonts w:hint="eastAsia" w:ascii="仿宋" w:hAnsi="仿宋" w:eastAsia="仿宋"/>
          <w:b/>
          <w:sz w:val="32"/>
          <w:szCs w:val="32"/>
        </w:rPr>
        <w:t>（一）总体绩效目标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管理和指导全县文化建设，推进文化发展环境能力建设，提供公共文化服务、文化艺术资源建设和文化艺术生产。指导、组织全县优秀文化产品、服务和品牌活动宣传推介；组织全县文化交流活动。不断增大我县文化产业产值，扩大我县文化影响力。</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加强我县文化市场监管和法制宣传，打击违法活动，查处违法案件，负责全县扫黄打非工作。统筹规划并组织实施广播电视产业发展,推进广电网与电信网、互联网三网融合；推动多元化体育服务体系建设，推动体育公共服务；规范体育服务管理工作。指导、组织开展文化保护工作；组织实施优秀民族文化的传承普及工作；维护国家文化安全。对全县的文物进行保护、对文物进行征集：编制全县域3A级旅游景区总体规划，积极配合县政府创建全县域3A级旅游景区，加大景区的升级改造力度。</w:t>
      </w:r>
    </w:p>
    <w:p>
      <w:pPr>
        <w:ind w:firstLine="643" w:firstLineChars="200"/>
        <w:jc w:val="left"/>
        <w:rPr>
          <w:rFonts w:ascii="仿宋" w:hAnsi="仿宋" w:eastAsia="仿宋"/>
          <w:b/>
          <w:sz w:val="32"/>
          <w:szCs w:val="32"/>
        </w:rPr>
      </w:pPr>
      <w:r>
        <w:rPr>
          <w:rFonts w:hint="eastAsia" w:ascii="仿宋" w:hAnsi="仿宋" w:eastAsia="仿宋"/>
          <w:b/>
          <w:sz w:val="32"/>
          <w:szCs w:val="32"/>
        </w:rPr>
        <w:t>（二）分项绩效目标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（一）文化艺术管理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 绩效目标：文化发展环境健康向上，文化发展能力不断增强，文化艺术资源丰富，公共文化服务和文化艺术生产水平不断提高。</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绩效指标：公共文化设施达标，机构和队伍健全，实现公共文化资源共享，形成城乡一体公共文化服务网络；公共文化产品生产和服务能力提高，基本公共文化服务标准化、均等化水平不断提高。</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（二）文化市场监管、办案</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绩效目标：严厉打击违法活动，维护我县文化市场、出版物市场的良好有序健康发展。</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绩效指标：指导文化市场行政执法工作。负责对文化经营场所日常监管、文化艺术经营活动行业监管，对从事演艺活动的民办机构进行监管。做好出版物市场检查、案件查处，保证出版物市场洁净有序。</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（三）广播电视产业建设</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绩效目标：指导、协调产业项目开展，统筹规划并组织实施广播电视产业发展,推进广电网与电信网、互联网三网融合。</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绩效指标：推动IPTV播控平台功能完善工作，监督、指导相关单位在全县全面推开IPTV业务。</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（四）体育发展</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绩效目标：加强体育公共服务体系建设，促进全县体育事业全面协调可持续发展。引导全县体育产业繁荣、健康、良性发展。</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绩效指标：推行全民健身计划，发展全民健身事业，完善全民健身公共服务体系；促进全县群众体育活动开展，加强群众体育设施建设，满足群众健身需求，提高群众身体素质和健康水平；</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（五）文化保护</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绩效目标：构建健全的文化保护体系，文化保护工作得到全面加强，优秀文化得到传承和发扬。</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绩效指标：珍贵、濒危的非物质文化遗产得到有效抢救和保护，优秀特色文化得到传承和发扬。</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（六）文物保护</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绩效目标：使全县的文物得到保护，免于被破坏。使更多的文物得到保护。</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绩效指标：珍贵、濒危的非物质文化遗产得到有效抢救和保护，优秀特色文化得到传承和发扬。</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（七）旅游文化事业发展</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绩效目标：利用各种方式宣传推介，参加各类推介会和旅游商品博览会，加大旅游宣传力度。为创建全县域3A级旅游景区奠定基础。</w:t>
      </w:r>
    </w:p>
    <w:p>
      <w:pPr>
        <w:spacing w:line="500" w:lineRule="exact"/>
        <w:ind w:firstLine="640" w:firstLineChars="200"/>
        <w:jc w:val="left"/>
        <w:rPr>
          <w:rFonts w:eastAsia="方正仿宋_GBK"/>
          <w:sz w:val="28"/>
        </w:rPr>
      </w:pPr>
      <w:r>
        <w:rPr>
          <w:rFonts w:hint="eastAsia" w:ascii="仿宋" w:hAnsi="仿宋" w:eastAsia="仿宋" w:cs="仿宋"/>
          <w:sz w:val="32"/>
          <w:szCs w:val="32"/>
        </w:rPr>
        <w:t>绩效指标：编制嶂石岩风景名胜区详细规划，以规进行景区建设，促进嶂石岩景区可持续健康发展。完善景区基础设施建设，打造旅游风</w:t>
      </w:r>
      <w:r>
        <w:rPr>
          <w:rFonts w:hint="eastAsia" w:eastAsia="方正仿宋_GBK"/>
          <w:sz w:val="28"/>
        </w:rPr>
        <w:t>景线。</w:t>
      </w:r>
    </w:p>
    <w:p>
      <w:pPr>
        <w:ind w:firstLine="643" w:firstLineChars="200"/>
        <w:jc w:val="left"/>
        <w:rPr>
          <w:rFonts w:ascii="仿宋" w:hAnsi="仿宋" w:eastAsia="仿宋" w:cs="仿宋_GB2312"/>
          <w:b/>
          <w:sz w:val="32"/>
          <w:szCs w:val="32"/>
        </w:rPr>
      </w:pPr>
      <w:r>
        <w:rPr>
          <w:rFonts w:hint="eastAsia" w:ascii="仿宋" w:hAnsi="仿宋" w:eastAsia="仿宋" w:cs="仿宋_GB2312"/>
          <w:b/>
          <w:sz w:val="32"/>
          <w:szCs w:val="32"/>
        </w:rPr>
        <w:t>（三）工作保障措施</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一、加强公共基础设施建设，加强对各乡镇文化站的人力、财力、物力等方面的投入力度。</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二、经常性组织工作人员及文艺骨干进行学习培训，并为基层更新设备，以促进工作更好开展。 </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三、加强对工作管理制度，实行责任制，以促使工作保质保量按时完成。</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四、加强宣传和交流。利用今日赞皇和电视台等有利媒体，大力宣传举办活动，促进全民参与。并广泛开展交流会促进工作改进及更好实施。</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五、积极跑办申请资金，以更快更好的完成全民健身活动中心及文体中心后续工程的建设。</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围绕县委提出的创建国家级生态文明示范县建设、园林县城建设和“活力赞皇、实力赞皇、平安赞皇、美丽赞皇、幸福赞皇”建设目标，以“三严三实”为抓手，进一步解放思想，转变作风，创新工作思路，强化服务意识和发展意识，努力提升旅游服务水平，借助“京津冀”一体化发展契机，以加快全县域3A级景区建设为统领，继续实施旅游兴县战略，以嶂石岩景区为龙头，整合旅游资源，聚集产业要素，构建“旅游甩袖，百业齐舞”发展大旅游产业格局，加快把我县旅游业培育成为全县国民经济的战略性支柱产业和人民群众更加满意的现代服务业，助力赞皇经济发展和生态文明示范县创建。</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（一）、是加强领导，围绕中心，服务大局，强化服务意识、发展意识和创新意识，进一步转作风、提素质、强服务、促发展，全面提高干部的执行力。</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（二）、是完善目标管理责任制，严格落实目标责任制，量化细化工作目标，责任到人，加强日常督导检查和问责。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（三）、是坚持改革创新、主动作为，进一步解放思想，创新工作理念，自我加压，事争一流，以奋发有为的精神状态，创造性的开展工作。</w:t>
      </w:r>
    </w:p>
    <w:p>
      <w:pPr>
        <w:ind w:firstLine="643" w:firstLineChars="200"/>
        <w:jc w:val="left"/>
        <w:rPr>
          <w:rFonts w:ascii="楷体" w:hAnsi="楷体" w:eastAsia="楷体"/>
          <w:b/>
          <w:sz w:val="32"/>
          <w:szCs w:val="32"/>
        </w:rPr>
      </w:pPr>
    </w:p>
    <w:p>
      <w:pPr>
        <w:ind w:firstLine="643" w:firstLineChars="200"/>
        <w:jc w:val="left"/>
        <w:rPr>
          <w:rFonts w:ascii="楷体" w:hAnsi="楷体" w:eastAsia="楷体"/>
          <w:b/>
          <w:sz w:val="32"/>
          <w:szCs w:val="32"/>
        </w:rPr>
      </w:pPr>
    </w:p>
    <w:p>
      <w:pPr>
        <w:ind w:firstLine="643" w:firstLineChars="200"/>
        <w:jc w:val="left"/>
        <w:rPr>
          <w:rFonts w:ascii="楷体" w:hAnsi="楷体" w:eastAsia="楷体"/>
          <w:b/>
          <w:sz w:val="32"/>
          <w:szCs w:val="32"/>
        </w:rPr>
      </w:pPr>
    </w:p>
    <w:p>
      <w:pPr>
        <w:ind w:firstLine="643" w:firstLineChars="200"/>
        <w:jc w:val="left"/>
        <w:rPr>
          <w:rFonts w:ascii="楷体" w:hAnsi="楷体" w:eastAsia="楷体"/>
          <w:b/>
          <w:sz w:val="32"/>
          <w:szCs w:val="32"/>
        </w:rPr>
      </w:pPr>
    </w:p>
    <w:p>
      <w:pPr>
        <w:ind w:firstLine="643" w:firstLineChars="200"/>
        <w:jc w:val="left"/>
        <w:rPr>
          <w:rFonts w:ascii="楷体" w:hAnsi="楷体" w:eastAsia="楷体"/>
          <w:b/>
          <w:sz w:val="32"/>
          <w:szCs w:val="32"/>
        </w:rPr>
      </w:pPr>
      <w:r>
        <w:rPr>
          <w:rFonts w:hint="eastAsia" w:ascii="楷体" w:hAnsi="楷体" w:eastAsia="楷体"/>
          <w:b/>
          <w:sz w:val="32"/>
          <w:szCs w:val="32"/>
        </w:rPr>
        <w:t>第二部分预算项目绩效目标</w:t>
      </w:r>
    </w:p>
    <w:p>
      <w:pPr>
        <w:ind w:firstLine="562" w:firstLineChars="200"/>
        <w:jc w:val="left"/>
        <w:outlineLvl w:val="1"/>
        <w:rPr>
          <w:rFonts w:hAnsi="宋体"/>
          <w:b/>
          <w:sz w:val="28"/>
        </w:rPr>
      </w:pPr>
      <w:r>
        <w:rPr>
          <w:rFonts w:ascii="方正仿宋_GBK" w:eastAsia="方正仿宋_GBK"/>
          <w:b/>
          <w:sz w:val="28"/>
        </w:rPr>
        <w:t>1</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年保障融媒体中心运转经费（县安排）绩效目标表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0" w:name="_Toc29573836"/>
      <w:r>
        <w:rPr>
          <w:rFonts w:ascii="方正仿宋_GBK" w:eastAsia="方正仿宋_GBK"/>
          <w:b/>
          <w:sz w:val="28"/>
        </w:rPr>
        <w:instrText xml:space="preserve">1</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年保障融媒体中心运转经费（县安排）绩效目标表</w:instrText>
      </w:r>
      <w:bookmarkEnd w:id="0"/>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357-0301-JXN-MFO7</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年保障融媒体中心运转经费（县安排）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用于融媒体中心水费、电费、取暖、安保、日常保洁、中心运转、设备维护、大型活动等支出费用。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、巩固全县文化宣传阵地。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、保障融媒体中心建设的各项任务按时按质完成。</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按照要求和计划完成的工作任务在所有工作任务中的比例（百分比）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在全县的重要影响，得到广大受众的充分认可。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2</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年偿还</w:t>
      </w:r>
      <w:r>
        <w:rPr>
          <w:rFonts w:ascii="方正仿宋_GBK" w:eastAsia="方正仿宋_GBK"/>
          <w:b/>
          <w:sz w:val="28"/>
        </w:rPr>
        <w:t>1996</w:t>
      </w:r>
      <w:r>
        <w:rPr>
          <w:rFonts w:hint="eastAsia" w:ascii="方正仿宋_GBK" w:eastAsia="方正仿宋_GBK"/>
          <w:b/>
          <w:sz w:val="28"/>
        </w:rPr>
        <w:t>年至</w:t>
      </w:r>
      <w:r>
        <w:rPr>
          <w:rFonts w:ascii="方正仿宋_GBK" w:eastAsia="方正仿宋_GBK"/>
          <w:b/>
          <w:sz w:val="28"/>
        </w:rPr>
        <w:t>2000</w:t>
      </w:r>
      <w:r>
        <w:rPr>
          <w:rFonts w:hint="eastAsia" w:ascii="方正仿宋_GBK" w:eastAsia="方正仿宋_GBK"/>
          <w:b/>
          <w:sz w:val="28"/>
        </w:rPr>
        <w:t>年嶂石岩水毁工程旧欠款（县安排）绩效目标表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 w:name="_Toc29573837"/>
      <w:r>
        <w:rPr>
          <w:rFonts w:ascii="方正仿宋_GBK" w:eastAsia="方正仿宋_GBK"/>
          <w:b/>
          <w:sz w:val="28"/>
        </w:rPr>
        <w:instrText xml:space="preserve">2</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年偿还</w:instrText>
      </w:r>
      <w:r>
        <w:rPr>
          <w:rFonts w:ascii="方正仿宋_GBK" w:eastAsia="方正仿宋_GBK"/>
          <w:b/>
          <w:sz w:val="28"/>
        </w:rPr>
        <w:instrText xml:space="preserve">1996</w:instrText>
      </w:r>
      <w:r>
        <w:rPr>
          <w:rFonts w:hint="eastAsia" w:ascii="方正仿宋_GBK" w:eastAsia="方正仿宋_GBK"/>
          <w:b/>
          <w:sz w:val="28"/>
        </w:rPr>
        <w:instrText xml:space="preserve">年至</w:instrText>
      </w:r>
      <w:r>
        <w:rPr>
          <w:rFonts w:ascii="方正仿宋_GBK" w:eastAsia="方正仿宋_GBK"/>
          <w:b/>
          <w:sz w:val="28"/>
        </w:rPr>
        <w:instrText xml:space="preserve">2000</w:instrText>
      </w:r>
      <w:r>
        <w:rPr>
          <w:rFonts w:hint="eastAsia" w:ascii="方正仿宋_GBK" w:eastAsia="方正仿宋_GBK"/>
          <w:b/>
          <w:sz w:val="28"/>
        </w:rPr>
        <w:instrText xml:space="preserve">年嶂石岩水毁工程旧欠款（县安排）绩效目标表</w:instrText>
      </w:r>
      <w:bookmarkEnd w:id="1"/>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357-0302-JXN-V2AB</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年偿还</w:t>
            </w:r>
            <w:r>
              <w:rPr>
                <w:rFonts w:ascii="方正书宋_GBK" w:eastAsia="方正书宋_GBK"/>
              </w:rPr>
              <w:t>1996</w:t>
            </w:r>
            <w:r>
              <w:rPr>
                <w:rFonts w:hint="eastAsia" w:ascii="方正书宋_GBK" w:eastAsia="方正书宋_GBK"/>
              </w:rPr>
              <w:t>年至</w:t>
            </w:r>
            <w:r>
              <w:rPr>
                <w:rFonts w:ascii="方正书宋_GBK" w:eastAsia="方正书宋_GBK"/>
              </w:rPr>
              <w:t>2000</w:t>
            </w:r>
            <w:r>
              <w:rPr>
                <w:rFonts w:hint="eastAsia" w:ascii="方正书宋_GBK" w:eastAsia="方正书宋_GBK"/>
              </w:rPr>
              <w:t>年嶂石岩水毁工程旧欠款（县安排）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28.64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28.64</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用于偿还</w:t>
            </w:r>
            <w:r>
              <w:rPr>
                <w:rFonts w:ascii="方正书宋_GBK" w:eastAsia="方正书宋_GBK"/>
              </w:rPr>
              <w:t>1996</w:t>
            </w:r>
            <w:r>
              <w:rPr>
                <w:rFonts w:hint="eastAsia" w:ascii="方正书宋_GBK" w:eastAsia="方正书宋_GBK"/>
              </w:rPr>
              <w:t>年至</w:t>
            </w:r>
            <w:r>
              <w:rPr>
                <w:rFonts w:ascii="方正书宋_GBK" w:eastAsia="方正书宋_GBK"/>
              </w:rPr>
              <w:t>2000</w:t>
            </w:r>
            <w:r>
              <w:rPr>
                <w:rFonts w:hint="eastAsia" w:ascii="方正书宋_GBK" w:eastAsia="方正书宋_GBK"/>
              </w:rPr>
              <w:t>年嶂石岩水毁工程旧欠款。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、按时保质完成年度任务。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、及时将欠款安全支付到位。</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发放到位率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嶂石岩水毁工程旧欠款发放到位率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年还款计划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还款率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实际还款数占应还款总数的比例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年还款计划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受益人满意度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受益人对还款情况的满意度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3</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年村镇体育健身广场及配套设施建设（县安排）绩效目标表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2" w:name="_Toc29573838"/>
      <w:r>
        <w:rPr>
          <w:rFonts w:ascii="方正仿宋_GBK" w:eastAsia="方正仿宋_GBK"/>
          <w:b/>
          <w:sz w:val="28"/>
        </w:rPr>
        <w:instrText xml:space="preserve">3</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年村镇体育健身广场及配套设施建设（县安排）绩效目标表</w:instrText>
      </w:r>
      <w:bookmarkEnd w:id="2"/>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357-0602-JXN-BFPX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年村镇体育健身广场及配套设施建设（县安排）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用于购置乡镇体育广场篮球架、乒乓球台、健身路径以及农村文体广场健身路径维修维护。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、加强体育公共服务体系建设，促进全县体育事业全面协调可持续发展。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、引导全县体育产业繁荣、健康、良性发展。</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工程量完成率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实际完成工程量占计划完成工程量的比率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完好率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体育健身器材完好数占总数的比率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健身器材维修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相关调查数据</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4</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年农村文化建设</w:t>
      </w:r>
      <w:r>
        <w:rPr>
          <w:rFonts w:ascii="方正仿宋_GBK" w:eastAsia="方正仿宋_GBK"/>
          <w:b/>
          <w:sz w:val="28"/>
        </w:rPr>
        <w:t>—</w:t>
      </w:r>
      <w:r>
        <w:rPr>
          <w:rFonts w:hint="eastAsia" w:ascii="方正仿宋_GBK" w:eastAsia="方正仿宋_GBK"/>
          <w:b/>
          <w:sz w:val="28"/>
        </w:rPr>
        <w:t>村文化活动室设备购置（冀财教</w:t>
      </w:r>
      <w:r>
        <w:rPr>
          <w:rFonts w:ascii="方正仿宋_GBK" w:eastAsia="方正仿宋_GBK"/>
          <w:b/>
          <w:sz w:val="28"/>
        </w:rPr>
        <w:t>[2019]134</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3" w:name="_Toc29573839"/>
      <w:r>
        <w:rPr>
          <w:rFonts w:ascii="方正仿宋_GBK" w:eastAsia="方正仿宋_GBK"/>
          <w:b/>
          <w:sz w:val="28"/>
        </w:rPr>
        <w:instrText xml:space="preserve">4</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年农村文化建设</w:instrText>
      </w:r>
      <w:r>
        <w:rPr>
          <w:rFonts w:ascii="方正仿宋_GBK" w:eastAsia="方正仿宋_GBK"/>
          <w:b/>
          <w:sz w:val="28"/>
        </w:rPr>
        <w:instrText xml:space="preserve">—</w:instrText>
      </w:r>
      <w:r>
        <w:rPr>
          <w:rFonts w:hint="eastAsia" w:ascii="方正仿宋_GBK" w:eastAsia="方正仿宋_GBK"/>
          <w:b/>
          <w:sz w:val="28"/>
        </w:rPr>
        <w:instrText xml:space="preserve">村文化活动室设备购置（冀财教</w:instrText>
      </w:r>
      <w:r>
        <w:rPr>
          <w:rFonts w:ascii="方正仿宋_GBK" w:eastAsia="方正仿宋_GBK"/>
          <w:b/>
          <w:sz w:val="28"/>
        </w:rPr>
        <w:instrText xml:space="preserve">[2019]134</w:instrText>
      </w:r>
      <w:r>
        <w:rPr>
          <w:rFonts w:hint="eastAsia" w:ascii="方正仿宋_GBK" w:eastAsia="方正仿宋_GBK"/>
          <w:b/>
          <w:sz w:val="28"/>
        </w:rPr>
        <w:instrText xml:space="preserve">号）绩效目标表</w:instrText>
      </w:r>
      <w:bookmarkEnd w:id="3"/>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357-0701-JZN-VG9N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年农村文化建设</w:t>
            </w:r>
            <w:r>
              <w:rPr>
                <w:cs/>
              </w:rPr>
              <w:t>—</w:t>
            </w:r>
            <w:r>
              <w:rPr>
                <w:rFonts w:hint="eastAsia" w:ascii="方正书宋_GBK" w:eastAsia="方正书宋_GBK"/>
              </w:rPr>
              <w:t>村文化活动室设备购置（冀财教</w:t>
            </w:r>
            <w:r>
              <w:rPr>
                <w:rFonts w:ascii="方正书宋_GBK" w:eastAsia="方正书宋_GBK"/>
              </w:rPr>
              <w:t>[2019]134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用于村文化活动室的文化活动器材购置。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、充分利用配发文化设备组织开展文化惠民活动。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、保障群众基本文化权益。</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村文化活动室个数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配备文化活动器材的文化活动室个数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文化设备使用数量占设备总数的比例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系列文化活动参与者满意度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系列文化活动参与者满意人数占参与人数的比例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5</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年农村文化建设</w:t>
      </w:r>
      <w:r>
        <w:rPr>
          <w:rFonts w:ascii="方正仿宋_GBK" w:eastAsia="方正仿宋_GBK"/>
          <w:b/>
          <w:sz w:val="28"/>
        </w:rPr>
        <w:t>—</w:t>
      </w:r>
      <w:r>
        <w:rPr>
          <w:rFonts w:hint="eastAsia" w:ascii="方正仿宋_GBK" w:eastAsia="方正仿宋_GBK"/>
          <w:b/>
          <w:sz w:val="28"/>
        </w:rPr>
        <w:t>公共数字文化平台建设（冀财教</w:t>
      </w:r>
      <w:r>
        <w:rPr>
          <w:rFonts w:ascii="方正仿宋_GBK" w:eastAsia="方正仿宋_GBK"/>
          <w:b/>
          <w:sz w:val="28"/>
        </w:rPr>
        <w:t>[2019]134</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4" w:name="_Toc29573840"/>
      <w:r>
        <w:rPr>
          <w:rFonts w:ascii="方正仿宋_GBK" w:eastAsia="方正仿宋_GBK"/>
          <w:b/>
          <w:sz w:val="28"/>
        </w:rPr>
        <w:instrText xml:space="preserve">5</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年农村文化建设</w:instrText>
      </w:r>
      <w:r>
        <w:rPr>
          <w:rFonts w:ascii="方正仿宋_GBK" w:eastAsia="方正仿宋_GBK"/>
          <w:b/>
          <w:sz w:val="28"/>
        </w:rPr>
        <w:instrText xml:space="preserve">—</w:instrText>
      </w:r>
      <w:r>
        <w:rPr>
          <w:rFonts w:hint="eastAsia" w:ascii="方正仿宋_GBK" w:eastAsia="方正仿宋_GBK"/>
          <w:b/>
          <w:sz w:val="28"/>
        </w:rPr>
        <w:instrText xml:space="preserve">公共数字文化平台建设（冀财教</w:instrText>
      </w:r>
      <w:r>
        <w:rPr>
          <w:rFonts w:ascii="方正仿宋_GBK" w:eastAsia="方正仿宋_GBK"/>
          <w:b/>
          <w:sz w:val="28"/>
        </w:rPr>
        <w:instrText xml:space="preserve">[2019]134</w:instrText>
      </w:r>
      <w:r>
        <w:rPr>
          <w:rFonts w:hint="eastAsia" w:ascii="方正仿宋_GBK" w:eastAsia="方正仿宋_GBK"/>
          <w:b/>
          <w:sz w:val="28"/>
        </w:rPr>
        <w:instrText xml:space="preserve">号）绩效目标表</w:instrText>
      </w:r>
      <w:bookmarkEnd w:id="4"/>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357-0701-JZN-OL08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年农村文化建设</w:t>
            </w:r>
            <w:r>
              <w:rPr>
                <w:cs/>
              </w:rPr>
              <w:t>—</w:t>
            </w:r>
            <w:r>
              <w:rPr>
                <w:rFonts w:hint="eastAsia" w:ascii="方正书宋_GBK" w:eastAsia="方正书宋_GBK"/>
              </w:rPr>
              <w:t>公共数字文化平台建设（冀财教</w:t>
            </w:r>
            <w:r>
              <w:rPr>
                <w:rFonts w:ascii="方正书宋_GBK" w:eastAsia="方正书宋_GBK"/>
              </w:rPr>
              <w:t>[2019]134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用于公共图书馆、文化馆（站）、美术馆、公共电子阅览室等公共文化设施开展公共数字文化服务。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、推进公共图书馆、文化馆（站）、美术馆公共数字文化服务。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、促进公共数字文化服务标准体系建设。</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公共数字文化平台建设完成率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公共数字文化平台利用率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利用公共数字文化平台开展公共数字文化服务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6</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年农村文化建设</w:t>
      </w:r>
      <w:r>
        <w:rPr>
          <w:rFonts w:ascii="方正仿宋_GBK" w:eastAsia="方正仿宋_GBK"/>
          <w:b/>
          <w:sz w:val="28"/>
        </w:rPr>
        <w:t>—</w:t>
      </w:r>
      <w:r>
        <w:rPr>
          <w:rFonts w:hint="eastAsia" w:ascii="方正仿宋_GBK" w:eastAsia="方正仿宋_GBK"/>
          <w:b/>
          <w:sz w:val="28"/>
        </w:rPr>
        <w:t>文化广场及配套设施维修维护（冀财教</w:t>
      </w:r>
      <w:r>
        <w:rPr>
          <w:rFonts w:ascii="方正仿宋_GBK" w:eastAsia="方正仿宋_GBK"/>
          <w:b/>
          <w:sz w:val="28"/>
        </w:rPr>
        <w:t>[2019]134</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5" w:name="_Toc29573841"/>
      <w:r>
        <w:rPr>
          <w:rFonts w:ascii="方正仿宋_GBK" w:eastAsia="方正仿宋_GBK"/>
          <w:b/>
          <w:sz w:val="28"/>
        </w:rPr>
        <w:instrText xml:space="preserve">6</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年农村文化建设</w:instrText>
      </w:r>
      <w:r>
        <w:rPr>
          <w:rFonts w:ascii="方正仿宋_GBK" w:eastAsia="方正仿宋_GBK"/>
          <w:b/>
          <w:sz w:val="28"/>
        </w:rPr>
        <w:instrText xml:space="preserve">—</w:instrText>
      </w:r>
      <w:r>
        <w:rPr>
          <w:rFonts w:hint="eastAsia" w:ascii="方正仿宋_GBK" w:eastAsia="方正仿宋_GBK"/>
          <w:b/>
          <w:sz w:val="28"/>
        </w:rPr>
        <w:instrText xml:space="preserve">文化广场及配套设施维修维护（冀财教</w:instrText>
      </w:r>
      <w:r>
        <w:rPr>
          <w:rFonts w:ascii="方正仿宋_GBK" w:eastAsia="方正仿宋_GBK"/>
          <w:b/>
          <w:sz w:val="28"/>
        </w:rPr>
        <w:instrText xml:space="preserve">[2019]134</w:instrText>
      </w:r>
      <w:r>
        <w:rPr>
          <w:rFonts w:hint="eastAsia" w:ascii="方正仿宋_GBK" w:eastAsia="方正仿宋_GBK"/>
          <w:b/>
          <w:sz w:val="28"/>
        </w:rPr>
        <w:instrText xml:space="preserve">号）绩效目标表</w:instrText>
      </w:r>
      <w:bookmarkEnd w:id="5"/>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357-0701-JZN-NQ4X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年农村文化建设</w:t>
            </w:r>
            <w:r>
              <w:rPr>
                <w:cs/>
              </w:rPr>
              <w:t>—</w:t>
            </w:r>
            <w:r>
              <w:rPr>
                <w:rFonts w:hint="eastAsia" w:ascii="方正书宋_GBK" w:eastAsia="方正书宋_GBK"/>
              </w:rPr>
              <w:t>文化广场及配套设施维修维护（冀财教</w:t>
            </w:r>
            <w:r>
              <w:rPr>
                <w:rFonts w:ascii="方正书宋_GBK" w:eastAsia="方正书宋_GBK"/>
              </w:rPr>
              <w:t>[2019]134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主要用于维修扩建文化广场及维护更新配套设施等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、支持和引导全县落实中央和省级基本公共文化服务指导标准和基本公共文化服务实施标准。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、促进基本公共文化服务标准化、均等化，保障群众基本文化权益。</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工作量完成率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实际完成工作量占计划完成工作量的比率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文化广场使用率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文化广场使用个数占文化广场总个数的比例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7</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年农村文化建设</w:t>
      </w:r>
      <w:r>
        <w:rPr>
          <w:rFonts w:ascii="方正仿宋_GBK" w:eastAsia="方正仿宋_GBK"/>
          <w:b/>
          <w:sz w:val="28"/>
        </w:rPr>
        <w:t>—</w:t>
      </w:r>
      <w:r>
        <w:rPr>
          <w:rFonts w:hint="eastAsia" w:ascii="方正仿宋_GBK" w:eastAsia="方正仿宋_GBK"/>
          <w:b/>
          <w:sz w:val="28"/>
        </w:rPr>
        <w:t>戏曲进乡村</w:t>
      </w:r>
      <w:r>
        <w:rPr>
          <w:rFonts w:ascii="方正仿宋_GBK" w:eastAsia="方正仿宋_GBK"/>
          <w:b/>
          <w:sz w:val="28"/>
        </w:rPr>
        <w:t>(</w:t>
      </w:r>
      <w:r>
        <w:rPr>
          <w:rFonts w:hint="eastAsia" w:ascii="方正仿宋_GBK" w:eastAsia="方正仿宋_GBK"/>
          <w:b/>
          <w:sz w:val="28"/>
        </w:rPr>
        <w:t>冀财教</w:t>
      </w:r>
      <w:r>
        <w:rPr>
          <w:rFonts w:ascii="方正仿宋_GBK" w:eastAsia="方正仿宋_GBK"/>
          <w:b/>
          <w:sz w:val="28"/>
        </w:rPr>
        <w:t>[2019]134</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6" w:name="_Toc29573842"/>
      <w:r>
        <w:rPr>
          <w:rFonts w:ascii="方正仿宋_GBK" w:eastAsia="方正仿宋_GBK"/>
          <w:b/>
          <w:sz w:val="28"/>
        </w:rPr>
        <w:instrText xml:space="preserve">7</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年农村文化建设</w:instrText>
      </w:r>
      <w:r>
        <w:rPr>
          <w:rFonts w:ascii="方正仿宋_GBK" w:eastAsia="方正仿宋_GBK"/>
          <w:b/>
          <w:sz w:val="28"/>
        </w:rPr>
        <w:instrText xml:space="preserve">—</w:instrText>
      </w:r>
      <w:r>
        <w:rPr>
          <w:rFonts w:hint="eastAsia" w:ascii="方正仿宋_GBK" w:eastAsia="方正仿宋_GBK"/>
          <w:b/>
          <w:sz w:val="28"/>
        </w:rPr>
        <w:instrText xml:space="preserve">戏曲进乡村</w:instrText>
      </w:r>
      <w:r>
        <w:rPr>
          <w:rFonts w:ascii="方正仿宋_GBK" w:eastAsia="方正仿宋_GBK"/>
          <w:b/>
          <w:sz w:val="28"/>
        </w:rPr>
        <w:instrText xml:space="preserve">(</w:instrText>
      </w:r>
      <w:r>
        <w:rPr>
          <w:rFonts w:hint="eastAsia" w:ascii="方正仿宋_GBK" w:eastAsia="方正仿宋_GBK"/>
          <w:b/>
          <w:sz w:val="28"/>
        </w:rPr>
        <w:instrText xml:space="preserve">冀财教</w:instrText>
      </w:r>
      <w:r>
        <w:rPr>
          <w:rFonts w:ascii="方正仿宋_GBK" w:eastAsia="方正仿宋_GBK"/>
          <w:b/>
          <w:sz w:val="28"/>
        </w:rPr>
        <w:instrText xml:space="preserve">[2019]134</w:instrText>
      </w:r>
      <w:r>
        <w:rPr>
          <w:rFonts w:hint="eastAsia" w:ascii="方正仿宋_GBK" w:eastAsia="方正仿宋_GBK"/>
          <w:b/>
          <w:sz w:val="28"/>
        </w:rPr>
        <w:instrText xml:space="preserve">号）绩效目标表</w:instrText>
      </w:r>
      <w:bookmarkEnd w:id="6"/>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357-0701-JZN-Y3R1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年农村文化建设</w:t>
            </w:r>
            <w:r>
              <w:rPr>
                <w:cs/>
              </w:rPr>
              <w:t>—</w:t>
            </w:r>
            <w:r>
              <w:rPr>
                <w:rFonts w:hint="eastAsia" w:ascii="方正书宋_GBK" w:eastAsia="方正书宋_GBK"/>
              </w:rPr>
              <w:t>戏曲进乡村</w:t>
            </w:r>
            <w:r>
              <w:rPr>
                <w:rFonts w:ascii="方正书宋_GBK" w:eastAsia="方正书宋_GBK"/>
              </w:rPr>
              <w:t>(</w:t>
            </w:r>
            <w:r>
              <w:rPr>
                <w:rFonts w:hint="eastAsia" w:ascii="方正书宋_GBK" w:eastAsia="方正书宋_GBK"/>
              </w:rPr>
              <w:t>冀财教</w:t>
            </w:r>
            <w:r>
              <w:rPr>
                <w:rFonts w:ascii="方正书宋_GBK" w:eastAsia="方正书宋_GBK"/>
              </w:rPr>
              <w:t>[2019]134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通过政府购买公共文化服务方式选定承接主体</w:t>
            </w:r>
            <w:r>
              <w:rPr>
                <w:rFonts w:ascii="方正书宋_GBK" w:eastAsia="方正书宋_GBK"/>
              </w:rPr>
              <w:t>,</w:t>
            </w:r>
            <w:r>
              <w:rPr>
                <w:rFonts w:hint="eastAsia" w:ascii="方正书宋_GBK" w:eastAsia="方正书宋_GBK"/>
              </w:rPr>
              <w:t>有承接主体为县属</w:t>
            </w:r>
            <w:r>
              <w:rPr>
                <w:rFonts w:ascii="方正书宋_GBK" w:eastAsia="方正书宋_GBK"/>
              </w:rPr>
              <w:t>11</w:t>
            </w:r>
            <w:r>
              <w:rPr>
                <w:rFonts w:hint="eastAsia" w:ascii="方正书宋_GBK" w:eastAsia="方正书宋_GBK"/>
              </w:rPr>
              <w:t>个乡镇每两个月配送一场演出</w:t>
            </w:r>
            <w:r>
              <w:rPr>
                <w:rFonts w:ascii="方正书宋_GBK" w:eastAsia="方正书宋_GBK"/>
              </w:rPr>
              <w:t>,</w:t>
            </w:r>
            <w:r>
              <w:rPr>
                <w:rFonts w:hint="eastAsia" w:ascii="方正书宋_GBK" w:eastAsia="方正书宋_GBK"/>
              </w:rPr>
              <w:t>每场演出补助</w:t>
            </w:r>
            <w:r>
              <w:rPr>
                <w:rFonts w:ascii="方正书宋_GBK" w:eastAsia="方正书宋_GBK"/>
              </w:rPr>
              <w:t>5000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、推动贫困地区文化建设加快发展。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、确保贫困地区与全国同步进入全面小康社会。</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戏曲演出乡镇的覆盖率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为全县</w:t>
            </w:r>
            <w:r>
              <w:rPr>
                <w:rFonts w:ascii="方正书宋_GBK" w:eastAsia="方正书宋_GBK"/>
              </w:rPr>
              <w:t>11</w:t>
            </w:r>
            <w:r>
              <w:rPr>
                <w:rFonts w:hint="eastAsia" w:ascii="方正书宋_GBK" w:eastAsia="方正书宋_GBK"/>
              </w:rPr>
              <w:t>个乡镇送戏演出，以活跃群众的文化生活。</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8</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年省级“三馆一站”免费开放补助（冀财教</w:t>
      </w:r>
      <w:r>
        <w:rPr>
          <w:rFonts w:ascii="方正仿宋_GBK" w:eastAsia="方正仿宋_GBK"/>
          <w:b/>
          <w:sz w:val="28"/>
        </w:rPr>
        <w:t>[2019]141</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7" w:name="_Toc29573843"/>
      <w:r>
        <w:rPr>
          <w:rFonts w:ascii="方正仿宋_GBK" w:eastAsia="方正仿宋_GBK"/>
          <w:b/>
          <w:sz w:val="28"/>
        </w:rPr>
        <w:instrText xml:space="preserve">8</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年省级三馆一站免费开放补助（冀财教</w:instrText>
      </w:r>
      <w:r>
        <w:rPr>
          <w:rFonts w:ascii="方正仿宋_GBK" w:eastAsia="方正仿宋_GBK"/>
          <w:b/>
          <w:sz w:val="28"/>
        </w:rPr>
        <w:instrText xml:space="preserve">[2019]141</w:instrText>
      </w:r>
      <w:r>
        <w:rPr>
          <w:rFonts w:hint="eastAsia" w:ascii="方正仿宋_GBK" w:eastAsia="方正仿宋_GBK"/>
          <w:b/>
          <w:sz w:val="28"/>
        </w:rPr>
        <w:instrText xml:space="preserve">号）绩效目标表</w:instrText>
      </w:r>
      <w:bookmarkEnd w:id="7"/>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357-0701-JSN-8SH9</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年省级</w:t>
            </w:r>
            <w:r>
              <w:rPr>
                <w:cs/>
              </w:rPr>
              <w:t>“</w:t>
            </w:r>
            <w:r>
              <w:rPr>
                <w:rFonts w:hint="eastAsia" w:ascii="方正书宋_GBK" w:eastAsia="方正书宋_GBK"/>
              </w:rPr>
              <w:t>三馆一站</w:t>
            </w:r>
            <w:r>
              <w:rPr>
                <w:cs/>
              </w:rPr>
              <w:t>”</w:t>
            </w:r>
            <w:r>
              <w:rPr>
                <w:rFonts w:hint="eastAsia" w:ascii="方正书宋_GBK" w:eastAsia="方正书宋_GBK"/>
              </w:rPr>
              <w:t>免费开放补助（冀财教</w:t>
            </w:r>
            <w:r>
              <w:rPr>
                <w:rFonts w:ascii="方正书宋_GBK" w:eastAsia="方正书宋_GBK"/>
              </w:rPr>
              <w:t>[2019]141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17.25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17.25</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专项用于</w:t>
            </w:r>
            <w:r>
              <w:rPr>
                <w:cs/>
              </w:rPr>
              <w:t>“</w:t>
            </w:r>
            <w:r>
              <w:rPr>
                <w:rFonts w:hint="eastAsia" w:ascii="方正书宋_GBK" w:eastAsia="方正书宋_GBK"/>
              </w:rPr>
              <w:t>三馆一站</w:t>
            </w:r>
            <w:r>
              <w:rPr>
                <w:cs/>
              </w:rPr>
              <w:t>”</w:t>
            </w:r>
            <w:r>
              <w:rPr>
                <w:rFonts w:hint="eastAsia" w:ascii="方正书宋_GBK" w:eastAsia="方正书宋_GBK"/>
              </w:rPr>
              <w:t>免费开放基本公共文化服务项目及日常运转所需。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、免费举办普及性文化艺术类培训，组织公益性群众文化活动。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、免费向社会公众开展基本公共文化服务。</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实拨补助资金占应拨付补助资金的比例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免费开放补助标准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组织开展文体活动乡镇村的覆盖率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组织开展乡镇村的各类文体活动，活跃农村文化生活。</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系列文化活动参与者满意度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系列文化活动参与者满意人数占参与人数的比例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9</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年省级“三区”文化选派文化工作者专项经费（冀财教</w:t>
      </w:r>
      <w:r>
        <w:rPr>
          <w:rFonts w:ascii="方正仿宋_GBK" w:eastAsia="方正仿宋_GBK"/>
          <w:b/>
          <w:sz w:val="28"/>
        </w:rPr>
        <w:t>[2019]143</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8" w:name="_Toc29573844"/>
      <w:r>
        <w:rPr>
          <w:rFonts w:ascii="方正仿宋_GBK" w:eastAsia="方正仿宋_GBK"/>
          <w:b/>
          <w:sz w:val="28"/>
        </w:rPr>
        <w:instrText xml:space="preserve">9</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年省级三区文化选派文化工作者专项经费（冀财教</w:instrText>
      </w:r>
      <w:r>
        <w:rPr>
          <w:rFonts w:ascii="方正仿宋_GBK" w:eastAsia="方正仿宋_GBK"/>
          <w:b/>
          <w:sz w:val="28"/>
        </w:rPr>
        <w:instrText xml:space="preserve">[2019]143</w:instrText>
      </w:r>
      <w:r>
        <w:rPr>
          <w:rFonts w:hint="eastAsia" w:ascii="方正仿宋_GBK" w:eastAsia="方正仿宋_GBK"/>
          <w:b/>
          <w:sz w:val="28"/>
        </w:rPr>
        <w:instrText xml:space="preserve">号）绩效目标表</w:instrText>
      </w:r>
      <w:bookmarkEnd w:id="8"/>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357-0701-JSN-H6KS</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年省级</w:t>
            </w:r>
            <w:r>
              <w:rPr>
                <w:cs/>
              </w:rPr>
              <w:t>“</w:t>
            </w:r>
            <w:r>
              <w:rPr>
                <w:rFonts w:hint="eastAsia" w:ascii="方正书宋_GBK" w:eastAsia="方正书宋_GBK"/>
              </w:rPr>
              <w:t>三区</w:t>
            </w:r>
            <w:r>
              <w:rPr>
                <w:cs/>
              </w:rPr>
              <w:t>”</w:t>
            </w:r>
            <w:r>
              <w:rPr>
                <w:rFonts w:hint="eastAsia" w:ascii="方正书宋_GBK" w:eastAsia="方正书宋_GBK"/>
              </w:rPr>
              <w:t>文化选派文化工作者专项经费（冀财教</w:t>
            </w:r>
            <w:r>
              <w:rPr>
                <w:rFonts w:ascii="方正书宋_GBK" w:eastAsia="方正书宋_GBK"/>
              </w:rPr>
              <w:t>[2019]143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专项用于</w:t>
            </w:r>
            <w:r>
              <w:rPr>
                <w:rFonts w:ascii="方正书宋_GBK" w:eastAsia="方正书宋_GBK"/>
              </w:rPr>
              <w:t>12</w:t>
            </w:r>
            <w:r>
              <w:rPr>
                <w:rFonts w:hint="eastAsia" w:ascii="方正书宋_GBK" w:eastAsia="方正书宋_GBK"/>
              </w:rPr>
              <w:t>名文化工作志愿者工作、培训学习、生活以及养老保险等方面的中央补助经费。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、选派一批优秀文化工作者到边远贫困地区工作或提供服务。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、为边缘贫困地区培养一批急需紧缺的文化工作者。</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文化工作者人数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选派文化工作者的数量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文化人才队伍建设水平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贫困地区文化人才队伍建设水平情况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不断提升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部门相关工作指标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群众对选派文化工作者的整体满意度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部门相关工作指标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10</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年省级补助旅游厕所建设（冀财教</w:t>
      </w:r>
      <w:r>
        <w:rPr>
          <w:rFonts w:ascii="方正仿宋_GBK" w:eastAsia="方正仿宋_GBK"/>
          <w:b/>
          <w:sz w:val="28"/>
        </w:rPr>
        <w:t>[2019]140</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9" w:name="_Toc29573845"/>
      <w:r>
        <w:rPr>
          <w:rFonts w:ascii="方正仿宋_GBK" w:eastAsia="方正仿宋_GBK"/>
          <w:b/>
          <w:sz w:val="28"/>
        </w:rPr>
        <w:instrText xml:space="preserve">10</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年省级补助旅游厕所建设（冀财教</w:instrText>
      </w:r>
      <w:r>
        <w:rPr>
          <w:rFonts w:ascii="方正仿宋_GBK" w:eastAsia="方正仿宋_GBK"/>
          <w:b/>
          <w:sz w:val="28"/>
        </w:rPr>
        <w:instrText xml:space="preserve">[2019]140</w:instrText>
      </w:r>
      <w:r>
        <w:rPr>
          <w:rFonts w:hint="eastAsia" w:ascii="方正仿宋_GBK" w:eastAsia="方正仿宋_GBK"/>
          <w:b/>
          <w:sz w:val="28"/>
        </w:rPr>
        <w:instrText xml:space="preserve">号）绩效目标表</w:instrText>
      </w:r>
      <w:bookmarkEnd w:id="9"/>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357-1801-YSN-PS31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年省级补助旅游厕所建设（冀财教</w:t>
            </w:r>
            <w:r>
              <w:rPr>
                <w:rFonts w:ascii="方正书宋_GBK" w:eastAsia="方正书宋_GBK"/>
              </w:rPr>
              <w:t>[2019]140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34.60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34.60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用于新建</w:t>
            </w:r>
            <w:r>
              <w:rPr>
                <w:rFonts w:ascii="方正书宋_GBK" w:eastAsia="方正书宋_GBK"/>
              </w:rPr>
              <w:t>AAA</w:t>
            </w:r>
            <w:r>
              <w:rPr>
                <w:rFonts w:hint="eastAsia" w:ascii="方正书宋_GBK" w:eastAsia="方正书宋_GBK"/>
              </w:rPr>
              <w:t>级旅游厕所</w:t>
            </w:r>
            <w:r>
              <w:rPr>
                <w:rFonts w:ascii="方正书宋_GBK" w:eastAsia="方正书宋_GBK"/>
              </w:rPr>
              <w:t>1</w:t>
            </w:r>
            <w:r>
              <w:rPr>
                <w:rFonts w:hint="eastAsia" w:ascii="方正书宋_GBK" w:eastAsia="方正书宋_GBK"/>
              </w:rPr>
              <w:t>处，</w:t>
            </w:r>
            <w:r>
              <w:rPr>
                <w:rFonts w:ascii="方正书宋_GBK" w:eastAsia="方正书宋_GBK"/>
              </w:rPr>
              <w:t>AA</w:t>
            </w:r>
            <w:r>
              <w:rPr>
                <w:rFonts w:hint="eastAsia" w:ascii="方正书宋_GBK" w:eastAsia="方正书宋_GBK"/>
              </w:rPr>
              <w:t>级旅游厕所</w:t>
            </w:r>
            <w:r>
              <w:rPr>
                <w:rFonts w:ascii="方正书宋_GBK" w:eastAsia="方正书宋_GBK"/>
              </w:rPr>
              <w:t>3</w:t>
            </w:r>
            <w:r>
              <w:rPr>
                <w:rFonts w:hint="eastAsia" w:ascii="方正书宋_GBK" w:eastAsia="方正书宋_GBK"/>
              </w:rPr>
              <w:t>处，</w:t>
            </w:r>
            <w:r>
              <w:rPr>
                <w:rFonts w:ascii="方正书宋_GBK" w:eastAsia="方正书宋_GBK"/>
              </w:rPr>
              <w:t>A</w:t>
            </w:r>
            <w:r>
              <w:rPr>
                <w:rFonts w:hint="eastAsia" w:ascii="方正书宋_GBK" w:eastAsia="方正书宋_GBK"/>
              </w:rPr>
              <w:t>级旅游厕所</w:t>
            </w:r>
            <w:r>
              <w:rPr>
                <w:rFonts w:ascii="方正书宋_GBK" w:eastAsia="方正书宋_GBK"/>
              </w:rPr>
              <w:t>6</w:t>
            </w:r>
            <w:r>
              <w:rPr>
                <w:rFonts w:hint="eastAsia" w:ascii="方正书宋_GBK" w:eastAsia="方正书宋_GBK"/>
              </w:rPr>
              <w:t>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、推动我县旅游业发展。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、完善全域旅游公共服务体系建设。</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工程量完成率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实际完成工程量占计划完成工程量的比率。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旅游公共服务建设</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推动全域旅游发展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旅游公共服务群众满意度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11</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年省级非物质文化遗产代表性传承人传习活动补助（冀财教</w:t>
      </w:r>
      <w:r>
        <w:rPr>
          <w:rFonts w:ascii="方正仿宋_GBK" w:eastAsia="方正仿宋_GBK"/>
          <w:b/>
          <w:sz w:val="28"/>
        </w:rPr>
        <w:t>[2019]142</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0" w:name="_Toc29573846"/>
      <w:r>
        <w:rPr>
          <w:rFonts w:ascii="方正仿宋_GBK" w:eastAsia="方正仿宋_GBK"/>
          <w:b/>
          <w:sz w:val="28"/>
        </w:rPr>
        <w:instrText xml:space="preserve">11</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年省级非物质文化遗产代表性传承人传习活动补助（冀财教</w:instrText>
      </w:r>
      <w:r>
        <w:rPr>
          <w:rFonts w:ascii="方正仿宋_GBK" w:eastAsia="方正仿宋_GBK"/>
          <w:b/>
          <w:sz w:val="28"/>
        </w:rPr>
        <w:instrText xml:space="preserve">[2019]142</w:instrText>
      </w:r>
      <w:r>
        <w:rPr>
          <w:rFonts w:hint="eastAsia" w:ascii="方正仿宋_GBK" w:eastAsia="方正仿宋_GBK"/>
          <w:b/>
          <w:sz w:val="28"/>
        </w:rPr>
        <w:instrText xml:space="preserve">号）绩效目标表</w:instrText>
      </w:r>
      <w:bookmarkEnd w:id="10"/>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357-0901-JSN-GNVQ</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年省级非物质文化遗产代表性传承人传习活动补助（冀财教</w:t>
            </w:r>
            <w:r>
              <w:rPr>
                <w:rFonts w:ascii="方正书宋_GBK" w:eastAsia="方正书宋_GBK"/>
              </w:rPr>
              <w:t>[2019]142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4.20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4.20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w:t>
            </w:r>
            <w:r>
              <w:rPr>
                <w:rFonts w:ascii="方正书宋_GBK" w:eastAsia="方正书宋_GBK"/>
              </w:rPr>
              <w:t>2020</w:t>
            </w:r>
            <w:r>
              <w:rPr>
                <w:rFonts w:hint="eastAsia" w:ascii="方正书宋_GBK" w:eastAsia="方正书宋_GBK"/>
              </w:rPr>
              <w:t>年省级非物质文化遗产代表性传承人传习活动补助经费。赞皇县铁龙灯代表性传承人王瑞福、米吉辰；赞皇腊八船王增军；水潼仙姑祭祀（青龙山庙会）谷玉秋；赞皇原村土布纺织技艺崔雪琴；九曲黄河灯郝英杰；城隍祭仪刘海岗。每人各</w:t>
            </w:r>
            <w:r>
              <w:rPr>
                <w:rFonts w:ascii="方正书宋_GBK" w:eastAsia="方正书宋_GBK"/>
              </w:rPr>
              <w:t>0.6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、构建健全的文化保护体系，文化保护工作得到全面加强，优秀文化得到传承和发扬。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、推动非物质文化遗产传承保护。</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补助发放到位率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补助省级代表性传承人传习活动补助发放到位率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增长率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非遗传承人群增长率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社会公众对非物质文化遗产保护满意度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12</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年省级太行山高速公路旅游标识体系建设（冀财教</w:t>
      </w:r>
      <w:r>
        <w:rPr>
          <w:rFonts w:ascii="方正仿宋_GBK" w:eastAsia="方正仿宋_GBK"/>
          <w:b/>
          <w:sz w:val="28"/>
        </w:rPr>
        <w:t>[2019]140</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1" w:name="_Toc29573847"/>
      <w:r>
        <w:rPr>
          <w:rFonts w:ascii="方正仿宋_GBK" w:eastAsia="方正仿宋_GBK"/>
          <w:b/>
          <w:sz w:val="28"/>
        </w:rPr>
        <w:instrText xml:space="preserve">12</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年省级太行山高速公路旅游标识体系建设（冀财教</w:instrText>
      </w:r>
      <w:r>
        <w:rPr>
          <w:rFonts w:ascii="方正仿宋_GBK" w:eastAsia="方正仿宋_GBK"/>
          <w:b/>
          <w:sz w:val="28"/>
        </w:rPr>
        <w:instrText xml:space="preserve">[2019]140</w:instrText>
      </w:r>
      <w:r>
        <w:rPr>
          <w:rFonts w:hint="eastAsia" w:ascii="方正仿宋_GBK" w:eastAsia="方正仿宋_GBK"/>
          <w:b/>
          <w:sz w:val="28"/>
        </w:rPr>
        <w:instrText xml:space="preserve">号）绩效目标表</w:instrText>
      </w:r>
      <w:bookmarkEnd w:id="11"/>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357-1801-YSN-BG3T</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年省级太行山高速公路旅游标识体系建设（冀财教</w:t>
            </w:r>
            <w:r>
              <w:rPr>
                <w:rFonts w:ascii="方正书宋_GBK" w:eastAsia="方正书宋_GBK"/>
              </w:rPr>
              <w:t>[2019]140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4.50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4.50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在太行山高速公路院头收费站平山方向</w:t>
            </w:r>
            <w:r>
              <w:rPr>
                <w:rFonts w:ascii="方正书宋_GBK" w:eastAsia="方正书宋_GBK"/>
              </w:rPr>
              <w:t>K80+300</w:t>
            </w:r>
            <w:r>
              <w:rPr>
                <w:rFonts w:hint="eastAsia" w:ascii="方正书宋_GBK" w:eastAsia="方正书宋_GBK"/>
              </w:rPr>
              <w:t>和赞皇西收费站邯郸方向</w:t>
            </w:r>
            <w:r>
              <w:rPr>
                <w:rFonts w:ascii="方正书宋_GBK" w:eastAsia="方正书宋_GBK"/>
              </w:rPr>
              <w:t>K60+500</w:t>
            </w:r>
            <w:r>
              <w:rPr>
                <w:rFonts w:hint="eastAsia" w:ascii="方正书宋_GBK" w:eastAsia="方正书宋_GBK"/>
              </w:rPr>
              <w:t>安装两套标识牌（嶂石岩景区</w:t>
            </w:r>
            <w:r>
              <w:rPr>
                <w:rFonts w:ascii="方正书宋_GBK" w:eastAsia="方正书宋_GBK"/>
              </w:rPr>
              <w:t>2.25</w:t>
            </w:r>
            <w:r>
              <w:rPr>
                <w:rFonts w:hint="eastAsia" w:ascii="方正书宋_GBK" w:eastAsia="方正书宋_GBK"/>
              </w:rPr>
              <w:t>万元，棋盘山景区</w:t>
            </w:r>
            <w:r>
              <w:rPr>
                <w:rFonts w:ascii="方正书宋_GBK" w:eastAsia="方正书宋_GBK"/>
              </w:rPr>
              <w:t>2.25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、保持自然景观和生态环境的完整，维护历史、文化的连续。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、保持区域单元的相对独立，兼顾与行政区划的协调。</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工作量完成率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实际完成工作量占计划完成工作量的比率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在全县产生的重要影响，得到广大受众的充分认可。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13</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年文物保护经费（县安排）绩效目标表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2" w:name="_Toc29573848"/>
      <w:r>
        <w:rPr>
          <w:rFonts w:ascii="方正仿宋_GBK" w:eastAsia="方正仿宋_GBK"/>
          <w:b/>
          <w:sz w:val="28"/>
        </w:rPr>
        <w:instrText xml:space="preserve">13</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年文物保护经费（县安排）绩效目标表</w:instrText>
      </w:r>
      <w:bookmarkEnd w:id="12"/>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357-1501-JXN-XMBG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年文物保护经费（县安排）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用于文物保护工作人员的经费。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、治平寺石塔、李氏墓群不出现被盗、火灾等安全问题，棋盘山段岭关和烽火台两处长城无人为损害情况，李氏墓群监控设备修复完好正常使用。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、有效发挥文物保护安防设备的作用。</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文物保护安防设备的利用数占安防设备总数的比例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文物保护工作年度计划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完好率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收藏和保管物品的完好数占总数的比率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14</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年政府购买丝弦剧团文化下乡服务（县安排）绩效目标表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3" w:name="_Toc29573849"/>
      <w:r>
        <w:rPr>
          <w:rFonts w:ascii="方正仿宋_GBK" w:eastAsia="方正仿宋_GBK"/>
          <w:b/>
          <w:sz w:val="28"/>
        </w:rPr>
        <w:instrText xml:space="preserve">14</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年政府购买丝弦剧团文化下乡服务（县安排）绩效目标表</w:instrText>
      </w:r>
      <w:bookmarkEnd w:id="13"/>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357-0901-JXN-UV2Q</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年政府购买丝弦剧团文化下乡服务（县安排）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用于丝弦剧团人员的养老保险缴纳所需费用。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、有效推动非物质文化遗产项目的发展。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、构建健全的文化保护体系，文化保护工作得到全面加强，优秀文化得到传承和发扬。</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剧团人员养老保险资金支付到位率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资金支付计划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展示和传承优秀项目占比</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年度内参加省级以上展示、传承活动项目数量占总项目数量的比率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受益人满意度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受益人对部门工作的满意度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部门相关工作指标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15</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年中央“三馆一站”免费开放补助</w:t>
      </w:r>
      <w:r>
        <w:rPr>
          <w:rFonts w:ascii="方正仿宋_GBK" w:eastAsia="方正仿宋_GBK"/>
          <w:b/>
          <w:sz w:val="28"/>
        </w:rPr>
        <w:t>(</w:t>
      </w:r>
      <w:r>
        <w:rPr>
          <w:rFonts w:hint="eastAsia" w:ascii="方正仿宋_GBK" w:eastAsia="方正仿宋_GBK"/>
          <w:b/>
          <w:sz w:val="28"/>
        </w:rPr>
        <w:t>冀财教</w:t>
      </w:r>
      <w:r>
        <w:rPr>
          <w:rFonts w:ascii="方正仿宋_GBK" w:eastAsia="方正仿宋_GBK"/>
          <w:b/>
          <w:sz w:val="28"/>
        </w:rPr>
        <w:t>[2019]118</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4" w:name="_Toc29573850"/>
      <w:r>
        <w:rPr>
          <w:rFonts w:ascii="方正仿宋_GBK" w:eastAsia="方正仿宋_GBK"/>
          <w:b/>
          <w:sz w:val="28"/>
        </w:rPr>
        <w:instrText xml:space="preserve">15</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年中央三馆一站免费开放补助</w:instrText>
      </w:r>
      <w:r>
        <w:rPr>
          <w:rFonts w:ascii="方正仿宋_GBK" w:eastAsia="方正仿宋_GBK"/>
          <w:b/>
          <w:sz w:val="28"/>
        </w:rPr>
        <w:instrText xml:space="preserve">(</w:instrText>
      </w:r>
      <w:r>
        <w:rPr>
          <w:rFonts w:hint="eastAsia" w:ascii="方正仿宋_GBK" w:eastAsia="方正仿宋_GBK"/>
          <w:b/>
          <w:sz w:val="28"/>
        </w:rPr>
        <w:instrText xml:space="preserve">冀财教</w:instrText>
      </w:r>
      <w:r>
        <w:rPr>
          <w:rFonts w:ascii="方正仿宋_GBK" w:eastAsia="方正仿宋_GBK"/>
          <w:b/>
          <w:sz w:val="28"/>
        </w:rPr>
        <w:instrText xml:space="preserve">[2019]118</w:instrText>
      </w:r>
      <w:r>
        <w:rPr>
          <w:rFonts w:hint="eastAsia" w:ascii="方正仿宋_GBK" w:eastAsia="方正仿宋_GBK"/>
          <w:b/>
          <w:sz w:val="28"/>
        </w:rPr>
        <w:instrText xml:space="preserve">号）绩效目标表</w:instrText>
      </w:r>
      <w:bookmarkEnd w:id="14"/>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357-0701-JZN-7PDI</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年中央</w:t>
            </w:r>
            <w:r>
              <w:rPr>
                <w:cs/>
              </w:rPr>
              <w:t>“</w:t>
            </w:r>
            <w:r>
              <w:rPr>
                <w:rFonts w:hint="eastAsia" w:ascii="方正书宋_GBK" w:eastAsia="方正书宋_GBK"/>
              </w:rPr>
              <w:t>三馆一站</w:t>
            </w:r>
            <w:r>
              <w:rPr>
                <w:cs/>
              </w:rPr>
              <w:t>”</w:t>
            </w:r>
            <w:r>
              <w:rPr>
                <w:rFonts w:hint="eastAsia" w:ascii="方正书宋_GBK" w:eastAsia="方正书宋_GBK"/>
              </w:rPr>
              <w:t>免费开放补助</w:t>
            </w:r>
            <w:r>
              <w:rPr>
                <w:rFonts w:ascii="方正书宋_GBK" w:eastAsia="方正书宋_GBK"/>
              </w:rPr>
              <w:t>(</w:t>
            </w:r>
            <w:r>
              <w:rPr>
                <w:rFonts w:hint="eastAsia" w:ascii="方正书宋_GBK" w:eastAsia="方正书宋_GBK"/>
              </w:rPr>
              <w:t>冀财教</w:t>
            </w:r>
            <w:r>
              <w:rPr>
                <w:rFonts w:ascii="方正书宋_GBK" w:eastAsia="方正书宋_GBK"/>
              </w:rPr>
              <w:t>[2019]118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57.50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57.50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专项用于</w:t>
            </w:r>
            <w:r>
              <w:rPr>
                <w:cs/>
              </w:rPr>
              <w:t>“</w:t>
            </w:r>
            <w:r>
              <w:rPr>
                <w:rFonts w:hint="eastAsia" w:ascii="方正书宋_GBK" w:eastAsia="方正书宋_GBK"/>
              </w:rPr>
              <w:t>三馆一站</w:t>
            </w:r>
            <w:r>
              <w:rPr>
                <w:cs/>
              </w:rPr>
              <w:t>”</w:t>
            </w:r>
            <w:r>
              <w:rPr>
                <w:rFonts w:hint="eastAsia" w:ascii="方正书宋_GBK" w:eastAsia="方正书宋_GBK"/>
              </w:rPr>
              <w:t>免费开放基本公共文化服务项目及日常运转所需。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、免费举办普及性文化艺术类培训，组织公益性群众文化活动。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、免费向社会公众开展基本公共文化服务。</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实拨补助资金占应拨付补助资金的比例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免费开放补助标准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组织开展文体活动乡镇村的覆盖率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组织开展乡镇村的各类文体活动，活跃农村文化生活。</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系列文化活动参与者满意度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系列文化活动参与者满意人数占参与人数的比例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16</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年中央“三区”文化选派文化工作者专项经费（冀财教</w:t>
      </w:r>
      <w:r>
        <w:rPr>
          <w:rFonts w:ascii="方正仿宋_GBK" w:eastAsia="方正仿宋_GBK"/>
          <w:b/>
          <w:sz w:val="28"/>
        </w:rPr>
        <w:t>[2019]119</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5" w:name="_Toc29573851"/>
      <w:r>
        <w:rPr>
          <w:rFonts w:ascii="方正仿宋_GBK" w:eastAsia="方正仿宋_GBK"/>
          <w:b/>
          <w:sz w:val="28"/>
        </w:rPr>
        <w:instrText xml:space="preserve">16</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年中央三区文化选派文化工作者专项经费（冀财教</w:instrText>
      </w:r>
      <w:r>
        <w:rPr>
          <w:rFonts w:ascii="方正仿宋_GBK" w:eastAsia="方正仿宋_GBK"/>
          <w:b/>
          <w:sz w:val="28"/>
        </w:rPr>
        <w:instrText xml:space="preserve">[2019]119</w:instrText>
      </w:r>
      <w:r>
        <w:rPr>
          <w:rFonts w:hint="eastAsia" w:ascii="方正仿宋_GBK" w:eastAsia="方正仿宋_GBK"/>
          <w:b/>
          <w:sz w:val="28"/>
        </w:rPr>
        <w:instrText xml:space="preserve">号）绩效目标表</w:instrText>
      </w:r>
      <w:bookmarkEnd w:id="15"/>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357-0701-JZN-8LAN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年中央</w:t>
            </w:r>
            <w:r>
              <w:rPr>
                <w:cs/>
              </w:rPr>
              <w:t>“</w:t>
            </w:r>
            <w:r>
              <w:rPr>
                <w:rFonts w:hint="eastAsia" w:ascii="方正书宋_GBK" w:eastAsia="方正书宋_GBK"/>
              </w:rPr>
              <w:t>三区</w:t>
            </w:r>
            <w:r>
              <w:rPr>
                <w:cs/>
              </w:rPr>
              <w:t>”</w:t>
            </w:r>
            <w:r>
              <w:rPr>
                <w:rFonts w:hint="eastAsia" w:ascii="方正书宋_GBK" w:eastAsia="方正书宋_GBK"/>
              </w:rPr>
              <w:t>文化选派文化工作者专项经费（冀财教</w:t>
            </w:r>
            <w:r>
              <w:rPr>
                <w:rFonts w:ascii="方正书宋_GBK" w:eastAsia="方正书宋_GBK"/>
              </w:rPr>
              <w:t>[2019]119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专项用于</w:t>
            </w:r>
            <w:r>
              <w:rPr>
                <w:rFonts w:ascii="方正书宋_GBK" w:eastAsia="方正书宋_GBK"/>
              </w:rPr>
              <w:t>12</w:t>
            </w:r>
            <w:r>
              <w:rPr>
                <w:rFonts w:hint="eastAsia" w:ascii="方正书宋_GBK" w:eastAsia="方正书宋_GBK"/>
              </w:rPr>
              <w:t>名文化工作志愿者工作、培训学习、生活以及养老保险等方面的中央补助经费。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、选派一批优秀文化工作者到边远贫困地区工作或提供服务。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、为边缘贫困地区培养一批急需紧缺的文化工作者。</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实拨补助资金占应拨付补助资金的比例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文化人才队伍建设水平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贫困地区文化人才队伍建设水平情况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不断提升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部门相关工作指标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群众对选派文化工作者的整体满意度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部门相关工作指标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17</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年中央补助旅游厕所建设（冀财教</w:t>
      </w:r>
      <w:r>
        <w:rPr>
          <w:rFonts w:ascii="方正仿宋_GBK" w:eastAsia="方正仿宋_GBK"/>
          <w:b/>
          <w:sz w:val="28"/>
        </w:rPr>
        <w:t>[2019]109</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6" w:name="_Toc29573852"/>
      <w:r>
        <w:rPr>
          <w:rFonts w:ascii="方正仿宋_GBK" w:eastAsia="方正仿宋_GBK"/>
          <w:b/>
          <w:sz w:val="28"/>
        </w:rPr>
        <w:instrText xml:space="preserve">17</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年中央补助旅游厕所建设（冀财教</w:instrText>
      </w:r>
      <w:r>
        <w:rPr>
          <w:rFonts w:ascii="方正仿宋_GBK" w:eastAsia="方正仿宋_GBK"/>
          <w:b/>
          <w:sz w:val="28"/>
        </w:rPr>
        <w:instrText xml:space="preserve">[2019]109</w:instrText>
      </w:r>
      <w:r>
        <w:rPr>
          <w:rFonts w:hint="eastAsia" w:ascii="方正仿宋_GBK" w:eastAsia="方正仿宋_GBK"/>
          <w:b/>
          <w:sz w:val="28"/>
        </w:rPr>
        <w:instrText xml:space="preserve">号）绩效目标表</w:instrText>
      </w:r>
      <w:bookmarkEnd w:id="16"/>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357-1801-JZN-9YK8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年中央补助旅游厕所建设（冀财教</w:t>
            </w:r>
            <w:r>
              <w:rPr>
                <w:rFonts w:ascii="方正书宋_GBK" w:eastAsia="方正书宋_GBK"/>
              </w:rPr>
              <w:t>[2019]109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80.00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80.00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用于旅游厕所建设。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、推动我县旅游业发展。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、完善全域旅游公共服务体系建设。</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工程量完成率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实际完成工程量占计划完成工程量的比率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旅游公共服务建设</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推动全域旅游发展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游客满意度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旅游公共服务游客满意度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18</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年中央农村文化建设</w:t>
      </w:r>
      <w:r>
        <w:rPr>
          <w:rFonts w:ascii="方正仿宋_GBK" w:eastAsia="方正仿宋_GBK"/>
          <w:b/>
          <w:sz w:val="28"/>
        </w:rPr>
        <w:t>—</w:t>
      </w:r>
      <w:r>
        <w:rPr>
          <w:rFonts w:hint="eastAsia" w:ascii="方正仿宋_GBK" w:eastAsia="方正仿宋_GBK"/>
          <w:b/>
          <w:sz w:val="28"/>
        </w:rPr>
        <w:t>一般项目（冀财教</w:t>
      </w:r>
      <w:r>
        <w:rPr>
          <w:rFonts w:ascii="方正仿宋_GBK" w:eastAsia="方正仿宋_GBK"/>
          <w:b/>
          <w:sz w:val="28"/>
        </w:rPr>
        <w:t>[2019]134</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7" w:name="_Toc29573853"/>
      <w:r>
        <w:rPr>
          <w:rFonts w:ascii="方正仿宋_GBK" w:eastAsia="方正仿宋_GBK"/>
          <w:b/>
          <w:sz w:val="28"/>
        </w:rPr>
        <w:instrText xml:space="preserve">18</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年中央农村文化建设</w:instrText>
      </w:r>
      <w:r>
        <w:rPr>
          <w:rFonts w:ascii="方正仿宋_GBK" w:eastAsia="方正仿宋_GBK"/>
          <w:b/>
          <w:sz w:val="28"/>
        </w:rPr>
        <w:instrText xml:space="preserve">—</w:instrText>
      </w:r>
      <w:r>
        <w:rPr>
          <w:rFonts w:hint="eastAsia" w:ascii="方正仿宋_GBK" w:eastAsia="方正仿宋_GBK"/>
          <w:b/>
          <w:sz w:val="28"/>
        </w:rPr>
        <w:instrText xml:space="preserve">一般项目（冀财教</w:instrText>
      </w:r>
      <w:r>
        <w:rPr>
          <w:rFonts w:ascii="方正仿宋_GBK" w:eastAsia="方正仿宋_GBK"/>
          <w:b/>
          <w:sz w:val="28"/>
        </w:rPr>
        <w:instrText xml:space="preserve">[2019]134</w:instrText>
      </w:r>
      <w:r>
        <w:rPr>
          <w:rFonts w:hint="eastAsia" w:ascii="方正仿宋_GBK" w:eastAsia="方正仿宋_GBK"/>
          <w:b/>
          <w:sz w:val="28"/>
        </w:rPr>
        <w:instrText xml:space="preserve">号）绩效目标表</w:instrText>
      </w:r>
      <w:bookmarkEnd w:id="17"/>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357-0701-JZN-1B67</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年中央农村文化建设</w:t>
            </w:r>
            <w:r>
              <w:rPr>
                <w:cs/>
              </w:rPr>
              <w:t>—</w:t>
            </w:r>
            <w:r>
              <w:rPr>
                <w:rFonts w:hint="eastAsia" w:ascii="方正书宋_GBK" w:eastAsia="方正书宋_GBK"/>
              </w:rPr>
              <w:t>一般项目（冀财教</w:t>
            </w:r>
            <w:r>
              <w:rPr>
                <w:rFonts w:ascii="方正书宋_GBK" w:eastAsia="方正书宋_GBK"/>
              </w:rPr>
              <w:t>[2019]134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用于全县</w:t>
            </w:r>
            <w:r>
              <w:rPr>
                <w:rFonts w:ascii="方正书宋_GBK" w:eastAsia="方正书宋_GBK"/>
              </w:rPr>
              <w:t>212</w:t>
            </w:r>
            <w:r>
              <w:rPr>
                <w:rFonts w:hint="eastAsia" w:ascii="方正书宋_GBK" w:eastAsia="方正书宋_GBK"/>
              </w:rPr>
              <w:t>个行政村的文化体育、文艺演出、信息共享、农村公益电影放映以及农家书屋等农村文化建设的资金，其中</w:t>
            </w:r>
            <w:r>
              <w:rPr>
                <w:rFonts w:ascii="方正书宋_GBK" w:eastAsia="方正书宋_GBK"/>
              </w:rPr>
              <w:t>;</w:t>
            </w:r>
            <w:r>
              <w:rPr>
                <w:rFonts w:hint="eastAsia" w:ascii="方正书宋_GBK" w:eastAsia="方正书宋_GBK"/>
              </w:rPr>
              <w:t>农村公益电影放映</w:t>
            </w:r>
            <w:r>
              <w:rPr>
                <w:rFonts w:ascii="方正书宋_GBK" w:eastAsia="方正书宋_GBK"/>
              </w:rPr>
              <w:t>25.44</w:t>
            </w:r>
            <w:r>
              <w:rPr>
                <w:rFonts w:hint="eastAsia" w:ascii="方正书宋_GBK" w:eastAsia="方正书宋_GBK"/>
              </w:rPr>
              <w:t>万元，用于</w:t>
            </w:r>
            <w:r>
              <w:rPr>
                <w:rFonts w:ascii="方正书宋_GBK" w:eastAsia="方正书宋_GBK"/>
              </w:rPr>
              <w:t>212</w:t>
            </w:r>
            <w:r>
              <w:rPr>
                <w:rFonts w:hint="eastAsia" w:ascii="方正书宋_GBK" w:eastAsia="方正书宋_GBK"/>
              </w:rPr>
              <w:t>个行政村公益电影放映补贴，平均每村每月放映一场，全年共放映</w:t>
            </w:r>
            <w:r>
              <w:rPr>
                <w:rFonts w:ascii="方正书宋_GBK" w:eastAsia="方正书宋_GBK"/>
              </w:rPr>
              <w:t>2544</w:t>
            </w:r>
            <w:r>
              <w:rPr>
                <w:rFonts w:hint="eastAsia" w:ascii="方正书宋_GBK" w:eastAsia="方正书宋_GBK"/>
              </w:rPr>
              <w:t>场，每场补贴</w:t>
            </w:r>
            <w:r>
              <w:rPr>
                <w:rFonts w:ascii="方正书宋_GBK" w:eastAsia="方正书宋_GBK"/>
              </w:rPr>
              <w:t>0.01</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、支持和引导全县落实中央和省级基本公共文化服务指导标准和基本公共文化服务实施标准。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、促进基本公共文化服务标准化、均等化，保障群众基本文化权益。</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工作量完成率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实际完成工作量占计划完成工作量的比率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组织开展文体活动乡镇村的覆盖率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组织开展乡镇村的各类文体活动，活跃农村文化生活。</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ascii="方正仿宋_GBK" w:eastAsia="方正仿宋_GBK"/>
          <w:b/>
          <w:sz w:val="28"/>
        </w:rPr>
        <w:t>19</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年组织开展各项体育活动（县安排）绩效目标表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8" w:name="_Toc29573854"/>
      <w:r>
        <w:rPr>
          <w:rFonts w:ascii="方正仿宋_GBK" w:eastAsia="方正仿宋_GBK"/>
          <w:b/>
          <w:sz w:val="28"/>
        </w:rPr>
        <w:instrText xml:space="preserve">19</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年组织开展各项体育活动（县安排）绩效目标表</w:instrText>
      </w:r>
      <w:bookmarkEnd w:id="18"/>
      <w:r>
        <w:rPr>
          <w:rFonts w:ascii="方正仿宋_GBK" w:eastAsia="方正仿宋_GBK"/>
          <w:b/>
          <w:sz w:val="28"/>
        </w:rPr>
        <w:instrText xml:space="preserve">" \f C \l 001</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赞皇县文化广电体育和旅游局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357-0601-JXN-V3C6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年组织开展各项体育活动（县安排）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用于组织开展篮球比赛、象棋比赛、羽毛球比赛、全民健身活动展演、武术表演等体育活动。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、加强体育公共服务体系建设，促进全县体育事业全面协调可持续发展。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、引导全县体育产业繁荣、健康、良性发展。</w:t>
            </w:r>
          </w:p>
        </w:tc>
      </w:tr>
    </w:tbl>
    <w:p>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大型全民健身活动参与人数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当年参加大型全民健身活动的总人数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800</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全民健身活动实施方案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组织开展体育活动乡镇村的覆盖率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组织开展乡镇村各项体育活动，促进全县体育事业全面协调可持续发展。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相关工作指标</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sz w:val="32"/>
          <w:szCs w:val="32"/>
        </w:rPr>
      </w:pPr>
      <w:bookmarkStart w:id="19" w:name="_Toc471398463"/>
      <w:r>
        <w:rPr>
          <w:rFonts w:hint="eastAsia" w:ascii="黑体" w:hAnsi="黑体" w:eastAsia="黑体"/>
          <w:sz w:val="32"/>
          <w:szCs w:val="32"/>
        </w:rPr>
        <w:t>六、政府采购预算情况</w:t>
      </w:r>
    </w:p>
    <w:p>
      <w:pPr>
        <w:ind w:firstLine="640" w:firstLineChars="200"/>
        <w:rPr>
          <w:rFonts w:ascii="仿宋" w:hAnsi="仿宋" w:eastAsia="仿宋"/>
          <w:sz w:val="32"/>
          <w:szCs w:val="32"/>
        </w:rPr>
      </w:pPr>
      <w:r>
        <w:rPr>
          <w:rFonts w:ascii="仿宋" w:hAnsi="仿宋" w:eastAsia="仿宋"/>
          <w:sz w:val="32"/>
          <w:szCs w:val="32"/>
        </w:rPr>
        <w:t>2020</w:t>
      </w:r>
      <w:r>
        <w:rPr>
          <w:rFonts w:hint="eastAsia" w:ascii="仿宋" w:hAnsi="仿宋" w:eastAsia="仿宋"/>
          <w:sz w:val="32"/>
          <w:szCs w:val="32"/>
        </w:rPr>
        <w:t>年，我部门安排政府采购预算</w:t>
      </w:r>
      <w:r>
        <w:rPr>
          <w:rFonts w:ascii="仿宋" w:hAnsi="仿宋" w:eastAsia="仿宋"/>
          <w:sz w:val="32"/>
          <w:szCs w:val="32"/>
        </w:rPr>
        <w:t>202.6</w:t>
      </w:r>
      <w:r>
        <w:rPr>
          <w:rFonts w:hint="eastAsia" w:ascii="仿宋" w:hAnsi="仿宋" w:eastAsia="仿宋"/>
          <w:sz w:val="32"/>
          <w:szCs w:val="32"/>
        </w:rPr>
        <w:t>万元。具体内容见下表。</w:t>
      </w:r>
    </w:p>
    <w:p>
      <w:pPr>
        <w:ind w:firstLine="640" w:firstLineChars="200"/>
        <w:jc w:val="center"/>
        <w:outlineLvl w:val="0"/>
        <w:rPr>
          <w:rFonts w:hAnsi="宋体"/>
          <w:sz w:val="32"/>
        </w:rPr>
      </w:pPr>
      <w:r>
        <w:rPr>
          <w:rFonts w:hint="eastAsia" w:ascii="方正小标宋_GBK" w:eastAsia="方正小标宋_GBK"/>
          <w:sz w:val="32"/>
        </w:rPr>
        <w:t>部门政府采购预算</w:t>
      </w:r>
      <w:r>
        <w:rPr>
          <w:rFonts w:ascii="方正小标宋_GBK" w:eastAsia="方正小标宋_GBK"/>
          <w:sz w:val="32"/>
        </w:rPr>
        <w:fldChar w:fldCharType="begin"/>
      </w:r>
      <w:r>
        <w:rPr>
          <w:rFonts w:ascii="方正小标宋_GBK" w:eastAsia="方正小标宋_GBK"/>
          <w:sz w:val="32"/>
        </w:rPr>
        <w:instrText xml:space="preserve">tc "</w:instrText>
      </w:r>
      <w:bookmarkStart w:id="20" w:name="_Toc29736386"/>
      <w:r>
        <w:rPr>
          <w:rFonts w:hint="eastAsia" w:ascii="方正小标宋_GBK" w:eastAsia="方正小标宋_GBK"/>
          <w:sz w:val="32"/>
        </w:rPr>
        <w:instrText xml:space="preserve">部门政府采购预算</w:instrText>
      </w:r>
      <w:bookmarkEnd w:id="20"/>
      <w:r>
        <w:rPr>
          <w:rFonts w:ascii="方正小标宋_GBK" w:eastAsia="方正小标宋_GBK"/>
          <w:sz w:val="32"/>
        </w:rPr>
        <w:instrText xml:space="preserve">" \f A \l 01</w:instrText>
      </w:r>
      <w:r>
        <w:rPr>
          <w:rFonts w:ascii="方正小标宋_GBK" w:eastAsia="方正小标宋_GBK"/>
          <w:sz w:val="32"/>
        </w:rPr>
        <w:fldChar w:fldCharType="end"/>
      </w:r>
    </w:p>
    <w:tbl>
      <w:tblPr>
        <w:tblStyle w:val="9"/>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w:t>
            </w:r>
            <w:r>
              <w:rPr>
                <w:rFonts w:hint="eastAsia" w:ascii="方正小标宋_GBK" w:eastAsia="方正小标宋_GBK"/>
                <w:sz w:val="24"/>
              </w:rPr>
              <w:t>文化旅游局</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outlineLvl w:val="0"/>
              <w:rPr>
                <w:rFonts w:eastAsia="方正仿宋_GBK"/>
                <w:sz w:val="28"/>
              </w:rPr>
            </w:pPr>
          </w:p>
        </w:tc>
        <w:tc>
          <w:tcPr>
            <w:tcW w:w="1531" w:type="dxa"/>
            <w:vMerge w:val="continue"/>
            <w:vAlign w:val="center"/>
          </w:tcPr>
          <w:p>
            <w:pPr>
              <w:spacing w:line="300" w:lineRule="exact"/>
              <w:jc w:val="left"/>
              <w:outlineLvl w:val="0"/>
              <w:rPr>
                <w:rFonts w:eastAsia="方正仿宋_GBK"/>
                <w:sz w:val="28"/>
              </w:rPr>
            </w:pPr>
          </w:p>
        </w:tc>
        <w:tc>
          <w:tcPr>
            <w:tcW w:w="709" w:type="dxa"/>
            <w:vMerge w:val="continue"/>
            <w:vAlign w:val="center"/>
          </w:tcPr>
          <w:p>
            <w:pPr>
              <w:spacing w:line="300" w:lineRule="exact"/>
              <w:jc w:val="left"/>
              <w:outlineLvl w:val="0"/>
              <w:rPr>
                <w:rFonts w:eastAsia="方正仿宋_GBK"/>
                <w:sz w:val="28"/>
              </w:rPr>
            </w:pPr>
          </w:p>
        </w:tc>
        <w:tc>
          <w:tcPr>
            <w:tcW w:w="907" w:type="dxa"/>
            <w:vMerge w:val="continue"/>
            <w:vAlign w:val="center"/>
          </w:tcPr>
          <w:p>
            <w:pPr>
              <w:spacing w:line="300" w:lineRule="exact"/>
              <w:jc w:val="left"/>
              <w:outlineLvl w:val="0"/>
              <w:rPr>
                <w:rFonts w:eastAsia="方正仿宋_GBK"/>
                <w:sz w:val="28"/>
              </w:rPr>
            </w:pPr>
          </w:p>
        </w:tc>
        <w:tc>
          <w:tcPr>
            <w:tcW w:w="907" w:type="dxa"/>
            <w:vMerge w:val="continue"/>
            <w:vAlign w:val="center"/>
          </w:tcPr>
          <w:p>
            <w:pPr>
              <w:spacing w:line="300" w:lineRule="exact"/>
              <w:jc w:val="left"/>
              <w:outlineLvl w:val="0"/>
              <w:rPr>
                <w:rFonts w:eastAsia="方正仿宋_GBK"/>
                <w:sz w:val="28"/>
              </w:rPr>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赞皇县文化广电体育和旅游局小计</w:t>
            </w: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r>
              <w:rPr>
                <w:rFonts w:ascii="方正书宋_GBK" w:eastAsia="方正书宋_GBK"/>
                <w:b/>
              </w:rPr>
              <w:t>202.60</w:t>
            </w:r>
          </w:p>
        </w:tc>
        <w:tc>
          <w:tcPr>
            <w:tcW w:w="1134" w:type="dxa"/>
            <w:vAlign w:val="center"/>
          </w:tcPr>
          <w:p>
            <w:pPr>
              <w:spacing w:line="300" w:lineRule="exact"/>
              <w:jc w:val="right"/>
              <w:rPr>
                <w:rFonts w:ascii="方正书宋_GBK" w:eastAsia="方正书宋_GBK"/>
                <w:b/>
              </w:rPr>
            </w:pPr>
            <w:r>
              <w:rPr>
                <w:rFonts w:ascii="方正书宋_GBK" w:eastAsia="方正书宋_GBK"/>
                <w:b/>
              </w:rPr>
              <w:t>122.60</w:t>
            </w:r>
          </w:p>
        </w:tc>
        <w:tc>
          <w:tcPr>
            <w:tcW w:w="1134" w:type="dxa"/>
            <w:vAlign w:val="center"/>
          </w:tcPr>
          <w:p>
            <w:pPr>
              <w:spacing w:line="300" w:lineRule="exact"/>
              <w:jc w:val="right"/>
              <w:rPr>
                <w:rFonts w:ascii="方正书宋_GBK" w:eastAsia="方正书宋_GBK"/>
                <w:b/>
              </w:rPr>
            </w:pPr>
            <w:r>
              <w:rPr>
                <w:rFonts w:ascii="方正书宋_GBK" w:eastAsia="方正书宋_GBK"/>
                <w:b/>
              </w:rPr>
              <w:t>80.00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年中央补助旅游厕所建设（冀财教</w:t>
            </w:r>
            <w:r>
              <w:rPr>
                <w:rFonts w:ascii="方正书宋_GBK" w:eastAsia="方正书宋_GBK"/>
              </w:rPr>
              <w:t>[2019]109</w:t>
            </w:r>
            <w:r>
              <w:rPr>
                <w:rFonts w:hint="eastAsia" w:ascii="方正书宋_GBK" w:eastAsia="方正书宋_GBK"/>
              </w:rPr>
              <w:t>号）</w:t>
            </w:r>
          </w:p>
        </w:tc>
        <w:tc>
          <w:tcPr>
            <w:tcW w:w="1134" w:type="dxa"/>
            <w:vAlign w:val="center"/>
          </w:tcPr>
          <w:p>
            <w:pPr>
              <w:spacing w:line="300" w:lineRule="exact"/>
              <w:jc w:val="right"/>
              <w:rPr>
                <w:rFonts w:ascii="方正书宋_GBK" w:eastAsia="方正书宋_GBK"/>
              </w:rPr>
            </w:pPr>
            <w:r>
              <w:rPr>
                <w:rFonts w:ascii="方正书宋_GBK" w:eastAsia="方正书宋_GBK"/>
              </w:rPr>
              <w:t>80.00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其他商业和服务用房施工</w:t>
            </w:r>
          </w:p>
        </w:tc>
        <w:tc>
          <w:tcPr>
            <w:tcW w:w="1531" w:type="dxa"/>
            <w:vAlign w:val="center"/>
          </w:tcPr>
          <w:p>
            <w:pPr>
              <w:spacing w:line="300" w:lineRule="exact"/>
              <w:jc w:val="left"/>
              <w:rPr>
                <w:rFonts w:ascii="方正书宋_GBK" w:eastAsia="方正书宋_GBK"/>
              </w:rPr>
            </w:pPr>
            <w:r>
              <w:rPr>
                <w:rFonts w:ascii="方正书宋_GBK" w:eastAsia="方正书宋_GBK"/>
              </w:rPr>
              <w:t>B010399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座</w:t>
            </w:r>
          </w:p>
        </w:tc>
        <w:tc>
          <w:tcPr>
            <w:tcW w:w="907" w:type="dxa"/>
            <w:vAlign w:val="center"/>
          </w:tcPr>
          <w:p>
            <w:pPr>
              <w:spacing w:line="300" w:lineRule="exact"/>
              <w:jc w:val="right"/>
              <w:rPr>
                <w:rFonts w:ascii="方正书宋_GBK" w:eastAsia="方正书宋_GBK"/>
              </w:rPr>
            </w:pPr>
            <w:r>
              <w:rPr>
                <w:rFonts w:ascii="方正书宋_GBK" w:eastAsia="方正书宋_GBK"/>
              </w:rPr>
              <w:t>1.00</w:t>
            </w:r>
          </w:p>
        </w:tc>
        <w:tc>
          <w:tcPr>
            <w:tcW w:w="907" w:type="dxa"/>
            <w:vAlign w:val="center"/>
          </w:tcPr>
          <w:p>
            <w:pPr>
              <w:spacing w:line="300" w:lineRule="exact"/>
              <w:jc w:val="right"/>
              <w:rPr>
                <w:rFonts w:ascii="方正书宋_GBK" w:eastAsia="方正书宋_GBK"/>
              </w:rPr>
            </w:pPr>
            <w:r>
              <w:rPr>
                <w:rFonts w:ascii="方正书宋_GBK" w:eastAsia="方正书宋_GBK"/>
              </w:rPr>
              <w:t>80.00</w:t>
            </w:r>
          </w:p>
        </w:tc>
        <w:tc>
          <w:tcPr>
            <w:tcW w:w="1134" w:type="dxa"/>
            <w:vAlign w:val="center"/>
          </w:tcPr>
          <w:p>
            <w:pPr>
              <w:spacing w:line="300" w:lineRule="exact"/>
              <w:jc w:val="right"/>
              <w:rPr>
                <w:rFonts w:ascii="方正书宋_GBK" w:eastAsia="方正书宋_GBK"/>
              </w:rPr>
            </w:pPr>
            <w:r>
              <w:rPr>
                <w:rFonts w:ascii="方正书宋_GBK" w:eastAsia="方正书宋_GBK"/>
              </w:rPr>
              <w:t>80.00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rPr>
                <w:rFonts w:ascii="方正书宋_GBK" w:eastAsia="方正书宋_GBK"/>
              </w:rPr>
              <w:t>80.00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年农村文化建设</w:t>
            </w:r>
            <w:r>
              <w:rPr>
                <w:cs/>
              </w:rPr>
              <w:t>—</w:t>
            </w:r>
            <w:r>
              <w:rPr>
                <w:rFonts w:hint="eastAsia" w:ascii="方正书宋_GBK" w:eastAsia="方正书宋_GBK"/>
              </w:rPr>
              <w:t>村文化活动室设备购置（冀财教</w:t>
            </w:r>
            <w:r>
              <w:rPr>
                <w:rFonts w:ascii="方正书宋_GBK" w:eastAsia="方正书宋_GBK"/>
              </w:rPr>
              <w:t>[2019]134</w:t>
            </w:r>
            <w:r>
              <w:rPr>
                <w:rFonts w:hint="eastAsia" w:ascii="方正书宋_GBK" w:eastAsia="方正书宋_GBK"/>
              </w:rPr>
              <w:t>号）</w:t>
            </w:r>
          </w:p>
        </w:tc>
        <w:tc>
          <w:tcPr>
            <w:tcW w:w="1134" w:type="dxa"/>
            <w:vAlign w:val="center"/>
          </w:tcPr>
          <w:p>
            <w:pPr>
              <w:spacing w:line="300" w:lineRule="exact"/>
              <w:jc w:val="right"/>
              <w:rPr>
                <w:rFonts w:ascii="方正书宋_GBK" w:eastAsia="方正书宋_GBK"/>
              </w:rPr>
            </w:pPr>
            <w:r>
              <w:rPr>
                <w:rFonts w:ascii="方正书宋_GBK" w:eastAsia="方正书宋_GBK"/>
              </w:rPr>
              <w:t>55.00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其他组合音像设备</w:t>
            </w:r>
          </w:p>
        </w:tc>
        <w:tc>
          <w:tcPr>
            <w:tcW w:w="1531" w:type="dxa"/>
            <w:vAlign w:val="center"/>
          </w:tcPr>
          <w:p>
            <w:pPr>
              <w:spacing w:line="300" w:lineRule="exact"/>
              <w:jc w:val="left"/>
              <w:rPr>
                <w:rFonts w:ascii="方正书宋_GBK" w:eastAsia="方正书宋_GBK"/>
              </w:rPr>
            </w:pPr>
            <w:r>
              <w:rPr>
                <w:rFonts w:ascii="方正书宋_GBK" w:eastAsia="方正书宋_GBK"/>
              </w:rPr>
              <w:t>A02091399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vAlign w:val="center"/>
          </w:tcPr>
          <w:p>
            <w:pPr>
              <w:spacing w:line="300" w:lineRule="exact"/>
              <w:jc w:val="right"/>
              <w:rPr>
                <w:rFonts w:ascii="方正书宋_GBK" w:eastAsia="方正书宋_GBK"/>
              </w:rPr>
            </w:pPr>
            <w:r>
              <w:rPr>
                <w:rFonts w:ascii="方正书宋_GBK" w:eastAsia="方正书宋_GBK"/>
              </w:rPr>
              <w:t>1.00</w:t>
            </w:r>
          </w:p>
        </w:tc>
        <w:tc>
          <w:tcPr>
            <w:tcW w:w="907" w:type="dxa"/>
            <w:vAlign w:val="center"/>
          </w:tcPr>
          <w:p>
            <w:pPr>
              <w:spacing w:line="300" w:lineRule="exact"/>
              <w:jc w:val="right"/>
              <w:rPr>
                <w:rFonts w:ascii="方正书宋_GBK" w:eastAsia="方正书宋_GBK"/>
              </w:rPr>
            </w:pPr>
            <w:r>
              <w:rPr>
                <w:rFonts w:ascii="方正书宋_GBK" w:eastAsia="方正书宋_GBK"/>
              </w:rPr>
              <w:t>55.00</w:t>
            </w:r>
          </w:p>
        </w:tc>
        <w:tc>
          <w:tcPr>
            <w:tcW w:w="1134" w:type="dxa"/>
            <w:vAlign w:val="center"/>
          </w:tcPr>
          <w:p>
            <w:pPr>
              <w:spacing w:line="300" w:lineRule="exact"/>
              <w:jc w:val="right"/>
              <w:rPr>
                <w:rFonts w:ascii="方正书宋_GBK" w:eastAsia="方正书宋_GBK"/>
              </w:rPr>
            </w:pPr>
            <w:r>
              <w:rPr>
                <w:rFonts w:ascii="方正书宋_GBK" w:eastAsia="方正书宋_GBK"/>
              </w:rPr>
              <w:t>55.00</w:t>
            </w:r>
          </w:p>
        </w:tc>
        <w:tc>
          <w:tcPr>
            <w:tcW w:w="1134" w:type="dxa"/>
            <w:vAlign w:val="center"/>
          </w:tcPr>
          <w:p>
            <w:pPr>
              <w:spacing w:line="300" w:lineRule="exact"/>
              <w:jc w:val="right"/>
              <w:rPr>
                <w:rFonts w:ascii="方正书宋_GBK" w:eastAsia="方正书宋_GBK"/>
              </w:rPr>
            </w:pPr>
            <w:r>
              <w:rPr>
                <w:rFonts w:ascii="方正书宋_GBK" w:eastAsia="方正书宋_GBK"/>
              </w:rPr>
              <w:t>55.00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年省级补助旅游厕所建设（冀财教</w:t>
            </w:r>
            <w:r>
              <w:rPr>
                <w:rFonts w:ascii="方正书宋_GBK" w:eastAsia="方正书宋_GBK"/>
              </w:rPr>
              <w:t>[2019]140</w:t>
            </w:r>
            <w:r>
              <w:rPr>
                <w:rFonts w:hint="eastAsia" w:ascii="方正书宋_GBK" w:eastAsia="方正书宋_GBK"/>
              </w:rPr>
              <w:t>号）</w:t>
            </w:r>
          </w:p>
        </w:tc>
        <w:tc>
          <w:tcPr>
            <w:tcW w:w="1134" w:type="dxa"/>
            <w:vAlign w:val="center"/>
          </w:tcPr>
          <w:p>
            <w:pPr>
              <w:spacing w:line="300" w:lineRule="exact"/>
              <w:jc w:val="right"/>
              <w:rPr>
                <w:rFonts w:ascii="方正书宋_GBK" w:eastAsia="方正书宋_GBK"/>
              </w:rPr>
            </w:pPr>
            <w:r>
              <w:rPr>
                <w:rFonts w:ascii="方正书宋_GBK" w:eastAsia="方正书宋_GBK"/>
              </w:rPr>
              <w:t>34.60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其他商业和服务用房施工</w:t>
            </w:r>
          </w:p>
        </w:tc>
        <w:tc>
          <w:tcPr>
            <w:tcW w:w="1531" w:type="dxa"/>
            <w:vAlign w:val="center"/>
          </w:tcPr>
          <w:p>
            <w:pPr>
              <w:spacing w:line="300" w:lineRule="exact"/>
              <w:jc w:val="left"/>
              <w:rPr>
                <w:rFonts w:ascii="方正书宋_GBK" w:eastAsia="方正书宋_GBK"/>
              </w:rPr>
            </w:pPr>
            <w:r>
              <w:rPr>
                <w:rFonts w:ascii="方正书宋_GBK" w:eastAsia="方正书宋_GBK"/>
              </w:rPr>
              <w:t>B010399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座</w:t>
            </w:r>
          </w:p>
        </w:tc>
        <w:tc>
          <w:tcPr>
            <w:tcW w:w="907" w:type="dxa"/>
            <w:vAlign w:val="center"/>
          </w:tcPr>
          <w:p>
            <w:pPr>
              <w:spacing w:line="300" w:lineRule="exact"/>
              <w:jc w:val="right"/>
              <w:rPr>
                <w:rFonts w:ascii="方正书宋_GBK" w:eastAsia="方正书宋_GBK"/>
              </w:rPr>
            </w:pPr>
            <w:r>
              <w:rPr>
                <w:rFonts w:ascii="方正书宋_GBK" w:eastAsia="方正书宋_GBK"/>
              </w:rPr>
              <w:t>1.00</w:t>
            </w:r>
          </w:p>
        </w:tc>
        <w:tc>
          <w:tcPr>
            <w:tcW w:w="907" w:type="dxa"/>
            <w:vAlign w:val="center"/>
          </w:tcPr>
          <w:p>
            <w:pPr>
              <w:spacing w:line="300" w:lineRule="exact"/>
              <w:jc w:val="right"/>
              <w:rPr>
                <w:rFonts w:ascii="方正书宋_GBK" w:eastAsia="方正书宋_GBK"/>
              </w:rPr>
            </w:pPr>
            <w:r>
              <w:rPr>
                <w:rFonts w:ascii="方正书宋_GBK" w:eastAsia="方正书宋_GBK"/>
              </w:rPr>
              <w:t>34.60</w:t>
            </w:r>
          </w:p>
        </w:tc>
        <w:tc>
          <w:tcPr>
            <w:tcW w:w="1134" w:type="dxa"/>
            <w:vAlign w:val="center"/>
          </w:tcPr>
          <w:p>
            <w:pPr>
              <w:spacing w:line="300" w:lineRule="exact"/>
              <w:jc w:val="right"/>
              <w:rPr>
                <w:rFonts w:ascii="方正书宋_GBK" w:eastAsia="方正书宋_GBK"/>
              </w:rPr>
            </w:pPr>
            <w:r>
              <w:rPr>
                <w:rFonts w:ascii="方正书宋_GBK" w:eastAsia="方正书宋_GBK"/>
              </w:rPr>
              <w:t>34.60</w:t>
            </w:r>
          </w:p>
        </w:tc>
        <w:tc>
          <w:tcPr>
            <w:tcW w:w="1134" w:type="dxa"/>
            <w:vAlign w:val="center"/>
          </w:tcPr>
          <w:p>
            <w:pPr>
              <w:spacing w:line="300" w:lineRule="exact"/>
              <w:jc w:val="right"/>
              <w:rPr>
                <w:rFonts w:ascii="方正书宋_GBK" w:eastAsia="方正书宋_GBK"/>
              </w:rPr>
            </w:pPr>
            <w:r>
              <w:rPr>
                <w:rFonts w:ascii="方正书宋_GBK" w:eastAsia="方正书宋_GBK"/>
              </w:rPr>
              <w:t>34.60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年农村文化建设</w:t>
            </w:r>
            <w:r>
              <w:rPr>
                <w:cs/>
              </w:rPr>
              <w:t>—</w:t>
            </w:r>
            <w:r>
              <w:rPr>
                <w:rFonts w:hint="eastAsia" w:ascii="方正书宋_GBK" w:eastAsia="方正书宋_GBK"/>
              </w:rPr>
              <w:t>戏曲进乡村</w:t>
            </w:r>
            <w:r>
              <w:rPr>
                <w:rFonts w:ascii="方正书宋_GBK" w:eastAsia="方正书宋_GBK"/>
              </w:rPr>
              <w:t>(</w:t>
            </w:r>
            <w:r>
              <w:rPr>
                <w:rFonts w:hint="eastAsia" w:ascii="方正书宋_GBK" w:eastAsia="方正书宋_GBK"/>
              </w:rPr>
              <w:t>冀财教</w:t>
            </w:r>
            <w:r>
              <w:rPr>
                <w:rFonts w:ascii="方正书宋_GBK" w:eastAsia="方正书宋_GBK"/>
              </w:rPr>
              <w:t>[2019]134</w:t>
            </w:r>
            <w:r>
              <w:rPr>
                <w:rFonts w:hint="eastAsia" w:ascii="方正书宋_GBK" w:eastAsia="方正书宋_GBK"/>
              </w:rPr>
              <w:t>号）</w:t>
            </w:r>
          </w:p>
        </w:tc>
        <w:tc>
          <w:tcPr>
            <w:tcW w:w="1134" w:type="dxa"/>
            <w:vAlign w:val="center"/>
          </w:tcPr>
          <w:p>
            <w:pPr>
              <w:spacing w:line="300" w:lineRule="exact"/>
              <w:jc w:val="right"/>
              <w:rPr>
                <w:rFonts w:ascii="方正书宋_GBK" w:eastAsia="方正书宋_GBK"/>
              </w:rPr>
            </w:pPr>
            <w:r>
              <w:rPr>
                <w:rFonts w:ascii="方正书宋_GBK" w:eastAsia="方正书宋_GBK"/>
              </w:rPr>
              <w:t>33.00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其他文化艺术服务</w:t>
            </w:r>
          </w:p>
        </w:tc>
        <w:tc>
          <w:tcPr>
            <w:tcW w:w="1531" w:type="dxa"/>
            <w:vAlign w:val="center"/>
          </w:tcPr>
          <w:p>
            <w:pPr>
              <w:spacing w:line="300" w:lineRule="exact"/>
              <w:jc w:val="left"/>
              <w:rPr>
                <w:rFonts w:ascii="方正书宋_GBK" w:eastAsia="方正书宋_GBK"/>
              </w:rPr>
            </w:pPr>
            <w:r>
              <w:rPr>
                <w:rFonts w:ascii="方正书宋_GBK" w:eastAsia="方正书宋_GBK"/>
              </w:rPr>
              <w:t>C200399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场</w:t>
            </w:r>
          </w:p>
        </w:tc>
        <w:tc>
          <w:tcPr>
            <w:tcW w:w="907" w:type="dxa"/>
            <w:vAlign w:val="center"/>
          </w:tcPr>
          <w:p>
            <w:pPr>
              <w:spacing w:line="300" w:lineRule="exact"/>
              <w:jc w:val="right"/>
              <w:rPr>
                <w:rFonts w:ascii="方正书宋_GBK" w:eastAsia="方正书宋_GBK"/>
              </w:rPr>
            </w:pPr>
            <w:r>
              <w:rPr>
                <w:rFonts w:ascii="方正书宋_GBK" w:eastAsia="方正书宋_GBK"/>
              </w:rPr>
              <w:t>66.00</w:t>
            </w:r>
          </w:p>
        </w:tc>
        <w:tc>
          <w:tcPr>
            <w:tcW w:w="907" w:type="dxa"/>
            <w:vAlign w:val="center"/>
          </w:tcPr>
          <w:p>
            <w:pPr>
              <w:spacing w:line="300" w:lineRule="exact"/>
              <w:jc w:val="right"/>
              <w:rPr>
                <w:rFonts w:ascii="方正书宋_GBK" w:eastAsia="方正书宋_GBK"/>
              </w:rPr>
            </w:pPr>
            <w:r>
              <w:rPr>
                <w:rFonts w:ascii="方正书宋_GBK" w:eastAsia="方正书宋_GBK"/>
              </w:rPr>
              <w:t>0.50</w:t>
            </w:r>
          </w:p>
        </w:tc>
        <w:tc>
          <w:tcPr>
            <w:tcW w:w="1134" w:type="dxa"/>
            <w:vAlign w:val="center"/>
          </w:tcPr>
          <w:p>
            <w:pPr>
              <w:spacing w:line="300" w:lineRule="exact"/>
              <w:jc w:val="right"/>
              <w:rPr>
                <w:rFonts w:ascii="方正书宋_GBK" w:eastAsia="方正书宋_GBK"/>
              </w:rPr>
            </w:pPr>
            <w:r>
              <w:rPr>
                <w:rFonts w:ascii="方正书宋_GBK" w:eastAsia="方正书宋_GBK"/>
              </w:rPr>
              <w:t>33.00</w:t>
            </w:r>
          </w:p>
        </w:tc>
        <w:tc>
          <w:tcPr>
            <w:tcW w:w="1134" w:type="dxa"/>
            <w:vAlign w:val="center"/>
          </w:tcPr>
          <w:p>
            <w:pPr>
              <w:spacing w:line="300" w:lineRule="exact"/>
              <w:jc w:val="right"/>
              <w:rPr>
                <w:rFonts w:ascii="方正书宋_GBK" w:eastAsia="方正书宋_GBK"/>
              </w:rPr>
            </w:pPr>
            <w:r>
              <w:rPr>
                <w:rFonts w:ascii="方正书宋_GBK" w:eastAsia="方正书宋_GBK"/>
              </w:rPr>
              <w:t>33.00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bl>
    <w:p>
      <w:pPr>
        <w:spacing w:line="300" w:lineRule="exact"/>
        <w:ind w:firstLine="560" w:firstLineChars="200"/>
        <w:jc w:val="left"/>
        <w:outlineLvl w:val="0"/>
        <w:rPr>
          <w:rFonts w:eastAsia="方正仿宋_GBK"/>
          <w:sz w:val="28"/>
        </w:rPr>
        <w:sectPr>
          <w:pgSz w:w="16839" w:h="11907" w:orient="landscape"/>
          <w:pgMar w:top="1361" w:right="1020" w:bottom="1361" w:left="1020" w:header="851" w:footer="992" w:gutter="0"/>
          <w:cols w:space="720" w:num="1"/>
          <w:docGrid w:type="lines" w:linePitch="312" w:charSpace="0"/>
        </w:sectPr>
      </w:pPr>
    </w:p>
    <w:p>
      <w:pPr>
        <w:ind w:firstLine="640" w:firstLineChars="200"/>
        <w:rPr>
          <w:rFonts w:ascii="仿宋" w:hAnsi="仿宋" w:eastAsia="仿宋"/>
          <w:color w:val="FF0000"/>
          <w:sz w:val="32"/>
          <w:szCs w:val="32"/>
        </w:rPr>
      </w:pPr>
    </w:p>
    <w:bookmarkEnd w:id="19"/>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rPr>
          <w:rFonts w:ascii="仿宋_GB2312" w:hAnsi="黑体" w:eastAsia="仿宋_GB2312"/>
          <w:sz w:val="32"/>
          <w:szCs w:val="32"/>
        </w:rPr>
      </w:pPr>
      <w:r>
        <w:rPr>
          <w:rFonts w:hint="eastAsia" w:ascii="仿宋_GB2312" w:hAnsi="黑体" w:eastAsia="仿宋_GB2312"/>
          <w:sz w:val="32"/>
          <w:szCs w:val="32"/>
        </w:rPr>
        <w:t>上年末固定资产金额为</w:t>
      </w:r>
      <w:r>
        <w:rPr>
          <w:rFonts w:ascii="仿宋_GB2312" w:hAnsi="黑体" w:eastAsia="仿宋_GB2312"/>
          <w:sz w:val="32"/>
          <w:szCs w:val="32"/>
        </w:rPr>
        <w:t>0</w:t>
      </w:r>
      <w:r>
        <w:rPr>
          <w:rFonts w:hint="eastAsia" w:ascii="仿宋_GB2312" w:hAnsi="黑体" w:eastAsia="仿宋_GB2312"/>
          <w:sz w:val="32"/>
          <w:szCs w:val="32"/>
        </w:rPr>
        <w:t>万元</w:t>
      </w:r>
      <w:r>
        <w:rPr>
          <w:rFonts w:ascii="仿宋_GB2312" w:hAnsi="黑体" w:eastAsia="仿宋_GB2312"/>
          <w:sz w:val="32"/>
          <w:szCs w:val="32"/>
        </w:rPr>
        <w:t>(</w:t>
      </w:r>
      <w:r>
        <w:rPr>
          <w:rFonts w:hint="eastAsia" w:ascii="仿宋_GB2312" w:hAnsi="黑体" w:eastAsia="仿宋_GB2312"/>
          <w:sz w:val="32"/>
          <w:szCs w:val="32"/>
        </w:rPr>
        <w:t>详见下表</w:t>
      </w:r>
      <w:r>
        <w:rPr>
          <w:rFonts w:ascii="仿宋_GB2312" w:hAnsi="黑体" w:eastAsia="仿宋_GB2312"/>
          <w:sz w:val="32"/>
          <w:szCs w:val="32"/>
        </w:rPr>
        <w:t>)</w:t>
      </w:r>
      <w:r>
        <w:rPr>
          <w:rFonts w:hint="eastAsia" w:ascii="仿宋_GB2312" w:hAnsi="黑体" w:eastAsia="仿宋_GB2312"/>
          <w:sz w:val="32"/>
          <w:szCs w:val="32"/>
        </w:rPr>
        <w:t>。本年度拟购置的固定资产为</w:t>
      </w:r>
      <w:r>
        <w:rPr>
          <w:rFonts w:ascii="仿宋_GB2312" w:hAnsi="黑体" w:eastAsia="仿宋_GB2312"/>
          <w:sz w:val="32"/>
          <w:szCs w:val="32"/>
        </w:rPr>
        <w:t>0</w:t>
      </w:r>
      <w:r>
        <w:rPr>
          <w:rFonts w:hint="eastAsia" w:ascii="仿宋_GB2312" w:hAnsi="黑体" w:eastAsia="仿宋_GB2312"/>
          <w:sz w:val="32"/>
          <w:szCs w:val="32"/>
        </w:rPr>
        <w:t>万元。</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赞皇县县直部门固定资产占用情况表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编制部门：赞皇县文化广电体育和旅游局</w:t>
            </w:r>
          </w:p>
        </w:tc>
        <w:tc>
          <w:tcPr>
            <w:tcW w:w="5103"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w:t>
            </w:r>
            <w:r>
              <w:rPr>
                <w:rFonts w:hint="eastAsia" w:ascii="宋体" w:hAnsi="宋体" w:cs="宋体"/>
                <w:kern w:val="0"/>
                <w:sz w:val="22"/>
              </w:rPr>
              <w:t>9年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w:t>
            </w:r>
          </w:p>
        </w:tc>
      </w:tr>
    </w:tbl>
    <w:p>
      <w:pPr>
        <w:autoSpaceDE w:val="0"/>
        <w:autoSpaceDN w:val="0"/>
        <w:adjustRightInd w:val="0"/>
        <w:ind w:left="198" w:firstLine="640" w:firstLineChars="200"/>
        <w:jc w:val="left"/>
        <w:rPr>
          <w:rFonts w:ascii="黑体" w:hAnsi="黑体" w:eastAsia="黑体"/>
          <w:sz w:val="32"/>
          <w:szCs w:val="32"/>
        </w:rPr>
        <w:sectPr>
          <w:headerReference r:id="rId3" w:type="default"/>
          <w:headerReference r:id="rId4" w:type="even"/>
          <w:pgSz w:w="16838" w:h="11906" w:orient="landscape"/>
          <w:pgMar w:top="1797" w:right="1440" w:bottom="1797" w:left="1440" w:header="851" w:footer="992" w:gutter="0"/>
          <w:cols w:space="425" w:num="1"/>
          <w:docGrid w:type="linesAndChars" w:linePitch="312" w:charSpace="0"/>
        </w:sect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、一般公共预算拨款收入：指县级财政当年拨付的资金。</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机关运行费：是指各部门的公用经费，包括办公及印刷费、邮电费、差旅费、福利费、日常维修费、专用材料及一般设备购置费、办公用房水电费、办公用房取暖费、办公用房物业管理费、公务用车运行维护费以及其他费用。</w:t>
      </w:r>
    </w:p>
    <w:p>
      <w:pPr>
        <w:ind w:left="160" w:leftChars="76" w:firstLine="656" w:firstLineChars="205"/>
        <w:jc w:val="left"/>
        <w:rPr>
          <w:rFonts w:ascii="仿宋" w:hAnsi="仿宋" w:eastAsia="仿宋" w:cs="Arial"/>
          <w:color w:val="333333"/>
          <w:sz w:val="32"/>
          <w:szCs w:val="32"/>
          <w:shd w:val="clear" w:color="auto" w:fill="FFFFFF"/>
        </w:rPr>
      </w:pPr>
      <w:r>
        <w:rPr>
          <w:rFonts w:ascii="仿宋" w:hAnsi="仿宋" w:eastAsia="仿宋"/>
          <w:sz w:val="32"/>
          <w:szCs w:val="32"/>
        </w:rPr>
        <w:t>6</w:t>
      </w:r>
      <w:r>
        <w:rPr>
          <w:rFonts w:hint="eastAsia" w:ascii="仿宋" w:hAnsi="仿宋" w:eastAsia="仿宋"/>
          <w:sz w:val="32"/>
          <w:szCs w:val="32"/>
        </w:rPr>
        <w:t>、文化发展环境健康向上是指：文化发展能力不断增强，文化艺术文化资源丰富，公共文化服务和文化艺术生产水平不断提高。</w:t>
      </w:r>
    </w:p>
    <w:p>
      <w:pPr>
        <w:ind w:left="160" w:hanging="160" w:hangingChars="50"/>
        <w:jc w:val="left"/>
        <w:outlineLvl w:val="0"/>
        <w:rPr>
          <w:rFonts w:ascii="仿宋" w:hAnsi="仿宋" w:eastAsia="仿宋" w:cs="Arial"/>
          <w:color w:val="333333"/>
          <w:sz w:val="32"/>
          <w:szCs w:val="32"/>
          <w:shd w:val="clear" w:color="auto" w:fill="FFFFFF"/>
        </w:rPr>
      </w:pPr>
      <w:r>
        <w:rPr>
          <w:rFonts w:ascii="仿宋" w:hAnsi="仿宋" w:eastAsia="仿宋"/>
          <w:sz w:val="32"/>
          <w:szCs w:val="32"/>
        </w:rPr>
        <w:t xml:space="preserve">     7</w:t>
      </w:r>
      <w:r>
        <w:rPr>
          <w:rFonts w:hint="eastAsia" w:ascii="仿宋" w:hAnsi="仿宋" w:eastAsia="仿宋"/>
          <w:sz w:val="32"/>
          <w:szCs w:val="32"/>
        </w:rPr>
        <w:t>、公共文化资源共享是指：形成城乡一体公共文化服务网络，以公共文化产品生产和服务能力提高，基本公共文化服务标准化、均等化水平不断提高</w:t>
      </w:r>
      <w:r>
        <w:rPr>
          <w:rFonts w:hint="eastAsia" w:ascii="仿宋" w:hAnsi="仿宋" w:eastAsia="仿宋" w:cs="Arial"/>
          <w:color w:val="333333"/>
          <w:sz w:val="32"/>
          <w:szCs w:val="32"/>
          <w:shd w:val="clear" w:color="auto" w:fill="FFFFFF"/>
        </w:rPr>
        <w:t>。</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 w:name="方正书宋_GBK">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3000509000000000000"/>
    <w:charset w:val="86"/>
    <w:family w:val="script"/>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M2MTBjNGQ1NzY3ZDU4M2YzZTlhODdhMjczZjMyYmIifQ=="/>
  </w:docVars>
  <w:rsids>
    <w:rsidRoot w:val="00F66032"/>
    <w:rsid w:val="0001524B"/>
    <w:rsid w:val="00024976"/>
    <w:rsid w:val="00034786"/>
    <w:rsid w:val="00037AF6"/>
    <w:rsid w:val="00042F57"/>
    <w:rsid w:val="0006483E"/>
    <w:rsid w:val="00075D5F"/>
    <w:rsid w:val="0008102F"/>
    <w:rsid w:val="00087953"/>
    <w:rsid w:val="00094026"/>
    <w:rsid w:val="000B4DFE"/>
    <w:rsid w:val="000B529B"/>
    <w:rsid w:val="000C2037"/>
    <w:rsid w:val="000C3A19"/>
    <w:rsid w:val="000F5BEE"/>
    <w:rsid w:val="00107971"/>
    <w:rsid w:val="001245BB"/>
    <w:rsid w:val="001251A3"/>
    <w:rsid w:val="001407AA"/>
    <w:rsid w:val="00153A5A"/>
    <w:rsid w:val="00165294"/>
    <w:rsid w:val="0017381C"/>
    <w:rsid w:val="0018023A"/>
    <w:rsid w:val="00191140"/>
    <w:rsid w:val="001B1455"/>
    <w:rsid w:val="001B2BF3"/>
    <w:rsid w:val="001B4EF3"/>
    <w:rsid w:val="001B56A0"/>
    <w:rsid w:val="001F5EC0"/>
    <w:rsid w:val="001F7873"/>
    <w:rsid w:val="00212B51"/>
    <w:rsid w:val="00241FD4"/>
    <w:rsid w:val="00251B12"/>
    <w:rsid w:val="0026168F"/>
    <w:rsid w:val="00263763"/>
    <w:rsid w:val="00296113"/>
    <w:rsid w:val="002A673A"/>
    <w:rsid w:val="002B68B7"/>
    <w:rsid w:val="002C07BE"/>
    <w:rsid w:val="002C4E30"/>
    <w:rsid w:val="002C5E13"/>
    <w:rsid w:val="002C62BC"/>
    <w:rsid w:val="002E0EB8"/>
    <w:rsid w:val="002E4C55"/>
    <w:rsid w:val="002F3E58"/>
    <w:rsid w:val="003035A0"/>
    <w:rsid w:val="0030542C"/>
    <w:rsid w:val="00311B7A"/>
    <w:rsid w:val="00330EDE"/>
    <w:rsid w:val="0036101A"/>
    <w:rsid w:val="00372FA3"/>
    <w:rsid w:val="00383D51"/>
    <w:rsid w:val="003C372F"/>
    <w:rsid w:val="003D417F"/>
    <w:rsid w:val="003E10C1"/>
    <w:rsid w:val="003F60E9"/>
    <w:rsid w:val="004117EA"/>
    <w:rsid w:val="004147A1"/>
    <w:rsid w:val="004248B8"/>
    <w:rsid w:val="00424943"/>
    <w:rsid w:val="00425163"/>
    <w:rsid w:val="0043175C"/>
    <w:rsid w:val="00437296"/>
    <w:rsid w:val="00451590"/>
    <w:rsid w:val="00451871"/>
    <w:rsid w:val="004631FC"/>
    <w:rsid w:val="004706DE"/>
    <w:rsid w:val="00472923"/>
    <w:rsid w:val="00486CB7"/>
    <w:rsid w:val="00496109"/>
    <w:rsid w:val="004A126C"/>
    <w:rsid w:val="004B0C3A"/>
    <w:rsid w:val="004D4620"/>
    <w:rsid w:val="004D4C06"/>
    <w:rsid w:val="004D5090"/>
    <w:rsid w:val="004D5788"/>
    <w:rsid w:val="004E3066"/>
    <w:rsid w:val="004E74CD"/>
    <w:rsid w:val="004F36DF"/>
    <w:rsid w:val="00501B8E"/>
    <w:rsid w:val="00505BA2"/>
    <w:rsid w:val="00506533"/>
    <w:rsid w:val="00513D3C"/>
    <w:rsid w:val="00516E04"/>
    <w:rsid w:val="005454E7"/>
    <w:rsid w:val="00565588"/>
    <w:rsid w:val="00565852"/>
    <w:rsid w:val="005716C4"/>
    <w:rsid w:val="00572067"/>
    <w:rsid w:val="00573562"/>
    <w:rsid w:val="00590ECE"/>
    <w:rsid w:val="00592ADD"/>
    <w:rsid w:val="00594DF1"/>
    <w:rsid w:val="005B2798"/>
    <w:rsid w:val="005C570E"/>
    <w:rsid w:val="005C762F"/>
    <w:rsid w:val="005F0F38"/>
    <w:rsid w:val="00614A29"/>
    <w:rsid w:val="00643AA7"/>
    <w:rsid w:val="0066414E"/>
    <w:rsid w:val="00673D76"/>
    <w:rsid w:val="00674CD7"/>
    <w:rsid w:val="00680632"/>
    <w:rsid w:val="00685448"/>
    <w:rsid w:val="006854F0"/>
    <w:rsid w:val="006B1C4A"/>
    <w:rsid w:val="006B610D"/>
    <w:rsid w:val="006E49F5"/>
    <w:rsid w:val="006E5C0F"/>
    <w:rsid w:val="006E7D2F"/>
    <w:rsid w:val="007013C8"/>
    <w:rsid w:val="00710899"/>
    <w:rsid w:val="00717B1E"/>
    <w:rsid w:val="0073058C"/>
    <w:rsid w:val="00737AC6"/>
    <w:rsid w:val="00753836"/>
    <w:rsid w:val="0075393C"/>
    <w:rsid w:val="00754592"/>
    <w:rsid w:val="00776C08"/>
    <w:rsid w:val="00786C0C"/>
    <w:rsid w:val="007C219A"/>
    <w:rsid w:val="007E1DA8"/>
    <w:rsid w:val="007F2D37"/>
    <w:rsid w:val="007F33C6"/>
    <w:rsid w:val="007F6C26"/>
    <w:rsid w:val="00813208"/>
    <w:rsid w:val="008334AE"/>
    <w:rsid w:val="00836FED"/>
    <w:rsid w:val="0083724E"/>
    <w:rsid w:val="00845CD2"/>
    <w:rsid w:val="00852B0D"/>
    <w:rsid w:val="00856580"/>
    <w:rsid w:val="00880216"/>
    <w:rsid w:val="00881692"/>
    <w:rsid w:val="00883D1A"/>
    <w:rsid w:val="00884284"/>
    <w:rsid w:val="008A25C2"/>
    <w:rsid w:val="008A2B78"/>
    <w:rsid w:val="008A6576"/>
    <w:rsid w:val="008B3CC5"/>
    <w:rsid w:val="008B52CD"/>
    <w:rsid w:val="008C0108"/>
    <w:rsid w:val="008C1142"/>
    <w:rsid w:val="008E1BB4"/>
    <w:rsid w:val="008E4261"/>
    <w:rsid w:val="008F4662"/>
    <w:rsid w:val="00905D08"/>
    <w:rsid w:val="00922AEB"/>
    <w:rsid w:val="009246CA"/>
    <w:rsid w:val="00925753"/>
    <w:rsid w:val="00932878"/>
    <w:rsid w:val="009425F4"/>
    <w:rsid w:val="00961937"/>
    <w:rsid w:val="00966C5C"/>
    <w:rsid w:val="00973104"/>
    <w:rsid w:val="00995BF0"/>
    <w:rsid w:val="009A16D5"/>
    <w:rsid w:val="009A353D"/>
    <w:rsid w:val="009B0B77"/>
    <w:rsid w:val="009B511E"/>
    <w:rsid w:val="009B69D5"/>
    <w:rsid w:val="009F232F"/>
    <w:rsid w:val="00A01F38"/>
    <w:rsid w:val="00A051F8"/>
    <w:rsid w:val="00A44E3D"/>
    <w:rsid w:val="00A5309C"/>
    <w:rsid w:val="00A61CD6"/>
    <w:rsid w:val="00A64D10"/>
    <w:rsid w:val="00A72D2E"/>
    <w:rsid w:val="00A74447"/>
    <w:rsid w:val="00A74CE5"/>
    <w:rsid w:val="00A83160"/>
    <w:rsid w:val="00A911E7"/>
    <w:rsid w:val="00A939D9"/>
    <w:rsid w:val="00A94AF1"/>
    <w:rsid w:val="00AA1B25"/>
    <w:rsid w:val="00AA6D99"/>
    <w:rsid w:val="00B07D9E"/>
    <w:rsid w:val="00B20712"/>
    <w:rsid w:val="00B32E08"/>
    <w:rsid w:val="00B43238"/>
    <w:rsid w:val="00B45DD3"/>
    <w:rsid w:val="00B46702"/>
    <w:rsid w:val="00B52632"/>
    <w:rsid w:val="00B727A9"/>
    <w:rsid w:val="00B75216"/>
    <w:rsid w:val="00B91D52"/>
    <w:rsid w:val="00B9490F"/>
    <w:rsid w:val="00B96671"/>
    <w:rsid w:val="00BA1ACD"/>
    <w:rsid w:val="00BA53E4"/>
    <w:rsid w:val="00BA6CFB"/>
    <w:rsid w:val="00BD09F8"/>
    <w:rsid w:val="00C01609"/>
    <w:rsid w:val="00C124FC"/>
    <w:rsid w:val="00C62762"/>
    <w:rsid w:val="00C63759"/>
    <w:rsid w:val="00C90B83"/>
    <w:rsid w:val="00CA7176"/>
    <w:rsid w:val="00CB3D48"/>
    <w:rsid w:val="00CB4665"/>
    <w:rsid w:val="00CC2019"/>
    <w:rsid w:val="00CC75B0"/>
    <w:rsid w:val="00CD2773"/>
    <w:rsid w:val="00CD4A36"/>
    <w:rsid w:val="00CE143B"/>
    <w:rsid w:val="00D0024A"/>
    <w:rsid w:val="00D27003"/>
    <w:rsid w:val="00D324C8"/>
    <w:rsid w:val="00D45BE4"/>
    <w:rsid w:val="00D55026"/>
    <w:rsid w:val="00D923F9"/>
    <w:rsid w:val="00DB4A9B"/>
    <w:rsid w:val="00DB6620"/>
    <w:rsid w:val="00DC61D7"/>
    <w:rsid w:val="00E142C8"/>
    <w:rsid w:val="00E15091"/>
    <w:rsid w:val="00E167C7"/>
    <w:rsid w:val="00E2482E"/>
    <w:rsid w:val="00E32063"/>
    <w:rsid w:val="00E40240"/>
    <w:rsid w:val="00E574AA"/>
    <w:rsid w:val="00E73050"/>
    <w:rsid w:val="00E73D47"/>
    <w:rsid w:val="00E81036"/>
    <w:rsid w:val="00EA5971"/>
    <w:rsid w:val="00EC47F6"/>
    <w:rsid w:val="00EE156D"/>
    <w:rsid w:val="00EE65B8"/>
    <w:rsid w:val="00EF203E"/>
    <w:rsid w:val="00EF5E86"/>
    <w:rsid w:val="00EF7717"/>
    <w:rsid w:val="00EF7CB9"/>
    <w:rsid w:val="00F149E2"/>
    <w:rsid w:val="00F2730D"/>
    <w:rsid w:val="00F66032"/>
    <w:rsid w:val="00F7407D"/>
    <w:rsid w:val="00F87C1E"/>
    <w:rsid w:val="00F958C2"/>
    <w:rsid w:val="00FA7A39"/>
    <w:rsid w:val="00FC174A"/>
    <w:rsid w:val="00FF3258"/>
    <w:rsid w:val="00FF3C8E"/>
    <w:rsid w:val="00FF3D62"/>
    <w:rsid w:val="033B4C71"/>
    <w:rsid w:val="11A10F30"/>
    <w:rsid w:val="1BEC3F89"/>
    <w:rsid w:val="286910CB"/>
    <w:rsid w:val="29336E8B"/>
    <w:rsid w:val="31FA621F"/>
    <w:rsid w:val="33BD7B49"/>
    <w:rsid w:val="36801CC7"/>
    <w:rsid w:val="4FCB33E6"/>
    <w:rsid w:val="54BE137D"/>
    <w:rsid w:val="55832B91"/>
    <w:rsid w:val="68E37822"/>
    <w:rsid w:val="6A782616"/>
    <w:rsid w:val="70D5759C"/>
    <w:rsid w:val="74BF2E79"/>
    <w:rsid w:val="7AA846E6"/>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qFormat="1" w:unhideWhenUsed="0" w:uiPriority="99" w:semiHidden="0" w:name="footnote text"/>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qFormat="1" w:unhideWhenUsed="0" w:uiPriority="99" w:semiHidden="0" w:name="footnote reference"/>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qFormat="1" w:unhideWhenUsed="0" w:uiPriority="99" w:semiHidden="0" w:name="Plain Text"/>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Plain Text"/>
    <w:basedOn w:val="1"/>
    <w:link w:val="14"/>
    <w:qFormat/>
    <w:uiPriority w:val="99"/>
    <w:rPr>
      <w:rFonts w:ascii="宋体" w:hAnsi="Courier New" w:cs="Courier New"/>
      <w:szCs w:val="21"/>
    </w:rPr>
  </w:style>
  <w:style w:type="paragraph" w:styleId="3">
    <w:name w:val="Balloon Text"/>
    <w:basedOn w:val="1"/>
    <w:link w:val="15"/>
    <w:qFormat/>
    <w:uiPriority w:val="99"/>
    <w:rPr>
      <w:sz w:val="18"/>
      <w:szCs w:val="18"/>
    </w:rPr>
  </w:style>
  <w:style w:type="paragraph" w:styleId="4">
    <w:name w:val="footer"/>
    <w:basedOn w:val="1"/>
    <w:link w:val="16"/>
    <w:qFormat/>
    <w:uiPriority w:val="99"/>
    <w:pPr>
      <w:tabs>
        <w:tab w:val="center" w:pos="4153"/>
        <w:tab w:val="right" w:pos="8306"/>
      </w:tabs>
      <w:snapToGrid w:val="0"/>
      <w:jc w:val="left"/>
    </w:pPr>
    <w:rPr>
      <w:rFonts w:ascii="Times New Roman" w:hAnsi="Times New Roman"/>
      <w:sz w:val="18"/>
      <w:szCs w:val="18"/>
    </w:rPr>
  </w:style>
  <w:style w:type="paragraph" w:styleId="5">
    <w:name w:val="header"/>
    <w:basedOn w:val="1"/>
    <w:link w:val="17"/>
    <w:qFormat/>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6">
    <w:name w:val="toc 1"/>
    <w:basedOn w:val="1"/>
    <w:next w:val="1"/>
    <w:qFormat/>
    <w:uiPriority w:val="99"/>
    <w:rPr>
      <w:rFonts w:ascii="Times New Roman" w:hAnsi="Times New Roman"/>
      <w:szCs w:val="24"/>
    </w:rPr>
  </w:style>
  <w:style w:type="paragraph" w:styleId="7">
    <w:name w:val="footnote text"/>
    <w:basedOn w:val="1"/>
    <w:link w:val="18"/>
    <w:qFormat/>
    <w:uiPriority w:val="99"/>
    <w:pPr>
      <w:snapToGrid w:val="0"/>
      <w:jc w:val="left"/>
    </w:pPr>
    <w:rPr>
      <w:sz w:val="18"/>
      <w:szCs w:val="18"/>
    </w:rPr>
  </w:style>
  <w:style w:type="paragraph" w:styleId="8">
    <w:name w:val="toc 2"/>
    <w:basedOn w:val="1"/>
    <w:next w:val="1"/>
    <w:qFormat/>
    <w:uiPriority w:val="99"/>
    <w:pPr>
      <w:ind w:left="420" w:leftChars="200"/>
    </w:pPr>
    <w:rPr>
      <w:rFonts w:ascii="Times New Roman" w:hAnsi="Times New Roman"/>
      <w:szCs w:val="24"/>
    </w:rPr>
  </w:style>
  <w:style w:type="character" w:styleId="11">
    <w:name w:val="page number"/>
    <w:qFormat/>
    <w:uiPriority w:val="99"/>
    <w:rPr>
      <w:rFonts w:cs="Times New Roman"/>
    </w:rPr>
  </w:style>
  <w:style w:type="character" w:styleId="12">
    <w:name w:val="Hyperlink"/>
    <w:qFormat/>
    <w:uiPriority w:val="99"/>
    <w:rPr>
      <w:rFonts w:cs="Times New Roman"/>
      <w:color w:val="0000FF"/>
      <w:u w:val="single"/>
    </w:rPr>
  </w:style>
  <w:style w:type="character" w:styleId="13">
    <w:name w:val="footnote reference"/>
    <w:qFormat/>
    <w:uiPriority w:val="99"/>
    <w:rPr>
      <w:rFonts w:cs="Times New Roman"/>
      <w:vertAlign w:val="superscript"/>
    </w:rPr>
  </w:style>
  <w:style w:type="character" w:customStyle="1" w:styleId="14">
    <w:name w:val="纯文本 Char"/>
    <w:link w:val="2"/>
    <w:semiHidden/>
    <w:qFormat/>
    <w:locked/>
    <w:uiPriority w:val="99"/>
    <w:rPr>
      <w:rFonts w:ascii="宋体" w:hAnsi="Courier New" w:cs="Courier New"/>
      <w:sz w:val="21"/>
      <w:szCs w:val="21"/>
    </w:rPr>
  </w:style>
  <w:style w:type="character" w:customStyle="1" w:styleId="15">
    <w:name w:val="批注框文本 Char"/>
    <w:link w:val="3"/>
    <w:semiHidden/>
    <w:qFormat/>
    <w:locked/>
    <w:uiPriority w:val="99"/>
    <w:rPr>
      <w:rFonts w:cs="Times New Roman"/>
      <w:sz w:val="18"/>
      <w:szCs w:val="18"/>
    </w:rPr>
  </w:style>
  <w:style w:type="character" w:customStyle="1" w:styleId="16">
    <w:name w:val="页脚 Char"/>
    <w:link w:val="4"/>
    <w:qFormat/>
    <w:locked/>
    <w:uiPriority w:val="99"/>
    <w:rPr>
      <w:rFonts w:ascii="Times New Roman" w:hAnsi="Times New Roman" w:eastAsia="宋体" w:cs="Times New Roman"/>
      <w:sz w:val="18"/>
      <w:szCs w:val="18"/>
    </w:rPr>
  </w:style>
  <w:style w:type="character" w:customStyle="1" w:styleId="17">
    <w:name w:val="页眉 Char"/>
    <w:link w:val="5"/>
    <w:qFormat/>
    <w:locked/>
    <w:uiPriority w:val="99"/>
    <w:rPr>
      <w:rFonts w:ascii="Times New Roman" w:hAnsi="Times New Roman" w:eastAsia="宋体" w:cs="Times New Roman"/>
      <w:sz w:val="18"/>
      <w:szCs w:val="18"/>
    </w:rPr>
  </w:style>
  <w:style w:type="character" w:customStyle="1" w:styleId="18">
    <w:name w:val="脚注文本 Char"/>
    <w:link w:val="7"/>
    <w:semiHidden/>
    <w:qFormat/>
    <w:locked/>
    <w:uiPriority w:val="99"/>
    <w:rPr>
      <w:rFonts w:ascii="Calibri" w:hAnsi="Calibri" w:eastAsia="宋体" w:cs="Times New Roman"/>
      <w:sz w:val="18"/>
      <w:szCs w:val="18"/>
    </w:rPr>
  </w:style>
  <w:style w:type="paragraph" w:customStyle="1" w:styleId="19">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0">
    <w:name w:val="Char Char"/>
    <w:qFormat/>
    <w:uiPriority w:val="99"/>
    <w:rPr>
      <w:rFonts w:eastAsia="宋体"/>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31</Pages>
  <Words>2507</Words>
  <Characters>14292</Characters>
  <Lines>119</Lines>
  <Paragraphs>33</Paragraphs>
  <TotalTime>3</TotalTime>
  <ScaleCrop>false</ScaleCrop>
  <LinksUpToDate>false</LinksUpToDate>
  <CharactersWithSpaces>16766</CharactersWithSpaces>
  <Application>WPS Office_12.1.0.15933_F1E327BC-269C-435d-A152-05C5408002CA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2019-02-24T05:12:00Z</dcterms:created>
  <dc:creator>guest</dc:creator>
  <cp:lastModifiedBy>张小羊</cp:lastModifiedBy>
  <cp:lastPrinted>2017-11-09T01:12:00Z</cp:lastPrinted>
  <dcterms:modified xsi:type="dcterms:W3CDTF">2023-11-07T07:28:04Z</dcterms:modified>
  <dc:title>河北省财政厅2019年部门预算信息公开情况说明</dc:title>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2052-12.1.0.15933</vt:lpwstr>
  </property>
  <property fmtid="{D5CDD505-2E9C-101B-9397-08002B2CF9AE}" pid="3" name="ICV">
    <vt:lpwstr>EE4339C9396243D79D8362AB7D5908B6_12</vt:lpwstr>
  </property>
</Properties>
</file>