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val="0"/>
        <w:snapToGrid w:val="0"/>
        <w:spacing w:line="570" w:lineRule="exact"/>
        <w:textAlignment w:val="auto"/>
        <w:rPr>
          <w:rFonts w:ascii="仿宋_GB2312" w:eastAsia="仿宋_GB2312"/>
          <w:sz w:val="32"/>
          <w:szCs w:val="32"/>
        </w:rPr>
      </w:pPr>
      <w:r>
        <w:rPr>
          <w:rFonts w:hint="eastAsia" w:ascii="仿宋_GB2312" w:eastAsia="仿宋_GB2312"/>
          <w:sz w:val="32"/>
          <w:szCs w:val="32"/>
        </w:rPr>
        <w:t>附件4</w:t>
      </w:r>
    </w:p>
    <w:p>
      <w:pPr>
        <w:keepNext w:val="0"/>
        <w:keepLines w:val="0"/>
        <w:pageBreakBefore w:val="0"/>
        <w:kinsoku/>
        <w:wordWrap/>
        <w:overflowPunct/>
        <w:topLinePunct w:val="0"/>
        <w:autoSpaceDE/>
        <w:autoSpaceDN/>
        <w:bidi w:val="0"/>
        <w:spacing w:line="570" w:lineRule="exact"/>
        <w:jc w:val="center"/>
        <w:textAlignment w:val="auto"/>
        <w:rPr>
          <w:rFonts w:ascii="宋体" w:hAnsi="宋体" w:cs="宋体"/>
          <w:b/>
          <w:bCs/>
          <w:sz w:val="44"/>
          <w:szCs w:val="44"/>
        </w:rPr>
      </w:pPr>
    </w:p>
    <w:p>
      <w:pPr>
        <w:keepNext w:val="0"/>
        <w:keepLines w:val="0"/>
        <w:pageBreakBefore w:val="0"/>
        <w:kinsoku/>
        <w:wordWrap/>
        <w:overflowPunct/>
        <w:topLinePunct w:val="0"/>
        <w:autoSpaceDE/>
        <w:autoSpaceDN/>
        <w:bidi w:val="0"/>
        <w:spacing w:line="57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院头镇人民政府</w:t>
      </w:r>
    </w:p>
    <w:p>
      <w:pPr>
        <w:keepNext w:val="0"/>
        <w:keepLines w:val="0"/>
        <w:pageBreakBefore w:val="0"/>
        <w:kinsoku/>
        <w:wordWrap/>
        <w:overflowPunct/>
        <w:topLinePunct w:val="0"/>
        <w:autoSpaceDE/>
        <w:autoSpaceDN/>
        <w:bidi w:val="0"/>
        <w:spacing w:line="570" w:lineRule="exact"/>
        <w:jc w:val="center"/>
        <w:textAlignment w:val="auto"/>
        <w:rPr>
          <w:rFonts w:hint="eastAsia" w:ascii="宋体" w:hAnsi="宋体" w:cs="宋体"/>
          <w:b/>
          <w:bCs/>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年度整体支出绩效自评报告</w:t>
      </w:r>
    </w:p>
    <w:p>
      <w:pPr>
        <w:keepNext w:val="0"/>
        <w:keepLines w:val="0"/>
        <w:pageBreakBefore w:val="0"/>
        <w:kinsoku/>
        <w:wordWrap/>
        <w:overflowPunct/>
        <w:topLinePunct w:val="0"/>
        <w:autoSpaceDE/>
        <w:autoSpaceDN/>
        <w:bidi w:val="0"/>
        <w:spacing w:line="570" w:lineRule="exact"/>
        <w:jc w:val="center"/>
        <w:textAlignment w:val="auto"/>
        <w:rPr>
          <w:rFonts w:hint="eastAsia" w:ascii="宋体" w:hAnsi="宋体" w:cs="宋体"/>
          <w:b/>
          <w:bCs/>
          <w:sz w:val="44"/>
          <w:szCs w:val="44"/>
        </w:rPr>
      </w:pPr>
    </w:p>
    <w:p>
      <w:pPr>
        <w:keepNext w:val="0"/>
        <w:keepLines w:val="0"/>
        <w:pageBreakBefore w:val="0"/>
        <w:kinsoku/>
        <w:wordWrap/>
        <w:overflowPunct/>
        <w:topLinePunct w:val="0"/>
        <w:autoSpaceDE/>
        <w:autoSpaceDN/>
        <w:bidi w:val="0"/>
        <w:spacing w:line="570" w:lineRule="exact"/>
        <w:ind w:firstLine="800" w:firstLineChars="25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为进一步推进我镇预算绩效管理工作，提高财政资金使用效益和财政管理科学化、精细化水平，贯彻落实《赞皇县财政局关于印发&lt;赞皇县全面实施预算绩效管理推进工作方案的通知&gt;（赞财预﹝2019﹞7号）》文件精神，遵循“科学性、规范性、客观性和公正性”的原则，</w:t>
      </w:r>
      <w:r>
        <w:rPr>
          <w:rFonts w:hint="eastAsia" w:ascii="仿宋_GB2312" w:hAnsi="仿宋_GB2312" w:eastAsia="仿宋_GB2312" w:cs="仿宋_GB2312"/>
          <w:sz w:val="32"/>
          <w:szCs w:val="32"/>
        </w:rPr>
        <w:t>对院头镇人民政府202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年整体支出情况实施了财政支出绩效自评价，形成本评价报告。</w:t>
      </w:r>
    </w:p>
    <w:p>
      <w:pPr>
        <w:keepNext w:val="0"/>
        <w:keepLines w:val="0"/>
        <w:pageBreakBefore w:val="0"/>
        <w:kinsoku/>
        <w:wordWrap/>
        <w:overflowPunct/>
        <w:topLinePunct w:val="0"/>
        <w:autoSpaceDE/>
        <w:autoSpaceDN/>
        <w:bidi w:val="0"/>
        <w:spacing w:line="570" w:lineRule="exact"/>
        <w:ind w:firstLine="800" w:firstLineChars="25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一、部门基本情况</w:t>
      </w:r>
    </w:p>
    <w:p>
      <w:pPr>
        <w:keepNext w:val="0"/>
        <w:keepLines w:val="0"/>
        <w:pageBreakBefore w:val="0"/>
        <w:kinsoku/>
        <w:wordWrap/>
        <w:overflowPunct/>
        <w:topLinePunct w:val="0"/>
        <w:autoSpaceDE/>
        <w:autoSpaceDN/>
        <w:bidi w:val="0"/>
        <w:spacing w:line="570" w:lineRule="exact"/>
        <w:ind w:firstLine="640" w:firstLineChars="200"/>
        <w:textAlignment w:val="auto"/>
        <w:rPr>
          <w:rFonts w:ascii="仿宋" w:hAnsi="仿宋" w:eastAsia="仿宋"/>
          <w:sz w:val="32"/>
          <w:szCs w:val="32"/>
        </w:rPr>
      </w:pPr>
      <w:r>
        <w:rPr>
          <w:rFonts w:hint="eastAsia" w:ascii="楷体" w:hAnsi="楷体" w:eastAsia="楷体" w:cs="楷体_GB2312"/>
          <w:bCs/>
          <w:sz w:val="32"/>
          <w:szCs w:val="32"/>
        </w:rPr>
        <w:t>（一）部门概况</w:t>
      </w:r>
    </w:p>
    <w:p>
      <w:pPr>
        <w:keepNext w:val="0"/>
        <w:keepLines w:val="0"/>
        <w:pageBreakBefore w:val="0"/>
        <w:kinsoku/>
        <w:wordWrap/>
        <w:overflowPunct/>
        <w:topLinePunct w:val="0"/>
        <w:autoSpaceDE/>
        <w:autoSpaceDN/>
        <w:bidi w:val="0"/>
        <w:spacing w:line="570" w:lineRule="exact"/>
        <w:ind w:firstLine="643" w:firstLineChars="200"/>
        <w:textAlignment w:val="auto"/>
      </w:pPr>
      <w:r>
        <w:rPr>
          <w:rFonts w:ascii="方正楷体_GBK" w:hAnsi="方正楷体_GBK" w:eastAsia="方正楷体_GBK" w:cs="方正楷体_GBK"/>
          <w:b/>
          <w:color w:val="000000"/>
          <w:sz w:val="32"/>
        </w:rPr>
        <w:t>单位职责：</w:t>
      </w:r>
    </w:p>
    <w:p>
      <w:pPr>
        <w:pStyle w:val="15"/>
        <w:keepNext w:val="0"/>
        <w:keepLines w:val="0"/>
        <w:pageBreakBefore w:val="0"/>
        <w:kinsoku/>
        <w:wordWrap/>
        <w:overflowPunct/>
        <w:topLinePunct w:val="0"/>
        <w:autoSpaceDE/>
        <w:autoSpaceDN/>
        <w:bidi w:val="0"/>
        <w:snapToGrid w:val="0"/>
        <w:spacing w:line="570" w:lineRule="exact"/>
        <w:ind w:firstLine="640" w:firstLineChars="200"/>
        <w:contextualSpacing/>
        <w:jc w:val="both"/>
        <w:textAlignment w:val="auto"/>
        <w:rPr>
          <w:rFonts w:hint="eastAsia" w:ascii="仿宋_GB2312" w:hAnsi="仿宋_GB2312" w:eastAsia="仿宋_GB2312" w:cs="仿宋_GB2312"/>
          <w:kern w:val="2"/>
          <w:sz w:val="32"/>
          <w:szCs w:val="32"/>
          <w:lang w:eastAsia="zh-CN"/>
        </w:rPr>
      </w:pPr>
      <w:r>
        <w:rPr>
          <w:rFonts w:hint="eastAsia" w:ascii="仿宋_GB2312" w:hAnsi="仿宋_GB2312" w:eastAsia="仿宋_GB2312" w:cs="仿宋_GB2312"/>
          <w:kern w:val="2"/>
          <w:sz w:val="32"/>
          <w:szCs w:val="32"/>
          <w:lang w:eastAsia="zh-CN"/>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15"/>
        <w:keepNext w:val="0"/>
        <w:keepLines w:val="0"/>
        <w:pageBreakBefore w:val="0"/>
        <w:kinsoku/>
        <w:wordWrap/>
        <w:overflowPunct/>
        <w:topLinePunct w:val="0"/>
        <w:autoSpaceDE/>
        <w:autoSpaceDN/>
        <w:bidi w:val="0"/>
        <w:snapToGrid w:val="0"/>
        <w:spacing w:line="570" w:lineRule="exact"/>
        <w:ind w:firstLine="640" w:firstLineChars="200"/>
        <w:contextualSpacing/>
        <w:jc w:val="both"/>
        <w:textAlignment w:val="auto"/>
        <w:rPr>
          <w:rFonts w:hint="eastAsia" w:ascii="仿宋_GB2312" w:hAnsi="仿宋_GB2312" w:eastAsia="仿宋_GB2312" w:cs="仿宋_GB2312"/>
          <w:kern w:val="2"/>
          <w:sz w:val="32"/>
          <w:szCs w:val="32"/>
          <w:lang w:eastAsia="zh-CN"/>
        </w:rPr>
      </w:pPr>
      <w:r>
        <w:rPr>
          <w:rFonts w:hint="eastAsia" w:ascii="仿宋_GB2312" w:hAnsi="仿宋_GB2312" w:eastAsia="仿宋_GB2312" w:cs="仿宋_GB2312"/>
          <w:kern w:val="2"/>
          <w:sz w:val="32"/>
          <w:szCs w:val="32"/>
          <w:lang w:eastAsia="zh-CN"/>
        </w:rPr>
        <w:t>(二)讨论和决定本镇经济建设、政治建设、文化建设、社会建设、生态文明建设和党的建设以及乡村振兴中的重大问题。</w:t>
      </w:r>
    </w:p>
    <w:p>
      <w:pPr>
        <w:pStyle w:val="15"/>
        <w:keepNext w:val="0"/>
        <w:keepLines w:val="0"/>
        <w:pageBreakBefore w:val="0"/>
        <w:kinsoku/>
        <w:wordWrap/>
        <w:overflowPunct/>
        <w:topLinePunct w:val="0"/>
        <w:autoSpaceDE/>
        <w:autoSpaceDN/>
        <w:bidi w:val="0"/>
        <w:snapToGrid w:val="0"/>
        <w:spacing w:line="570" w:lineRule="exact"/>
        <w:ind w:firstLine="640" w:firstLineChars="200"/>
        <w:contextualSpacing/>
        <w:jc w:val="both"/>
        <w:textAlignment w:val="auto"/>
        <w:rPr>
          <w:rFonts w:hint="eastAsia" w:ascii="仿宋_GB2312" w:hAnsi="仿宋_GB2312" w:eastAsia="仿宋_GB2312" w:cs="仿宋_GB2312"/>
          <w:kern w:val="2"/>
          <w:sz w:val="32"/>
          <w:szCs w:val="32"/>
          <w:lang w:eastAsia="zh-CN"/>
        </w:rPr>
      </w:pPr>
      <w:r>
        <w:rPr>
          <w:rFonts w:hint="eastAsia" w:ascii="仿宋_GB2312" w:hAnsi="仿宋_GB2312" w:eastAsia="仿宋_GB2312" w:cs="仿宋_GB2312"/>
          <w:kern w:val="2"/>
          <w:sz w:val="32"/>
          <w:szCs w:val="32"/>
          <w:lang w:eastAsia="zh-CN"/>
        </w:rPr>
        <w:t>(三)组织召开本级人民代表大会，充分行使重大事项决定权、监督权和任免权，做好人大代表工作，联系选民、反映群众意见和要求。</w:t>
      </w:r>
    </w:p>
    <w:p>
      <w:pPr>
        <w:pStyle w:val="15"/>
        <w:keepNext w:val="0"/>
        <w:keepLines w:val="0"/>
        <w:pageBreakBefore w:val="0"/>
        <w:kinsoku/>
        <w:wordWrap/>
        <w:overflowPunct/>
        <w:topLinePunct w:val="0"/>
        <w:autoSpaceDE/>
        <w:autoSpaceDN/>
        <w:bidi w:val="0"/>
        <w:snapToGrid w:val="0"/>
        <w:spacing w:line="570" w:lineRule="exact"/>
        <w:ind w:firstLine="640" w:firstLineChars="200"/>
        <w:contextualSpacing/>
        <w:jc w:val="both"/>
        <w:textAlignment w:val="auto"/>
        <w:rPr>
          <w:rFonts w:hint="eastAsia" w:ascii="仿宋_GB2312" w:hAnsi="仿宋_GB2312" w:eastAsia="仿宋_GB2312" w:cs="仿宋_GB2312"/>
          <w:kern w:val="2"/>
          <w:sz w:val="32"/>
          <w:szCs w:val="32"/>
          <w:lang w:eastAsia="zh-CN"/>
        </w:rPr>
      </w:pPr>
      <w:r>
        <w:rPr>
          <w:rFonts w:hint="eastAsia" w:ascii="仿宋_GB2312" w:hAnsi="仿宋_GB2312" w:eastAsia="仿宋_GB2312" w:cs="仿宋_GB2312"/>
          <w:kern w:val="2"/>
          <w:sz w:val="32"/>
          <w:szCs w:val="32"/>
          <w:lang w:eastAsia="zh-CN"/>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5"/>
        <w:keepNext w:val="0"/>
        <w:keepLines w:val="0"/>
        <w:pageBreakBefore w:val="0"/>
        <w:kinsoku/>
        <w:wordWrap/>
        <w:overflowPunct/>
        <w:topLinePunct w:val="0"/>
        <w:autoSpaceDE/>
        <w:autoSpaceDN/>
        <w:bidi w:val="0"/>
        <w:snapToGrid w:val="0"/>
        <w:spacing w:line="570" w:lineRule="exact"/>
        <w:ind w:firstLine="640" w:firstLineChars="200"/>
        <w:contextualSpacing/>
        <w:jc w:val="both"/>
        <w:textAlignment w:val="auto"/>
        <w:rPr>
          <w:rFonts w:hint="eastAsia" w:ascii="仿宋_GB2312" w:hAnsi="仿宋_GB2312" w:eastAsia="仿宋_GB2312" w:cs="仿宋_GB2312"/>
          <w:kern w:val="2"/>
          <w:sz w:val="32"/>
          <w:szCs w:val="32"/>
          <w:lang w:eastAsia="zh-CN"/>
        </w:rPr>
      </w:pPr>
      <w:r>
        <w:rPr>
          <w:rFonts w:hint="eastAsia" w:ascii="仿宋_GB2312" w:hAnsi="仿宋_GB2312" w:eastAsia="仿宋_GB2312" w:cs="仿宋_GB2312"/>
          <w:kern w:val="2"/>
          <w:sz w:val="32"/>
          <w:szCs w:val="32"/>
          <w:lang w:eastAsia="zh-CN"/>
        </w:rP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15"/>
        <w:keepNext w:val="0"/>
        <w:keepLines w:val="0"/>
        <w:pageBreakBefore w:val="0"/>
        <w:kinsoku/>
        <w:wordWrap/>
        <w:overflowPunct/>
        <w:topLinePunct w:val="0"/>
        <w:autoSpaceDE/>
        <w:autoSpaceDN/>
        <w:bidi w:val="0"/>
        <w:snapToGrid w:val="0"/>
        <w:spacing w:line="570" w:lineRule="exact"/>
        <w:ind w:firstLine="640" w:firstLineChars="200"/>
        <w:contextualSpacing/>
        <w:jc w:val="both"/>
        <w:textAlignment w:val="auto"/>
        <w:rPr>
          <w:rFonts w:hint="eastAsia" w:ascii="仿宋_GB2312" w:hAnsi="仿宋_GB2312" w:eastAsia="仿宋_GB2312" w:cs="仿宋_GB2312"/>
          <w:kern w:val="2"/>
          <w:sz w:val="32"/>
          <w:szCs w:val="32"/>
          <w:lang w:eastAsia="zh-CN"/>
        </w:rPr>
      </w:pPr>
      <w:r>
        <w:rPr>
          <w:rFonts w:hint="eastAsia" w:ascii="仿宋_GB2312" w:hAnsi="仿宋_GB2312" w:eastAsia="仿宋_GB2312" w:cs="仿宋_GB2312"/>
          <w:kern w:val="2"/>
          <w:sz w:val="32"/>
          <w:szCs w:val="32"/>
          <w:lang w:eastAsia="zh-CN"/>
        </w:rPr>
        <w:t>(六)加强镇党委自身建设和村党组织建设，以及其他隶属镇党委的党组织建设，抓好发展党员工作，加强党员队伍建设。维护和执行党的纪律，监督党员干部和其他任何工作人员严格遵守国家法律法规。</w:t>
      </w:r>
    </w:p>
    <w:p>
      <w:pPr>
        <w:pStyle w:val="15"/>
        <w:keepNext w:val="0"/>
        <w:keepLines w:val="0"/>
        <w:pageBreakBefore w:val="0"/>
        <w:kinsoku/>
        <w:wordWrap/>
        <w:overflowPunct/>
        <w:topLinePunct w:val="0"/>
        <w:autoSpaceDE/>
        <w:autoSpaceDN/>
        <w:bidi w:val="0"/>
        <w:snapToGrid w:val="0"/>
        <w:spacing w:line="570" w:lineRule="exact"/>
        <w:ind w:firstLine="640" w:firstLineChars="200"/>
        <w:contextualSpacing/>
        <w:jc w:val="both"/>
        <w:textAlignment w:val="auto"/>
        <w:rPr>
          <w:rFonts w:hint="eastAsia" w:ascii="仿宋_GB2312" w:hAnsi="仿宋_GB2312" w:eastAsia="仿宋_GB2312" w:cs="仿宋_GB2312"/>
          <w:kern w:val="2"/>
          <w:sz w:val="32"/>
          <w:szCs w:val="32"/>
          <w:lang w:eastAsia="zh-CN"/>
        </w:rPr>
      </w:pPr>
      <w:r>
        <w:rPr>
          <w:rFonts w:hint="eastAsia" w:ascii="仿宋_GB2312" w:hAnsi="仿宋_GB2312" w:eastAsia="仿宋_GB2312" w:cs="仿宋_GB2312"/>
          <w:kern w:val="2"/>
          <w:sz w:val="32"/>
          <w:szCs w:val="32"/>
          <w:lang w:eastAsia="zh-CN"/>
        </w:rPr>
        <w:t>(七)按照干部管理权限，负责对干部的教育、培训、选拔、考核和监督工作。协助管理上级有关单位驻镇单位的干部。做好人才服务工作。</w:t>
      </w:r>
    </w:p>
    <w:p>
      <w:pPr>
        <w:pStyle w:val="15"/>
        <w:keepNext w:val="0"/>
        <w:keepLines w:val="0"/>
        <w:pageBreakBefore w:val="0"/>
        <w:kinsoku/>
        <w:wordWrap/>
        <w:overflowPunct/>
        <w:topLinePunct w:val="0"/>
        <w:autoSpaceDE/>
        <w:autoSpaceDN/>
        <w:bidi w:val="0"/>
        <w:snapToGrid w:val="0"/>
        <w:spacing w:line="570" w:lineRule="exact"/>
        <w:ind w:firstLine="640" w:firstLineChars="200"/>
        <w:contextualSpacing/>
        <w:jc w:val="both"/>
        <w:textAlignment w:val="auto"/>
        <w:rPr>
          <w:rFonts w:hint="eastAsia" w:ascii="仿宋_GB2312" w:hAnsi="仿宋_GB2312" w:eastAsia="仿宋_GB2312" w:cs="仿宋_GB2312"/>
          <w:kern w:val="2"/>
          <w:sz w:val="32"/>
          <w:szCs w:val="32"/>
          <w:lang w:eastAsia="zh-CN"/>
        </w:rPr>
      </w:pPr>
      <w:r>
        <w:rPr>
          <w:rFonts w:hint="eastAsia" w:ascii="仿宋_GB2312" w:hAnsi="仿宋_GB2312" w:eastAsia="仿宋_GB2312" w:cs="仿宋_GB2312"/>
          <w:kern w:val="2"/>
          <w:sz w:val="32"/>
          <w:szCs w:val="32"/>
          <w:lang w:eastAsia="zh-CN"/>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5"/>
        <w:keepNext w:val="0"/>
        <w:keepLines w:val="0"/>
        <w:pageBreakBefore w:val="0"/>
        <w:kinsoku/>
        <w:wordWrap/>
        <w:overflowPunct/>
        <w:topLinePunct w:val="0"/>
        <w:autoSpaceDE/>
        <w:autoSpaceDN/>
        <w:bidi w:val="0"/>
        <w:snapToGrid w:val="0"/>
        <w:spacing w:line="570" w:lineRule="exact"/>
        <w:ind w:firstLine="640" w:firstLineChars="200"/>
        <w:contextualSpacing/>
        <w:jc w:val="both"/>
        <w:textAlignment w:val="auto"/>
        <w:rPr>
          <w:rFonts w:hint="eastAsia" w:ascii="仿宋_GB2312" w:hAnsi="仿宋_GB2312" w:eastAsia="仿宋_GB2312" w:cs="仿宋_GB2312"/>
          <w:kern w:val="2"/>
          <w:sz w:val="32"/>
          <w:szCs w:val="32"/>
          <w:lang w:eastAsia="zh-CN"/>
        </w:rPr>
      </w:pPr>
      <w:r>
        <w:rPr>
          <w:rFonts w:hint="eastAsia" w:ascii="仿宋_GB2312" w:hAnsi="仿宋_GB2312" w:eastAsia="仿宋_GB2312" w:cs="仿宋_GB2312"/>
          <w:kern w:val="2"/>
          <w:sz w:val="32"/>
          <w:szCs w:val="32"/>
          <w:lang w:eastAsia="zh-CN"/>
        </w:rP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5"/>
        <w:keepNext w:val="0"/>
        <w:keepLines w:val="0"/>
        <w:pageBreakBefore w:val="0"/>
        <w:kinsoku/>
        <w:wordWrap/>
        <w:overflowPunct/>
        <w:topLinePunct w:val="0"/>
        <w:autoSpaceDE/>
        <w:autoSpaceDN/>
        <w:bidi w:val="0"/>
        <w:snapToGrid w:val="0"/>
        <w:spacing w:line="570" w:lineRule="exact"/>
        <w:ind w:firstLine="640" w:firstLineChars="200"/>
        <w:contextualSpacing/>
        <w:jc w:val="both"/>
        <w:textAlignment w:val="auto"/>
        <w:rPr>
          <w:rFonts w:hint="eastAsia" w:ascii="仿宋_GB2312" w:hAnsi="仿宋_GB2312" w:eastAsia="仿宋_GB2312" w:cs="仿宋_GB2312"/>
          <w:kern w:val="2"/>
          <w:sz w:val="32"/>
          <w:szCs w:val="32"/>
          <w:lang w:eastAsia="zh-CN"/>
        </w:rPr>
      </w:pPr>
      <w:r>
        <w:rPr>
          <w:rFonts w:hint="eastAsia" w:ascii="仿宋_GB2312" w:hAnsi="仿宋_GB2312" w:eastAsia="仿宋_GB2312" w:cs="仿宋_GB2312"/>
          <w:kern w:val="2"/>
          <w:sz w:val="32"/>
          <w:szCs w:val="32"/>
          <w:lang w:eastAsia="zh-CN"/>
        </w:rPr>
        <w:t>(十)承办上级党委、人大、政府交办的其他事项。</w:t>
      </w:r>
    </w:p>
    <w:p>
      <w:pPr>
        <w:keepNext w:val="0"/>
        <w:keepLines w:val="0"/>
        <w:pageBreakBefore w:val="0"/>
        <w:kinsoku/>
        <w:wordWrap/>
        <w:overflowPunct/>
        <w:topLinePunct w:val="0"/>
        <w:autoSpaceDE/>
        <w:autoSpaceDN/>
        <w:bidi w:val="0"/>
        <w:spacing w:line="570" w:lineRule="exact"/>
        <w:ind w:firstLine="643" w:firstLineChars="200"/>
        <w:textAlignment w:val="auto"/>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机构设置：</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单位机构设置情况</w:t>
      </w:r>
    </w:p>
    <w:tbl>
      <w:tblPr>
        <w:tblStyle w:val="7"/>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815"/>
        <w:gridCol w:w="1240"/>
        <w:gridCol w:w="1430"/>
        <w:gridCol w:w="25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05" w:type="pct"/>
            <w:vAlign w:val="center"/>
          </w:tcPr>
          <w:p>
            <w:pPr>
              <w:pStyle w:val="11"/>
              <w:keepNext w:val="0"/>
              <w:keepLines w:val="0"/>
              <w:pageBreakBefore w:val="0"/>
              <w:kinsoku/>
              <w:wordWrap/>
              <w:overflowPunct/>
              <w:topLinePunct w:val="0"/>
              <w:autoSpaceDE/>
              <w:autoSpaceDN/>
              <w:bidi w:val="0"/>
              <w:spacing w:line="570" w:lineRule="exact"/>
              <w:textAlignment w:val="auto"/>
            </w:pPr>
            <w:r>
              <w:t>单位名称</w:t>
            </w:r>
          </w:p>
        </w:tc>
        <w:tc>
          <w:tcPr>
            <w:tcW w:w="684" w:type="pct"/>
            <w:vAlign w:val="center"/>
          </w:tcPr>
          <w:p>
            <w:pPr>
              <w:pStyle w:val="11"/>
              <w:keepNext w:val="0"/>
              <w:keepLines w:val="0"/>
              <w:pageBreakBefore w:val="0"/>
              <w:kinsoku/>
              <w:wordWrap/>
              <w:overflowPunct/>
              <w:topLinePunct w:val="0"/>
              <w:autoSpaceDE/>
              <w:autoSpaceDN/>
              <w:bidi w:val="0"/>
              <w:spacing w:line="570" w:lineRule="exact"/>
              <w:textAlignment w:val="auto"/>
            </w:pPr>
            <w:r>
              <w:t>单位性质</w:t>
            </w:r>
          </w:p>
        </w:tc>
        <w:tc>
          <w:tcPr>
            <w:tcW w:w="789" w:type="pct"/>
            <w:vAlign w:val="center"/>
          </w:tcPr>
          <w:p>
            <w:pPr>
              <w:pStyle w:val="11"/>
              <w:keepNext w:val="0"/>
              <w:keepLines w:val="0"/>
              <w:pageBreakBefore w:val="0"/>
              <w:kinsoku/>
              <w:wordWrap/>
              <w:overflowPunct/>
              <w:topLinePunct w:val="0"/>
              <w:autoSpaceDE/>
              <w:autoSpaceDN/>
              <w:bidi w:val="0"/>
              <w:spacing w:line="570" w:lineRule="exact"/>
              <w:textAlignment w:val="auto"/>
            </w:pPr>
            <w:r>
              <w:t>单位规格</w:t>
            </w:r>
          </w:p>
        </w:tc>
        <w:tc>
          <w:tcPr>
            <w:tcW w:w="1421" w:type="pct"/>
            <w:vAlign w:val="center"/>
          </w:tcPr>
          <w:p>
            <w:pPr>
              <w:pStyle w:val="11"/>
              <w:keepNext w:val="0"/>
              <w:keepLines w:val="0"/>
              <w:pageBreakBefore w:val="0"/>
              <w:kinsoku/>
              <w:wordWrap/>
              <w:overflowPunct/>
              <w:topLinePunct w:val="0"/>
              <w:autoSpaceDE/>
              <w:autoSpaceDN/>
              <w:bidi w:val="0"/>
              <w:spacing w:line="570" w:lineRule="exact"/>
              <w:textAlignment w:val="auto"/>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5" w:type="pct"/>
            <w:vAlign w:val="center"/>
          </w:tcPr>
          <w:p>
            <w:pPr>
              <w:pStyle w:val="13"/>
              <w:keepNext w:val="0"/>
              <w:keepLines w:val="0"/>
              <w:pageBreakBefore w:val="0"/>
              <w:kinsoku/>
              <w:wordWrap/>
              <w:overflowPunct/>
              <w:topLinePunct w:val="0"/>
              <w:autoSpaceDE/>
              <w:autoSpaceDN/>
              <w:bidi w:val="0"/>
              <w:spacing w:line="570" w:lineRule="exact"/>
              <w:textAlignment w:val="auto"/>
            </w:pPr>
            <w:r>
              <w:t>赞皇县院头镇人民政府</w:t>
            </w:r>
          </w:p>
        </w:tc>
        <w:tc>
          <w:tcPr>
            <w:tcW w:w="684" w:type="pct"/>
            <w:vAlign w:val="center"/>
          </w:tcPr>
          <w:p>
            <w:pPr>
              <w:pStyle w:val="14"/>
              <w:keepNext w:val="0"/>
              <w:keepLines w:val="0"/>
              <w:pageBreakBefore w:val="0"/>
              <w:kinsoku/>
              <w:wordWrap/>
              <w:overflowPunct/>
              <w:topLinePunct w:val="0"/>
              <w:autoSpaceDE/>
              <w:autoSpaceDN/>
              <w:bidi w:val="0"/>
              <w:spacing w:line="570" w:lineRule="exact"/>
              <w:textAlignment w:val="auto"/>
            </w:pPr>
            <w:r>
              <w:t>行政</w:t>
            </w:r>
          </w:p>
        </w:tc>
        <w:tc>
          <w:tcPr>
            <w:tcW w:w="789" w:type="pct"/>
            <w:vAlign w:val="center"/>
          </w:tcPr>
          <w:p>
            <w:pPr>
              <w:pStyle w:val="14"/>
              <w:keepNext w:val="0"/>
              <w:keepLines w:val="0"/>
              <w:pageBreakBefore w:val="0"/>
              <w:kinsoku/>
              <w:wordWrap/>
              <w:overflowPunct/>
              <w:topLinePunct w:val="0"/>
              <w:autoSpaceDE/>
              <w:autoSpaceDN/>
              <w:bidi w:val="0"/>
              <w:spacing w:line="570" w:lineRule="exact"/>
              <w:textAlignment w:val="auto"/>
            </w:pPr>
            <w:r>
              <w:t>正科级</w:t>
            </w:r>
          </w:p>
        </w:tc>
        <w:tc>
          <w:tcPr>
            <w:tcW w:w="1421" w:type="pct"/>
            <w:vAlign w:val="center"/>
          </w:tcPr>
          <w:p>
            <w:pPr>
              <w:pStyle w:val="14"/>
              <w:keepNext w:val="0"/>
              <w:keepLines w:val="0"/>
              <w:pageBreakBefore w:val="0"/>
              <w:kinsoku/>
              <w:wordWrap/>
              <w:overflowPunct/>
              <w:topLinePunct w:val="0"/>
              <w:autoSpaceDE/>
              <w:autoSpaceDN/>
              <w:bidi w:val="0"/>
              <w:spacing w:line="570" w:lineRule="exact"/>
              <w:textAlignment w:val="auto"/>
            </w:pPr>
            <w:r>
              <w:t>财政拨款</w:t>
            </w:r>
          </w:p>
        </w:tc>
      </w:tr>
    </w:tbl>
    <w:p>
      <w:pPr>
        <w:keepNext w:val="0"/>
        <w:keepLines w:val="0"/>
        <w:pageBreakBefore w:val="0"/>
        <w:kinsoku/>
        <w:wordWrap/>
        <w:overflowPunct/>
        <w:topLinePunct w:val="0"/>
        <w:autoSpaceDE/>
        <w:autoSpaceDN/>
        <w:bidi w:val="0"/>
        <w:adjustRightInd w:val="0"/>
        <w:snapToGrid w:val="0"/>
        <w:spacing w:line="570" w:lineRule="exact"/>
        <w:ind w:left="1500"/>
        <w:textAlignment w:val="auto"/>
        <w:rPr>
          <w:rFonts w:ascii="仿宋" w:hAnsi="仿宋" w:eastAsia="仿宋"/>
          <w:sz w:val="32"/>
          <w:szCs w:val="32"/>
        </w:rPr>
      </w:pPr>
    </w:p>
    <w:p>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人员情况:</w:t>
      </w:r>
    </w:p>
    <w:p>
      <w:pPr>
        <w:keepNext w:val="0"/>
        <w:keepLines w:val="0"/>
        <w:pageBreakBefore w:val="0"/>
        <w:kinsoku/>
        <w:wordWrap/>
        <w:overflowPunct/>
        <w:topLinePunct w:val="0"/>
        <w:autoSpaceDE/>
        <w:autoSpaceDN/>
        <w:bidi w:val="0"/>
        <w:snapToGrid w:val="0"/>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年12月底共有</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名行政人员，2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名事业人员，</w:t>
      </w:r>
      <w:r>
        <w:rPr>
          <w:rFonts w:hint="eastAsia" w:ascii="仿宋_GB2312" w:hAnsi="仿宋_GB2312" w:eastAsia="仿宋_GB2312" w:cs="仿宋_GB2312"/>
          <w:sz w:val="32"/>
          <w:szCs w:val="32"/>
          <w:lang w:val="en-US" w:eastAsia="zh-CN"/>
        </w:rPr>
        <w:t>2名财政拨款开支人员，5</w:t>
      </w:r>
      <w:r>
        <w:rPr>
          <w:rFonts w:hint="eastAsia" w:ascii="仿宋_GB2312" w:hAnsi="仿宋_GB2312" w:eastAsia="仿宋_GB2312" w:cs="仿宋_GB2312"/>
          <w:sz w:val="32"/>
          <w:szCs w:val="32"/>
        </w:rPr>
        <w:t>名遗属，</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名退休人员，共计</w:t>
      </w:r>
      <w:r>
        <w:rPr>
          <w:rFonts w:hint="eastAsia" w:ascii="仿宋_GB2312" w:hAnsi="仿宋_GB2312" w:eastAsia="仿宋_GB2312" w:cs="仿宋_GB2312"/>
          <w:sz w:val="32"/>
          <w:szCs w:val="32"/>
          <w:lang w:val="en-US" w:eastAsia="zh-CN"/>
        </w:rPr>
        <w:t>57</w:t>
      </w:r>
      <w:r>
        <w:rPr>
          <w:rFonts w:hint="eastAsia" w:ascii="仿宋_GB2312" w:hAnsi="仿宋_GB2312" w:eastAsia="仿宋_GB2312" w:cs="仿宋_GB2312"/>
          <w:sz w:val="32"/>
          <w:szCs w:val="32"/>
        </w:rPr>
        <w:t>人。</w:t>
      </w:r>
      <w:r>
        <w:rPr>
          <w:rFonts w:hint="eastAsia" w:ascii="仿宋_GB2312" w:hAnsi="仿宋_GB2312" w:eastAsia="仿宋_GB2312" w:cs="仿宋_GB2312"/>
          <w:sz w:val="32"/>
          <w:szCs w:val="32"/>
          <w:lang w:val="en-US" w:eastAsia="zh-CN"/>
        </w:rPr>
        <w:t>2023年12月底</w:t>
      </w:r>
      <w:r>
        <w:rPr>
          <w:rFonts w:hint="eastAsia" w:ascii="仿宋_GB2312" w:hAnsi="仿宋_GB2312" w:eastAsia="仿宋_GB2312" w:cs="仿宋_GB2312"/>
          <w:sz w:val="32"/>
          <w:szCs w:val="32"/>
        </w:rPr>
        <w:t>25名行政人员，23名事业人员，6名遗属，5名退休人员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2名财政拨款开支人员</w:t>
      </w:r>
      <w:r>
        <w:rPr>
          <w:rFonts w:hint="eastAsia" w:ascii="仿宋_GB2312" w:hAnsi="仿宋_GB2312" w:eastAsia="仿宋_GB2312" w:cs="仿宋_GB2312"/>
          <w:sz w:val="32"/>
          <w:szCs w:val="32"/>
        </w:rPr>
        <w:t>。与202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年相比，</w:t>
      </w:r>
      <w:r>
        <w:rPr>
          <w:rFonts w:hint="eastAsia" w:ascii="仿宋_GB2312" w:hAnsi="仿宋_GB2312" w:eastAsia="仿宋_GB2312" w:cs="仿宋_GB2312"/>
          <w:sz w:val="32"/>
          <w:szCs w:val="32"/>
          <w:lang w:eastAsia="zh-CN"/>
        </w:rPr>
        <w:t>行政人员减少</w:t>
      </w:r>
      <w:r>
        <w:rPr>
          <w:rFonts w:hint="eastAsia" w:ascii="仿宋_GB2312" w:hAnsi="仿宋_GB2312" w:eastAsia="仿宋_GB2312" w:cs="仿宋_GB2312"/>
          <w:sz w:val="32"/>
          <w:szCs w:val="32"/>
          <w:lang w:val="en-US" w:eastAsia="zh-CN"/>
        </w:rPr>
        <w:t>2人，事业人员减少1人，</w:t>
      </w:r>
      <w:r>
        <w:rPr>
          <w:rFonts w:hint="eastAsia" w:ascii="仿宋_GB2312" w:hAnsi="仿宋_GB2312" w:eastAsia="仿宋_GB2312" w:cs="仿宋_GB2312"/>
          <w:color w:val="auto"/>
          <w:sz w:val="32"/>
          <w:szCs w:val="32"/>
          <w:lang w:eastAsia="zh-CN"/>
        </w:rPr>
        <w:t>退休人员</w:t>
      </w:r>
      <w:r>
        <w:rPr>
          <w:rFonts w:hint="eastAsia" w:ascii="仿宋_GB2312" w:hAnsi="仿宋_GB2312" w:eastAsia="仿宋_GB2312" w:cs="仿宋_GB2312"/>
          <w:color w:val="auto"/>
          <w:sz w:val="32"/>
          <w:szCs w:val="32"/>
        </w:rPr>
        <w:t>增加</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人</w:t>
      </w:r>
      <w:r>
        <w:rPr>
          <w:rFonts w:hint="eastAsia" w:ascii="仿宋_GB2312" w:hAnsi="仿宋_GB2312" w:eastAsia="仿宋_GB2312" w:cs="仿宋_GB2312"/>
          <w:color w:val="auto"/>
          <w:sz w:val="32"/>
          <w:szCs w:val="32"/>
          <w:lang w:eastAsia="zh-CN"/>
        </w:rPr>
        <w:t>；遗属减少</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人</w:t>
      </w:r>
      <w:r>
        <w:rPr>
          <w:rFonts w:hint="eastAsia" w:ascii="仿宋_GB2312" w:hAnsi="仿宋_GB2312" w:eastAsia="仿宋_GB2312" w:cs="仿宋_GB2312"/>
          <w:sz w:val="32"/>
          <w:szCs w:val="32"/>
        </w:rPr>
        <w:t>。</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固定资产情况：</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赞皇县院头镇人民政府上年末固定资产</w:t>
      </w:r>
      <w:r>
        <w:rPr>
          <w:rFonts w:hint="eastAsia" w:ascii="仿宋_GB2312" w:hAnsi="仿宋_GB2312" w:eastAsia="仿宋_GB2312" w:cs="仿宋_GB2312"/>
          <w:sz w:val="32"/>
          <w:szCs w:val="32"/>
          <w:lang w:eastAsia="zh-CN"/>
        </w:rPr>
        <w:t>原值</w:t>
      </w: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val="en-US" w:eastAsia="zh-CN"/>
        </w:rPr>
        <w:t>169.73</w:t>
      </w:r>
      <w:r>
        <w:rPr>
          <w:rFonts w:hint="eastAsia" w:ascii="仿宋_GB2312" w:hAnsi="仿宋_GB2312" w:eastAsia="仿宋_GB2312" w:cs="仿宋_GB2312"/>
          <w:sz w:val="32"/>
          <w:szCs w:val="32"/>
        </w:rPr>
        <w:t>万元（详见下表）。本年度拟购置固定资产总额为0.00万元。</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numPr>
          <w:ilvl w:val="0"/>
          <w:numId w:val="1"/>
        </w:numPr>
        <w:kinsoku/>
        <w:wordWrap/>
        <w:overflowPunct/>
        <w:topLinePunct w:val="0"/>
        <w:autoSpaceDE/>
        <w:autoSpaceDN/>
        <w:bidi w:val="0"/>
        <w:spacing w:line="570" w:lineRule="exact"/>
        <w:jc w:val="center"/>
        <w:textAlignment w:val="auto"/>
      </w:pPr>
      <w:r>
        <w:rPr>
          <w:rFonts w:ascii="方正小标宋_GBK" w:hAnsi="方正小标宋_GBK" w:eastAsia="方正小标宋_GBK" w:cs="方正小标宋_GBK"/>
          <w:color w:val="000000"/>
          <w:sz w:val="36"/>
        </w:rPr>
        <w:t>单位固定资产占用情况表</w:t>
      </w:r>
    </w:p>
    <w:tbl>
      <w:tblPr>
        <w:tblStyle w:val="7"/>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624"/>
        <w:gridCol w:w="3467"/>
        <w:gridCol w:w="19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000" w:type="pct"/>
            <w:tcBorders>
              <w:top w:val="single" w:color="FFFFFF" w:sz="6" w:space="0"/>
              <w:left w:val="single" w:color="FFFFFF" w:sz="6" w:space="0"/>
              <w:right w:val="single" w:color="FFFFFF" w:sz="6" w:space="0"/>
            </w:tcBorders>
            <w:vAlign w:val="center"/>
          </w:tcPr>
          <w:p>
            <w:pPr>
              <w:pStyle w:val="10"/>
              <w:keepNext w:val="0"/>
              <w:keepLines w:val="0"/>
              <w:pageBreakBefore w:val="0"/>
              <w:kinsoku/>
              <w:wordWrap/>
              <w:overflowPunct/>
              <w:topLinePunct w:val="0"/>
              <w:autoSpaceDE/>
              <w:autoSpaceDN/>
              <w:bidi w:val="0"/>
              <w:spacing w:line="570" w:lineRule="exact"/>
              <w:textAlignment w:val="auto"/>
            </w:pPr>
            <w:r>
              <w:t>507</w:t>
            </w:r>
            <w:r>
              <w:rPr>
                <w:rFonts w:hint="eastAsia" w:eastAsiaTheme="minorEastAsia"/>
                <w:lang w:eastAsia="zh-CN"/>
              </w:rPr>
              <w:t>001</w:t>
            </w:r>
            <w:r>
              <w:t>赞皇县院头镇人民政府</w:t>
            </w:r>
          </w:p>
        </w:tc>
        <w:tc>
          <w:tcPr>
            <w:tcW w:w="3000" w:type="pct"/>
            <w:gridSpan w:val="2"/>
            <w:tcBorders>
              <w:top w:val="single" w:color="FFFFFF" w:sz="6" w:space="0"/>
              <w:left w:val="single" w:color="FFFFFF" w:sz="6" w:space="0"/>
              <w:right w:val="single" w:color="FFFFFF" w:sz="6" w:space="0"/>
            </w:tcBorders>
            <w:vAlign w:val="center"/>
          </w:tcPr>
          <w:p>
            <w:pPr>
              <w:pStyle w:val="9"/>
              <w:keepNext w:val="0"/>
              <w:keepLines w:val="0"/>
              <w:pageBreakBefore w:val="0"/>
              <w:kinsoku/>
              <w:wordWrap/>
              <w:overflowPunct/>
              <w:topLinePunct w:val="0"/>
              <w:autoSpaceDE/>
              <w:autoSpaceDN/>
              <w:bidi w:val="0"/>
              <w:spacing w:line="570" w:lineRule="exact"/>
              <w:textAlignment w:val="auto"/>
            </w:pPr>
            <w:r>
              <w:t>截止时间：202</w:t>
            </w:r>
            <w:r>
              <w:rPr>
                <w:rFonts w:hint="eastAsia"/>
                <w:lang w:val="en-US" w:eastAsia="zh-CN"/>
              </w:rPr>
              <w:t>4</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000" w:type="pct"/>
            <w:vAlign w:val="center"/>
          </w:tcPr>
          <w:p>
            <w:pPr>
              <w:pStyle w:val="11"/>
              <w:keepNext w:val="0"/>
              <w:keepLines w:val="0"/>
              <w:pageBreakBefore w:val="0"/>
              <w:kinsoku/>
              <w:wordWrap/>
              <w:overflowPunct/>
              <w:topLinePunct w:val="0"/>
              <w:autoSpaceDE/>
              <w:autoSpaceDN/>
              <w:bidi w:val="0"/>
              <w:spacing w:line="570" w:lineRule="exact"/>
              <w:textAlignment w:val="auto"/>
            </w:pPr>
            <w:r>
              <w:t>项   目</w:t>
            </w:r>
          </w:p>
        </w:tc>
        <w:tc>
          <w:tcPr>
            <w:tcW w:w="1913" w:type="pct"/>
            <w:vAlign w:val="center"/>
          </w:tcPr>
          <w:p>
            <w:pPr>
              <w:pStyle w:val="11"/>
              <w:keepNext w:val="0"/>
              <w:keepLines w:val="0"/>
              <w:pageBreakBefore w:val="0"/>
              <w:kinsoku/>
              <w:wordWrap/>
              <w:overflowPunct/>
              <w:topLinePunct w:val="0"/>
              <w:autoSpaceDE/>
              <w:autoSpaceDN/>
              <w:bidi w:val="0"/>
              <w:spacing w:line="570" w:lineRule="exact"/>
              <w:textAlignment w:val="auto"/>
            </w:pPr>
            <w:r>
              <w:t>数量</w:t>
            </w:r>
          </w:p>
        </w:tc>
        <w:tc>
          <w:tcPr>
            <w:tcW w:w="1087" w:type="pct"/>
            <w:vAlign w:val="center"/>
          </w:tcPr>
          <w:p>
            <w:pPr>
              <w:pStyle w:val="11"/>
              <w:keepNext w:val="0"/>
              <w:keepLines w:val="0"/>
              <w:pageBreakBefore w:val="0"/>
              <w:kinsoku/>
              <w:wordWrap/>
              <w:overflowPunct/>
              <w:topLinePunct w:val="0"/>
              <w:autoSpaceDE/>
              <w:autoSpaceDN/>
              <w:bidi w:val="0"/>
              <w:spacing w:line="570" w:lineRule="exact"/>
              <w:textAlignment w:val="auto"/>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00" w:type="pct"/>
            <w:vAlign w:val="center"/>
          </w:tcPr>
          <w:p>
            <w:pPr>
              <w:pStyle w:val="13"/>
              <w:keepNext w:val="0"/>
              <w:keepLines w:val="0"/>
              <w:pageBreakBefore w:val="0"/>
              <w:kinsoku/>
              <w:wordWrap/>
              <w:overflowPunct/>
              <w:topLinePunct w:val="0"/>
              <w:autoSpaceDE/>
              <w:autoSpaceDN/>
              <w:bidi w:val="0"/>
              <w:spacing w:line="570" w:lineRule="exact"/>
              <w:textAlignment w:val="auto"/>
            </w:pPr>
            <w:r>
              <w:t>资产总额</w:t>
            </w:r>
          </w:p>
        </w:tc>
        <w:tc>
          <w:tcPr>
            <w:tcW w:w="1913" w:type="pct"/>
            <w:vAlign w:val="center"/>
          </w:tcPr>
          <w:p>
            <w:pPr>
              <w:pStyle w:val="14"/>
              <w:keepNext w:val="0"/>
              <w:keepLines w:val="0"/>
              <w:pageBreakBefore w:val="0"/>
              <w:kinsoku/>
              <w:wordWrap/>
              <w:overflowPunct/>
              <w:topLinePunct w:val="0"/>
              <w:autoSpaceDE/>
              <w:autoSpaceDN/>
              <w:bidi w:val="0"/>
              <w:spacing w:line="570" w:lineRule="exact"/>
              <w:textAlignment w:val="auto"/>
            </w:pPr>
          </w:p>
        </w:tc>
        <w:tc>
          <w:tcPr>
            <w:tcW w:w="1087" w:type="pct"/>
            <w:vAlign w:val="center"/>
          </w:tcPr>
          <w:p>
            <w:pPr>
              <w:pStyle w:val="12"/>
              <w:keepNext w:val="0"/>
              <w:keepLines w:val="0"/>
              <w:pageBreakBefore w:val="0"/>
              <w:kinsoku/>
              <w:wordWrap/>
              <w:overflowPunct/>
              <w:topLinePunct w:val="0"/>
              <w:autoSpaceDE/>
              <w:autoSpaceDN/>
              <w:bidi w:val="0"/>
              <w:spacing w:line="570" w:lineRule="exact"/>
              <w:textAlignment w:val="auto"/>
              <w:rPr>
                <w:rFonts w:hint="default" w:eastAsia="方正书宋_GBK"/>
                <w:lang w:val="en-US" w:eastAsia="zh-CN"/>
              </w:rPr>
            </w:pPr>
            <w:r>
              <w:rPr>
                <w:rFonts w:hint="eastAsia"/>
                <w:lang w:val="en-US" w:eastAsia="zh-CN"/>
              </w:rPr>
              <w:t>169.73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00" w:type="pct"/>
            <w:vAlign w:val="center"/>
          </w:tcPr>
          <w:p>
            <w:pPr>
              <w:pStyle w:val="13"/>
              <w:keepNext w:val="0"/>
              <w:keepLines w:val="0"/>
              <w:pageBreakBefore w:val="0"/>
              <w:kinsoku/>
              <w:wordWrap/>
              <w:overflowPunct/>
              <w:topLinePunct w:val="0"/>
              <w:autoSpaceDE/>
              <w:autoSpaceDN/>
              <w:bidi w:val="0"/>
              <w:spacing w:line="570" w:lineRule="exact"/>
              <w:textAlignment w:val="auto"/>
            </w:pPr>
            <w:r>
              <w:t>1、房屋（平方米）</w:t>
            </w:r>
          </w:p>
        </w:tc>
        <w:tc>
          <w:tcPr>
            <w:tcW w:w="1913" w:type="pct"/>
            <w:vAlign w:val="center"/>
          </w:tcPr>
          <w:p>
            <w:pPr>
              <w:pStyle w:val="14"/>
              <w:keepNext w:val="0"/>
              <w:keepLines w:val="0"/>
              <w:pageBreakBefore w:val="0"/>
              <w:kinsoku/>
              <w:wordWrap/>
              <w:overflowPunct/>
              <w:topLinePunct w:val="0"/>
              <w:autoSpaceDE/>
              <w:autoSpaceDN/>
              <w:bidi w:val="0"/>
              <w:spacing w:line="570" w:lineRule="exact"/>
              <w:textAlignment w:val="auto"/>
            </w:pPr>
            <w:r>
              <w:t>1000</w:t>
            </w:r>
          </w:p>
        </w:tc>
        <w:tc>
          <w:tcPr>
            <w:tcW w:w="1087" w:type="pct"/>
            <w:vAlign w:val="center"/>
          </w:tcPr>
          <w:p>
            <w:pPr>
              <w:pStyle w:val="12"/>
              <w:keepNext w:val="0"/>
              <w:keepLines w:val="0"/>
              <w:pageBreakBefore w:val="0"/>
              <w:kinsoku/>
              <w:wordWrap/>
              <w:overflowPunct/>
              <w:topLinePunct w:val="0"/>
              <w:autoSpaceDE/>
              <w:autoSpaceDN/>
              <w:bidi w:val="0"/>
              <w:spacing w:line="570" w:lineRule="exact"/>
              <w:textAlignment w:val="auto"/>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00" w:type="pct"/>
            <w:vAlign w:val="center"/>
          </w:tcPr>
          <w:p>
            <w:pPr>
              <w:pStyle w:val="13"/>
              <w:keepNext w:val="0"/>
              <w:keepLines w:val="0"/>
              <w:pageBreakBefore w:val="0"/>
              <w:kinsoku/>
              <w:wordWrap/>
              <w:overflowPunct/>
              <w:topLinePunct w:val="0"/>
              <w:autoSpaceDE/>
              <w:autoSpaceDN/>
              <w:bidi w:val="0"/>
              <w:spacing w:line="570" w:lineRule="exact"/>
              <w:textAlignment w:val="auto"/>
            </w:pPr>
            <w:r>
              <w:t>　　其中：办公用房（平方米）</w:t>
            </w:r>
          </w:p>
        </w:tc>
        <w:tc>
          <w:tcPr>
            <w:tcW w:w="1913" w:type="pct"/>
            <w:vAlign w:val="center"/>
          </w:tcPr>
          <w:p>
            <w:pPr>
              <w:pStyle w:val="14"/>
              <w:keepNext w:val="0"/>
              <w:keepLines w:val="0"/>
              <w:pageBreakBefore w:val="0"/>
              <w:kinsoku/>
              <w:wordWrap/>
              <w:overflowPunct/>
              <w:topLinePunct w:val="0"/>
              <w:autoSpaceDE/>
              <w:autoSpaceDN/>
              <w:bidi w:val="0"/>
              <w:spacing w:line="570" w:lineRule="exact"/>
              <w:textAlignment w:val="auto"/>
            </w:pPr>
          </w:p>
        </w:tc>
        <w:tc>
          <w:tcPr>
            <w:tcW w:w="1087" w:type="pct"/>
            <w:vAlign w:val="center"/>
          </w:tcPr>
          <w:p>
            <w:pPr>
              <w:pStyle w:val="12"/>
              <w:keepNext w:val="0"/>
              <w:keepLines w:val="0"/>
              <w:pageBreakBefore w:val="0"/>
              <w:kinsoku/>
              <w:wordWrap/>
              <w:overflowPunct/>
              <w:topLinePunct w:val="0"/>
              <w:autoSpaceDE/>
              <w:autoSpaceDN/>
              <w:bidi w:val="0"/>
              <w:spacing w:line="57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00" w:type="pct"/>
            <w:vAlign w:val="center"/>
          </w:tcPr>
          <w:p>
            <w:pPr>
              <w:pStyle w:val="13"/>
              <w:keepNext w:val="0"/>
              <w:keepLines w:val="0"/>
              <w:pageBreakBefore w:val="0"/>
              <w:kinsoku/>
              <w:wordWrap/>
              <w:overflowPunct/>
              <w:topLinePunct w:val="0"/>
              <w:autoSpaceDE/>
              <w:autoSpaceDN/>
              <w:bidi w:val="0"/>
              <w:spacing w:line="570" w:lineRule="exact"/>
              <w:textAlignment w:val="auto"/>
            </w:pPr>
            <w:r>
              <w:t>2、车辆（台、辆）</w:t>
            </w:r>
          </w:p>
        </w:tc>
        <w:tc>
          <w:tcPr>
            <w:tcW w:w="1913" w:type="pct"/>
            <w:vAlign w:val="center"/>
          </w:tcPr>
          <w:p>
            <w:pPr>
              <w:pStyle w:val="14"/>
              <w:keepNext w:val="0"/>
              <w:keepLines w:val="0"/>
              <w:pageBreakBefore w:val="0"/>
              <w:kinsoku/>
              <w:wordWrap/>
              <w:overflowPunct/>
              <w:topLinePunct w:val="0"/>
              <w:autoSpaceDE/>
              <w:autoSpaceDN/>
              <w:bidi w:val="0"/>
              <w:spacing w:line="570" w:lineRule="exact"/>
              <w:textAlignment w:val="auto"/>
            </w:pPr>
            <w:r>
              <w:t>7</w:t>
            </w:r>
          </w:p>
        </w:tc>
        <w:tc>
          <w:tcPr>
            <w:tcW w:w="1087" w:type="pct"/>
            <w:vAlign w:val="center"/>
          </w:tcPr>
          <w:p>
            <w:pPr>
              <w:pStyle w:val="12"/>
              <w:keepNext w:val="0"/>
              <w:keepLines w:val="0"/>
              <w:pageBreakBefore w:val="0"/>
              <w:kinsoku/>
              <w:wordWrap/>
              <w:overflowPunct/>
              <w:topLinePunct w:val="0"/>
              <w:autoSpaceDE/>
              <w:autoSpaceDN/>
              <w:bidi w:val="0"/>
              <w:spacing w:line="570" w:lineRule="exact"/>
              <w:textAlignment w:val="auto"/>
            </w:pPr>
            <w:r>
              <w:t>108.01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00" w:type="pct"/>
            <w:vAlign w:val="center"/>
          </w:tcPr>
          <w:p>
            <w:pPr>
              <w:pStyle w:val="13"/>
              <w:keepNext w:val="0"/>
              <w:keepLines w:val="0"/>
              <w:pageBreakBefore w:val="0"/>
              <w:kinsoku/>
              <w:wordWrap/>
              <w:overflowPunct/>
              <w:topLinePunct w:val="0"/>
              <w:autoSpaceDE/>
              <w:autoSpaceDN/>
              <w:bidi w:val="0"/>
              <w:spacing w:line="570" w:lineRule="exact"/>
              <w:textAlignment w:val="auto"/>
            </w:pPr>
            <w:r>
              <w:t>3、单价在20万元以上的设备</w:t>
            </w:r>
          </w:p>
        </w:tc>
        <w:tc>
          <w:tcPr>
            <w:tcW w:w="1913" w:type="pct"/>
            <w:vAlign w:val="center"/>
          </w:tcPr>
          <w:p>
            <w:pPr>
              <w:pStyle w:val="14"/>
              <w:keepNext w:val="0"/>
              <w:keepLines w:val="0"/>
              <w:pageBreakBefore w:val="0"/>
              <w:kinsoku/>
              <w:wordWrap/>
              <w:overflowPunct/>
              <w:topLinePunct w:val="0"/>
              <w:autoSpaceDE/>
              <w:autoSpaceDN/>
              <w:bidi w:val="0"/>
              <w:spacing w:line="570" w:lineRule="exact"/>
              <w:textAlignment w:val="auto"/>
            </w:pPr>
          </w:p>
        </w:tc>
        <w:tc>
          <w:tcPr>
            <w:tcW w:w="1087" w:type="pct"/>
            <w:vAlign w:val="center"/>
          </w:tcPr>
          <w:p>
            <w:pPr>
              <w:pStyle w:val="12"/>
              <w:keepNext w:val="0"/>
              <w:keepLines w:val="0"/>
              <w:pageBreakBefore w:val="0"/>
              <w:kinsoku/>
              <w:wordWrap/>
              <w:overflowPunct/>
              <w:topLinePunct w:val="0"/>
              <w:autoSpaceDE/>
              <w:autoSpaceDN/>
              <w:bidi w:val="0"/>
              <w:spacing w:line="570" w:lineRule="exact"/>
              <w:textAlignment w:val="auto"/>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000" w:type="pct"/>
            <w:vAlign w:val="center"/>
          </w:tcPr>
          <w:p>
            <w:pPr>
              <w:pStyle w:val="13"/>
              <w:keepNext w:val="0"/>
              <w:keepLines w:val="0"/>
              <w:pageBreakBefore w:val="0"/>
              <w:kinsoku/>
              <w:wordWrap/>
              <w:overflowPunct/>
              <w:topLinePunct w:val="0"/>
              <w:autoSpaceDE/>
              <w:autoSpaceDN/>
              <w:bidi w:val="0"/>
              <w:spacing w:line="570" w:lineRule="exact"/>
              <w:textAlignment w:val="auto"/>
            </w:pPr>
            <w:r>
              <w:t>4、其他固定资产</w:t>
            </w:r>
          </w:p>
        </w:tc>
        <w:tc>
          <w:tcPr>
            <w:tcW w:w="1913" w:type="pct"/>
            <w:vAlign w:val="center"/>
          </w:tcPr>
          <w:p>
            <w:pPr>
              <w:pStyle w:val="14"/>
              <w:keepNext w:val="0"/>
              <w:keepLines w:val="0"/>
              <w:pageBreakBefore w:val="0"/>
              <w:kinsoku/>
              <w:wordWrap/>
              <w:overflowPunct/>
              <w:topLinePunct w:val="0"/>
              <w:autoSpaceDE/>
              <w:autoSpaceDN/>
              <w:bidi w:val="0"/>
              <w:spacing w:line="570" w:lineRule="exact"/>
              <w:textAlignment w:val="auto"/>
              <w:rPr>
                <w:rFonts w:hint="default" w:eastAsia="方正书宋_GBK"/>
                <w:lang w:val="en-US" w:eastAsia="zh-CN"/>
              </w:rPr>
            </w:pPr>
            <w:r>
              <w:rPr>
                <w:rFonts w:hint="eastAsia"/>
                <w:lang w:val="en-US" w:eastAsia="zh-CN"/>
              </w:rPr>
              <w:t>385</w:t>
            </w:r>
          </w:p>
        </w:tc>
        <w:tc>
          <w:tcPr>
            <w:tcW w:w="1087" w:type="pct"/>
            <w:vAlign w:val="center"/>
          </w:tcPr>
          <w:p>
            <w:pPr>
              <w:pStyle w:val="12"/>
              <w:keepNext w:val="0"/>
              <w:keepLines w:val="0"/>
              <w:pageBreakBefore w:val="0"/>
              <w:kinsoku/>
              <w:wordWrap/>
              <w:overflowPunct/>
              <w:topLinePunct w:val="0"/>
              <w:autoSpaceDE/>
              <w:autoSpaceDN/>
              <w:bidi w:val="0"/>
              <w:spacing w:line="570" w:lineRule="exact"/>
              <w:textAlignment w:val="auto"/>
              <w:rPr>
                <w:rFonts w:hint="default" w:eastAsia="方正书宋_GBK"/>
                <w:lang w:val="en-US" w:eastAsia="zh-CN"/>
              </w:rPr>
            </w:pPr>
            <w:r>
              <w:rPr>
                <w:rFonts w:hint="eastAsia"/>
                <w:lang w:val="en-US" w:eastAsia="zh-CN"/>
              </w:rPr>
              <w:t>51.72</w:t>
            </w:r>
          </w:p>
        </w:tc>
      </w:tr>
    </w:tbl>
    <w:p>
      <w:pPr>
        <w:keepNext w:val="0"/>
        <w:keepLines w:val="0"/>
        <w:pageBreakBefore w:val="0"/>
        <w:kinsoku/>
        <w:wordWrap/>
        <w:overflowPunct/>
        <w:topLinePunct w:val="0"/>
        <w:autoSpaceDE/>
        <w:autoSpaceDN/>
        <w:bidi w:val="0"/>
        <w:adjustRightInd w:val="0"/>
        <w:snapToGrid w:val="0"/>
        <w:spacing w:line="57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pPr>
        <w:keepNext w:val="0"/>
        <w:keepLines w:val="0"/>
        <w:pageBreakBefore w:val="0"/>
        <w:kinsoku/>
        <w:wordWrap/>
        <w:overflowPunct/>
        <w:topLinePunct w:val="0"/>
        <w:autoSpaceDE/>
        <w:autoSpaceDN/>
        <w:bidi w:val="0"/>
        <w:snapToGrid w:val="0"/>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2024年部门收入预算执行数为</w:t>
      </w:r>
      <w:r>
        <w:rPr>
          <w:rFonts w:hint="eastAsia" w:ascii="仿宋_GB2312" w:hAnsi="仿宋_GB2312" w:eastAsia="仿宋_GB2312" w:cs="仿宋_GB2312"/>
          <w:color w:val="auto"/>
          <w:sz w:val="32"/>
          <w:szCs w:val="32"/>
          <w:lang w:val="en-US" w:eastAsia="zh-CN"/>
        </w:rPr>
        <w:t>1105.37</w:t>
      </w:r>
      <w:r>
        <w:rPr>
          <w:rFonts w:hint="eastAsia" w:ascii="仿宋_GB2312" w:hAnsi="仿宋_GB2312" w:eastAsia="仿宋_GB2312" w:cs="仿宋_GB2312"/>
          <w:sz w:val="32"/>
          <w:szCs w:val="32"/>
          <w:lang w:val="en-US" w:eastAsia="zh-CN"/>
        </w:rPr>
        <w:t>万元，支出预算执行数为</w:t>
      </w:r>
      <w:r>
        <w:rPr>
          <w:rFonts w:hint="eastAsia" w:ascii="仿宋_GB2312" w:hAnsi="仿宋_GB2312" w:eastAsia="仿宋_GB2312" w:cs="仿宋_GB2312"/>
          <w:color w:val="auto"/>
          <w:sz w:val="32"/>
          <w:szCs w:val="32"/>
          <w:lang w:val="en-US" w:eastAsia="zh-CN"/>
        </w:rPr>
        <w:t>1105.37</w:t>
      </w:r>
      <w:r>
        <w:rPr>
          <w:rFonts w:hint="eastAsia" w:ascii="仿宋_GB2312" w:hAnsi="仿宋_GB2312" w:eastAsia="仿宋_GB2312" w:cs="仿宋_GB2312"/>
          <w:sz w:val="32"/>
          <w:szCs w:val="32"/>
          <w:lang w:val="en-US" w:eastAsia="zh-CN"/>
        </w:rPr>
        <w:t>万元。</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部门收入预算执行数为</w:t>
      </w:r>
      <w:r>
        <w:rPr>
          <w:rFonts w:hint="eastAsia" w:ascii="仿宋_GB2312" w:hAnsi="仿宋_GB2312" w:eastAsia="仿宋_GB2312" w:cs="仿宋_GB2312"/>
          <w:color w:val="auto"/>
          <w:sz w:val="32"/>
          <w:szCs w:val="32"/>
          <w:lang w:val="en-US" w:eastAsia="zh-CN"/>
        </w:rPr>
        <w:t>1780.90</w:t>
      </w:r>
      <w:r>
        <w:rPr>
          <w:rFonts w:hint="eastAsia" w:ascii="仿宋_GB2312" w:hAnsi="仿宋_GB2312" w:eastAsia="仿宋_GB2312" w:cs="仿宋_GB2312"/>
          <w:sz w:val="32"/>
          <w:szCs w:val="32"/>
          <w:lang w:val="en-US" w:eastAsia="zh-CN"/>
        </w:rPr>
        <w:t>万元，支出预算执行数为</w:t>
      </w:r>
      <w:r>
        <w:rPr>
          <w:rFonts w:hint="eastAsia" w:ascii="仿宋_GB2312" w:hAnsi="仿宋_GB2312" w:eastAsia="仿宋_GB2312" w:cs="仿宋_GB2312"/>
          <w:color w:val="auto"/>
          <w:sz w:val="32"/>
          <w:szCs w:val="32"/>
          <w:lang w:val="en-US" w:eastAsia="zh-CN"/>
        </w:rPr>
        <w:t>1780.90</w:t>
      </w:r>
      <w:r>
        <w:rPr>
          <w:rFonts w:hint="eastAsia" w:ascii="仿宋_GB2312" w:hAnsi="仿宋_GB2312" w:eastAsia="仿宋_GB2312" w:cs="仿宋_GB2312"/>
          <w:sz w:val="32"/>
          <w:szCs w:val="32"/>
          <w:lang w:val="en-US" w:eastAsia="zh-CN"/>
        </w:rPr>
        <w:t>万元。</w:t>
      </w:r>
      <w:r>
        <w:rPr>
          <w:rFonts w:hint="eastAsia" w:ascii="仿宋_GB2312" w:hAnsi="仿宋_GB2312" w:eastAsia="仿宋_GB2312" w:cs="仿宋_GB2312"/>
          <w:sz w:val="32"/>
          <w:szCs w:val="32"/>
        </w:rPr>
        <w:t>较202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年执行数增加</w:t>
      </w:r>
      <w:r>
        <w:rPr>
          <w:rFonts w:hint="eastAsia" w:ascii="仿宋_GB2312" w:hAnsi="仿宋_GB2312" w:eastAsia="仿宋_GB2312" w:cs="仿宋_GB2312"/>
          <w:sz w:val="32"/>
          <w:szCs w:val="32"/>
          <w:lang w:val="en-US" w:eastAsia="zh-CN"/>
        </w:rPr>
        <w:t>675.53</w:t>
      </w:r>
      <w:r>
        <w:rPr>
          <w:rFonts w:hint="eastAsia" w:ascii="仿宋_GB2312" w:hAnsi="仿宋_GB2312" w:eastAsia="仿宋_GB2312" w:cs="仿宋_GB2312"/>
          <w:sz w:val="32"/>
          <w:szCs w:val="32"/>
        </w:rPr>
        <w:t>万元，主要是因为</w:t>
      </w:r>
      <w:r>
        <w:rPr>
          <w:rFonts w:hint="eastAsia" w:ascii="仿宋_GB2312" w:hAnsi="仿宋_GB2312" w:eastAsia="仿宋_GB2312" w:cs="仿宋_GB2312"/>
          <w:color w:val="auto"/>
          <w:sz w:val="32"/>
          <w:szCs w:val="32"/>
        </w:rPr>
        <w:t>减少自主开发资金及工作经费，人员变动</w:t>
      </w:r>
      <w:r>
        <w:rPr>
          <w:rFonts w:hint="eastAsia" w:ascii="仿宋_GB2312" w:hAnsi="仿宋_GB2312" w:eastAsia="仿宋_GB2312" w:cs="仿宋_GB2312"/>
          <w:sz w:val="32"/>
          <w:szCs w:val="32"/>
        </w:rPr>
        <w:t>。</w:t>
      </w:r>
    </w:p>
    <w:p>
      <w:pPr>
        <w:keepNext w:val="0"/>
        <w:keepLines w:val="0"/>
        <w:pageBreakBefore w:val="0"/>
        <w:kinsoku/>
        <w:wordWrap/>
        <w:overflowPunct/>
        <w:topLinePunct w:val="0"/>
        <w:autoSpaceDE/>
        <w:autoSpaceDN/>
        <w:bidi w:val="0"/>
        <w:adjustRightInd w:val="0"/>
        <w:snapToGrid w:val="0"/>
        <w:spacing w:line="57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keepNext w:val="0"/>
        <w:keepLines w:val="0"/>
        <w:pageBreakBefore w:val="0"/>
        <w:kinsoku/>
        <w:wordWrap/>
        <w:overflowPunct/>
        <w:topLinePunct w:val="0"/>
        <w:autoSpaceDE/>
        <w:autoSpaceDN/>
        <w:bidi w:val="0"/>
        <w:spacing w:before="10" w:after="10" w:line="570" w:lineRule="exact"/>
        <w:ind w:firstLine="640"/>
        <w:textAlignment w:val="auto"/>
        <w:outlineLvl w:val="2"/>
        <w:rPr>
          <w:rFonts w:hint="eastAsia" w:ascii="仿宋_GB2312" w:hAnsi="仿宋_GB2312" w:eastAsia="仿宋_GB2312" w:cs="仿宋_GB2312"/>
        </w:rPr>
      </w:pPr>
      <w:r>
        <w:rPr>
          <w:rFonts w:hint="eastAsia" w:ascii="仿宋_GB2312" w:hAnsi="仿宋_GB2312" w:eastAsia="仿宋_GB2312" w:cs="仿宋_GB2312"/>
          <w:color w:val="000000"/>
          <w:sz w:val="32"/>
        </w:rPr>
        <w:t>预算绩效信息</w:t>
      </w:r>
    </w:p>
    <w:p>
      <w:pPr>
        <w:keepNext w:val="0"/>
        <w:keepLines w:val="0"/>
        <w:pageBreakBefore w:val="0"/>
        <w:kinsoku/>
        <w:wordWrap/>
        <w:overflowPunct/>
        <w:topLinePunct w:val="0"/>
        <w:autoSpaceDE/>
        <w:autoSpaceDN/>
        <w:bidi w:val="0"/>
        <w:spacing w:line="570" w:lineRule="exact"/>
        <w:ind w:firstLine="64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 xml:space="preserve">(一) </w:t>
      </w:r>
      <w:r>
        <w:rPr>
          <w:rFonts w:hint="eastAsia" w:ascii="仿宋_GB2312" w:hAnsi="仿宋_GB2312" w:eastAsia="仿宋_GB2312" w:cs="仿宋_GB2312"/>
          <w:b w:val="0"/>
          <w:bCs w:val="0"/>
          <w:color w:val="000000"/>
          <w:sz w:val="32"/>
          <w:szCs w:val="32"/>
        </w:rPr>
        <w:t>单位整体绩效目标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1.</w:t>
      </w:r>
      <w:r>
        <w:rPr>
          <w:rFonts w:hint="eastAsia" w:ascii="仿宋_GB2312" w:hAnsi="仿宋_GB2312" w:eastAsia="仿宋_GB2312" w:cs="仿宋_GB2312"/>
          <w:sz w:val="32"/>
          <w:szCs w:val="32"/>
        </w:rPr>
        <w:t>综合协调机关日常工作。加强机关日常工作的综合协调和督促检查；维持机关文电、值班、会务、机要、保密、档案、党务政务公开、对外联络、后勤保障等日常运转工作；加强机关和所属单位财务及国有资产管理等工作。加强指导基层自治和居民区建设工作;加强爱国卫生日常工作，加强健康教育就业服务、人口与计划生育工作，加强社会救助、残疾保障工作，开展居家养老服务、精神障碍患者康复等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w:t>
      </w:r>
      <w:r>
        <w:rPr>
          <w:rFonts w:hint="eastAsia" w:ascii="仿宋_GB2312" w:hAnsi="仿宋_GB2312" w:eastAsia="仿宋_GB2312" w:cs="仿宋_GB2312"/>
          <w:sz w:val="32"/>
          <w:szCs w:val="32"/>
        </w:rPr>
        <w:t>推进基层党建工作。加强基层党的政治建设、组织建设、思想建设、宣传工作、意识形态、精神文明建设、统战工作、民族宗教事务、党管武装、组织人事等工作；加强指导村（居）民委员会建立健全各项自治制度，指导村（居）民委员会的换届选举;统筹推进区域化党建工作，领导辖区内人大工作，以及工会、共青团、妇联等群团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3.</w:t>
      </w:r>
      <w:r>
        <w:rPr>
          <w:rFonts w:hint="eastAsia" w:ascii="仿宋_GB2312" w:hAnsi="仿宋_GB2312" w:eastAsia="仿宋_GB2312" w:cs="仿宋_GB2312"/>
          <w:sz w:val="32"/>
          <w:szCs w:val="32"/>
        </w:rPr>
        <w:t>加强应急管理和社会治理。加强应急管理工作，落实应急管理责任，制定突发事件应急预案，组织开展应急演练，加强消防、防汛抗洪、抗旱等防灾减灾相关工作；加强生产经营单位安全生产状况的监督检查，协助上级有关单位依法履行安全生产监督管理职责；加强领导辖区传染病防治工作，自然灾害救助相关工作，护林和森林草原防火相关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4.</w:t>
      </w:r>
      <w:r>
        <w:rPr>
          <w:rFonts w:hint="eastAsia" w:ascii="仿宋_GB2312" w:hAnsi="仿宋_GB2312" w:eastAsia="仿宋_GB2312" w:cs="仿宋_GB2312"/>
          <w:sz w:val="32"/>
          <w:szCs w:val="32"/>
        </w:rPr>
        <w:t>保护和监管自然资源。加强自然资源保护和监管、人居环境改善、土地调查、村乡规划建设、基本农田保护管理等工作；加强大气、水、土壤污染防治，水资源保护、水环境治理、节约用水、全民义务植树、古树名木保护、园林绿化等工作，加强禁止露天焚烧秸秆、“散乱污”企业综合整治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5.</w:t>
      </w:r>
      <w:r>
        <w:rPr>
          <w:rFonts w:hint="eastAsia" w:ascii="仿宋_GB2312" w:hAnsi="仿宋_GB2312" w:eastAsia="仿宋_GB2312" w:cs="仿宋_GB2312"/>
          <w:sz w:val="32"/>
          <w:szCs w:val="32"/>
        </w:rPr>
        <w:t>强化纪检监察。强化全镇党的纪律检查工作，监督检查辖区内党组织和党员贯彻执行党的路线方针政策和决议，遵守和执行党内法规和上级党委决定、命令的情况，监督检查公职人员依法履职、秉公用权、廉洁从政从业以及道德操守等情况；组织协调全镇党风廉政建设和反腐败工作；按照干部管理权限，检查、处理本镇范围内党的组织和党员、干部违犯党纪的案件和职务违法和职务犯罪案件；受理本镇范围内对党的组织、党员违犯党纪行为的检举以及党员的控告、申诉，维护党员的权利。督促落实全镇党务、政务、财务、村务公开，监督规范农村资金、资产、资源管理，负责内部审计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6.</w:t>
      </w:r>
      <w:r>
        <w:rPr>
          <w:rFonts w:hint="eastAsia" w:ascii="仿宋_GB2312" w:hAnsi="仿宋_GB2312" w:eastAsia="仿宋_GB2312" w:cs="仿宋_GB2312"/>
          <w:sz w:val="32"/>
          <w:szCs w:val="32"/>
        </w:rPr>
        <w:t xml:space="preserve">加强综合行政执法。根据有关法律法规和上级单位授权、委托，承担城乡建设、生态环境、文化市场、农业农村、安全生产、民族宗教等领域行政执法工作。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7.</w:t>
      </w:r>
      <w:r>
        <w:rPr>
          <w:rFonts w:hint="eastAsia" w:ascii="仿宋_GB2312" w:hAnsi="仿宋_GB2312" w:eastAsia="仿宋_GB2312" w:cs="仿宋_GB2312"/>
          <w:sz w:val="32"/>
          <w:szCs w:val="32"/>
        </w:rPr>
        <w:t>优化便民服务。加强行政审批服务事项的受理、办理工作，提供政策和业务咨询；指导村便民服务点建设。加强开展群众文化艺术娱乐、体育活动，加强文化市场进行监督、巡查工作，加强文物普查、保护和开发利用工作，指导村文化室建设、文体设施规划建设。加强编制</w:t>
      </w:r>
      <w:r>
        <w:rPr>
          <w:rFonts w:hint="eastAsia" w:ascii="仿宋_GB2312" w:hAnsi="仿宋_GB2312" w:eastAsia="仿宋_GB2312" w:cs="仿宋_GB2312"/>
          <w:sz w:val="32"/>
          <w:szCs w:val="32"/>
          <w:lang w:eastAsia="zh-CN"/>
        </w:rPr>
        <w:t>镇</w:t>
      </w:r>
      <w:r>
        <w:rPr>
          <w:rFonts w:hint="eastAsia" w:ascii="仿宋_GB2312" w:hAnsi="仿宋_GB2312" w:eastAsia="仿宋_GB2312" w:cs="仿宋_GB2312"/>
          <w:sz w:val="32"/>
          <w:szCs w:val="32"/>
        </w:rPr>
        <w:t>财政预决算，加强</w:t>
      </w:r>
      <w:r>
        <w:rPr>
          <w:rFonts w:hint="eastAsia" w:ascii="仿宋_GB2312" w:hAnsi="仿宋_GB2312" w:eastAsia="仿宋_GB2312" w:cs="仿宋_GB2312"/>
          <w:sz w:val="32"/>
          <w:szCs w:val="32"/>
          <w:lang w:eastAsia="zh-CN"/>
        </w:rPr>
        <w:t>镇</w:t>
      </w:r>
      <w:r>
        <w:rPr>
          <w:rFonts w:hint="eastAsia" w:ascii="仿宋_GB2312" w:hAnsi="仿宋_GB2312" w:eastAsia="仿宋_GB2312" w:cs="仿宋_GB2312"/>
          <w:sz w:val="32"/>
          <w:szCs w:val="32"/>
        </w:rPr>
        <w:t>政府预算单位的财务管理和核算，加强村级资金核拨和监督管理等相关工作。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8.</w:t>
      </w:r>
      <w:r>
        <w:rPr>
          <w:rFonts w:hint="eastAsia" w:ascii="仿宋_GB2312" w:hAnsi="仿宋_GB2312" w:eastAsia="仿宋_GB2312" w:cs="仿宋_GB2312"/>
          <w:sz w:val="32"/>
          <w:szCs w:val="32"/>
        </w:rPr>
        <w:t>做好军人事务。加强退役军人就业创业扶持、拥军优属、优抚帮扶、走访慰问、信访接待、权益保障等工作；配合武装部做好征兵、民兵、预备役、国防教育、国民经济动员、人民防空、国防交通、国防设施保护等相关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9.</w:t>
      </w:r>
      <w:r>
        <w:rPr>
          <w:rFonts w:hint="eastAsia" w:ascii="仿宋_GB2312" w:hAnsi="仿宋_GB2312" w:eastAsia="仿宋_GB2312" w:cs="仿宋_GB2312"/>
          <w:sz w:val="32"/>
          <w:szCs w:val="32"/>
        </w:rPr>
        <w:t>提供农业综合服务。加强农业、畜牧、林业、水利、农机等技术推广和服务工作，加强农产品质量安全监管工作，加强指导农业生产、技术培训和信息咨询服务；加强动植物病虫害及灾情的预报、防治、处置；加强指导新农村建设、乡村振兴、农村经济发展、农村体制改革、农村土地承包、扶贫开发、水土保持和综合治理等工作，加强农村环境卫生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10.</w:t>
      </w:r>
      <w:r>
        <w:rPr>
          <w:rFonts w:hint="eastAsia" w:ascii="仿宋_GB2312" w:hAnsi="仿宋_GB2312" w:eastAsia="仿宋_GB2312" w:cs="仿宋_GB2312"/>
          <w:sz w:val="32"/>
          <w:szCs w:val="32"/>
        </w:rPr>
        <w:t>加强社会治理。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单位负责刑满释放人员安置帮教工作，负责做好未成年人保护工作。</w:t>
      </w:r>
    </w:p>
    <w:p>
      <w:pPr>
        <w:keepNext w:val="0"/>
        <w:keepLines w:val="0"/>
        <w:pageBreakBefore w:val="0"/>
        <w:kinsoku/>
        <w:wordWrap/>
        <w:overflowPunct/>
        <w:topLinePunct w:val="0"/>
        <w:autoSpaceDE/>
        <w:autoSpaceDN/>
        <w:bidi w:val="0"/>
        <w:spacing w:line="570" w:lineRule="exact"/>
        <w:ind w:firstLine="56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（二）分项绩效目标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1.</w:t>
      </w:r>
      <w:r>
        <w:rPr>
          <w:rFonts w:hint="eastAsia" w:ascii="仿宋_GB2312" w:hAnsi="仿宋_GB2312" w:eastAsia="仿宋_GB2312" w:cs="仿宋_GB2312"/>
          <w:sz w:val="32"/>
          <w:szCs w:val="32"/>
        </w:rPr>
        <w:t>综合协调机关日常工作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做好监督检查和指导所属单位和行政村的档案工作。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绩效目标：负责监督检查和指导所属单位和行政村的档案工作。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绩效指标：所属单位和行政村的档案完善情况达到良。</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【88%   ，95%）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w:t>
      </w:r>
      <w:r>
        <w:rPr>
          <w:rFonts w:hint="eastAsia" w:ascii="仿宋_GB2312" w:hAnsi="仿宋_GB2312" w:eastAsia="仿宋_GB2312" w:cs="仿宋_GB2312"/>
          <w:sz w:val="32"/>
          <w:szCs w:val="32"/>
        </w:rPr>
        <w:t xml:space="preserve">推进基层党建工作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xml:space="preserve">宣传执行党的路线、方针、政策,宣传和执行党中央、上级党组织和本级党组织的决议,团结、组织党内外的干部和群众,努力完成本单位所担负的任务。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绩效目标：宣传次数。</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绩效指标：每年实际开展宣传3-5次。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w:t>
      </w:r>
      <w:r>
        <w:rPr>
          <w:rFonts w:hint="eastAsia" w:ascii="仿宋_GB2312" w:hAnsi="仿宋_GB2312" w:eastAsia="仿宋_GB2312" w:cs="仿宋_GB2312"/>
          <w:sz w:val="32"/>
          <w:szCs w:val="32"/>
        </w:rPr>
        <w:t>根据国家计划，决定本行政区域内经济、文化事业和公共事业建设计划；审查和批准本行政区域内的财政预算和预算执行情况的报告；选举本级人民代表大会主席、副主席，乡镇长、副乡镇长；听取和审查乡镇人民政府工作报告。</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绩效目标：应公开村务实际公开率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绩效指标：实际村务公开占应村务公开比率。【88%   ，95%）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（3）</w:t>
      </w:r>
      <w:r>
        <w:rPr>
          <w:rFonts w:hint="eastAsia" w:ascii="仿宋_GB2312" w:hAnsi="仿宋_GB2312" w:eastAsia="仿宋_GB2312" w:cs="仿宋_GB2312"/>
          <w:sz w:val="32"/>
          <w:szCs w:val="32"/>
        </w:rPr>
        <w:t>维护和执行党的纪律,监督党员干部和其他任何工作人员严格遵守国家法律法规。</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绩效目标：民主决策率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绩效指标：实际民主决策率达到≥95%。</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（4）</w:t>
      </w:r>
      <w:r>
        <w:rPr>
          <w:rFonts w:hint="eastAsia" w:ascii="仿宋_GB2312" w:hAnsi="仿宋_GB2312" w:eastAsia="仿宋_GB2312" w:cs="仿宋_GB2312"/>
          <w:sz w:val="32"/>
          <w:szCs w:val="32"/>
        </w:rPr>
        <w:t>做好乡镇党委自身建设和基层党组织建设,以及其他隶属乡镇党委的党组织建设。</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绩效目标：制度健全率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绩效指标：制度备案占应备案的比率≥95%</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（5）</w:t>
      </w:r>
      <w:r>
        <w:rPr>
          <w:rFonts w:hint="eastAsia" w:ascii="仿宋_GB2312" w:hAnsi="仿宋_GB2312" w:eastAsia="仿宋_GB2312" w:cs="仿宋_GB2312"/>
          <w:sz w:val="32"/>
          <w:szCs w:val="32"/>
        </w:rPr>
        <w:t>做好下级党的基层组织选举工作,对下级党组织的成立或撤销作出决定。</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绩效目标：两委班子健全实际村数与应健全两委班子的村数相比</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绩效指标：两委班子健全率100%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（6）</w:t>
      </w:r>
      <w:r>
        <w:rPr>
          <w:rFonts w:hint="eastAsia" w:ascii="仿宋_GB2312" w:hAnsi="仿宋_GB2312" w:eastAsia="仿宋_GB2312" w:cs="仿宋_GB2312"/>
          <w:sz w:val="32"/>
          <w:szCs w:val="32"/>
        </w:rPr>
        <w:t>做好非公有制企业和社会组织党建工作,扩大新兴领域党建有效覆盖</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绩效目标：实际党建工作覆盖率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绩效指标：实际党建工作覆盖率100%。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（7）</w:t>
      </w:r>
      <w:r>
        <w:rPr>
          <w:rFonts w:hint="eastAsia" w:ascii="仿宋_GB2312" w:hAnsi="仿宋_GB2312" w:eastAsia="仿宋_GB2312" w:cs="仿宋_GB2312"/>
          <w:sz w:val="32"/>
          <w:szCs w:val="32"/>
        </w:rPr>
        <w:t>加强党员队伍建设,对党员进行教育、管理、监督和服务,做好经常性的发展党员工作。加强流动党员管理。</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绩效目标：党员管理程度</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绩效指标：管理党员覆盖率≥90%，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（8）</w:t>
      </w:r>
      <w:r>
        <w:rPr>
          <w:rFonts w:hint="eastAsia" w:ascii="仿宋_GB2312" w:hAnsi="仿宋_GB2312" w:eastAsia="仿宋_GB2312" w:cs="仿宋_GB2312"/>
          <w:sz w:val="32"/>
          <w:szCs w:val="32"/>
        </w:rPr>
        <w:t xml:space="preserve">做好人才服务工作,发现、培养、推荐党员和群众中的优秀人才。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绩效目标：培养的基层人才高于去年</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绩效指标：培养人才高于去年≥90%。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（9）</w:t>
      </w:r>
      <w:r>
        <w:rPr>
          <w:rFonts w:hint="eastAsia" w:ascii="仿宋_GB2312" w:hAnsi="仿宋_GB2312" w:eastAsia="仿宋_GB2312" w:cs="仿宋_GB2312"/>
          <w:sz w:val="32"/>
          <w:szCs w:val="32"/>
        </w:rPr>
        <w:t>落实意识形态工作责任制,组织党员群众学习习近平新时代中国特色社会主义思想,培育和践行社会主义核心价值观,加强精神文明建设和文化建设。</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绩效目标：文化建设程度</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绩效指标：党员思想觉悟提高≥90%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0）</w:t>
      </w:r>
      <w:r>
        <w:rPr>
          <w:rFonts w:hint="eastAsia" w:ascii="仿宋_GB2312" w:hAnsi="仿宋_GB2312" w:eastAsia="仿宋_GB2312" w:cs="仿宋_GB2312"/>
          <w:sz w:val="32"/>
          <w:szCs w:val="32"/>
        </w:rPr>
        <w:t>落实统一战线工作任务要求,做好民族、宗教事务工作。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绩效目标：民族宗教事故次数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绩效指标：民族宗教事故次数少于1次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1）</w:t>
      </w:r>
      <w:r>
        <w:rPr>
          <w:rFonts w:hint="eastAsia" w:ascii="仿宋_GB2312" w:hAnsi="仿宋_GB2312" w:eastAsia="仿宋_GB2312" w:cs="仿宋_GB2312"/>
          <w:sz w:val="32"/>
          <w:szCs w:val="32"/>
        </w:rPr>
        <w:t>领导辖区内人大工作,以及工会、共青团、妇联等工作。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绩效目标：完成年度责任目标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绩效指标：年度责任目标完成率≥90%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2）</w:t>
      </w:r>
      <w:r>
        <w:rPr>
          <w:rFonts w:hint="eastAsia" w:ascii="仿宋_GB2312" w:hAnsi="仿宋_GB2312" w:eastAsia="仿宋_GB2312" w:cs="仿宋_GB2312"/>
          <w:sz w:val="32"/>
          <w:szCs w:val="32"/>
        </w:rPr>
        <w:t>根据委托授权做好本辖区内的宗教事务管理工作。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绩效目标：和谐开展次数</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绩效指标：宗教活动实际和谐开展次数3-5次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3.</w:t>
      </w:r>
      <w:r>
        <w:rPr>
          <w:rFonts w:hint="eastAsia" w:ascii="仿宋_GB2312" w:hAnsi="仿宋_GB2312" w:eastAsia="仿宋_GB2312" w:cs="仿宋_GB2312"/>
          <w:sz w:val="32"/>
          <w:szCs w:val="32"/>
        </w:rPr>
        <w:t xml:space="preserve">加强应急管理和社会治理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加强本辖区生产经营单位安全生产状况的监督检查,协助上级有关单位依法履行安全生产监督管理职责。</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绩效目标：安全生产检查覆盖面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绩效指标：实际安全生产检查覆盖率≥90%。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w:t>
      </w:r>
      <w:r>
        <w:rPr>
          <w:rFonts w:hint="eastAsia" w:ascii="仿宋_GB2312" w:hAnsi="仿宋_GB2312" w:eastAsia="仿宋_GB2312" w:cs="仿宋_GB2312"/>
          <w:sz w:val="32"/>
          <w:szCs w:val="32"/>
        </w:rPr>
        <w:t>依法做好本辖区的突发事件应对工作,制定本级突发事件应急预案,组织开展应急演练。</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绩效目标：突发事件演练次数</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绩效指标：突发事件实际演练次数3-5次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（3）</w:t>
      </w:r>
      <w:r>
        <w:rPr>
          <w:rFonts w:hint="eastAsia" w:ascii="仿宋_GB2312" w:hAnsi="仿宋_GB2312" w:eastAsia="仿宋_GB2312" w:cs="仿宋_GB2312"/>
          <w:sz w:val="32"/>
          <w:szCs w:val="32"/>
        </w:rPr>
        <w:t>做好辖区应急管理工作,建立健全应急联动机制,严格落实应急管理责任,加强基层综合应急队伍建设和应急保障能力。</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绩效目标：应急处理能力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绩效指标：处理应急事件的能力≥90%，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做好本辖区的消防工作,开展消防宣传、防火巡查、隐患查改。指导村(居)民委员会开展群众性的消防工作。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绩效目标：消防事件处理率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绩效指标：处理消防事件的处理率100%。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（5）</w:t>
      </w:r>
      <w:r>
        <w:rPr>
          <w:rFonts w:hint="eastAsia" w:ascii="仿宋_GB2312" w:hAnsi="仿宋_GB2312" w:eastAsia="仿宋_GB2312" w:cs="仿宋_GB2312"/>
          <w:sz w:val="32"/>
          <w:szCs w:val="32"/>
        </w:rPr>
        <w:t>做好辖区防汛抗洪、抗旱等相关工作。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绩效目标：组织防汛演练</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绩效指标：组织防汛演练次数3-5次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（6）</w:t>
      </w:r>
      <w:r>
        <w:rPr>
          <w:rFonts w:hint="eastAsia" w:ascii="仿宋_GB2312" w:hAnsi="仿宋_GB2312" w:eastAsia="仿宋_GB2312" w:cs="仿宋_GB2312"/>
          <w:sz w:val="32"/>
          <w:szCs w:val="32"/>
        </w:rPr>
        <w:t>做好辖区防灾减灾等相关工作。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绩效目标：组织防灾减灾演练次数</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绩效指标：组织防灾减灾演练次数4次及以上。</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（7）</w:t>
      </w:r>
      <w:r>
        <w:rPr>
          <w:rFonts w:hint="eastAsia" w:ascii="仿宋_GB2312" w:hAnsi="仿宋_GB2312" w:eastAsia="仿宋_GB2312" w:cs="仿宋_GB2312"/>
          <w:sz w:val="32"/>
          <w:szCs w:val="32"/>
        </w:rPr>
        <w:t>领导辖区内传染病防治工作,组织开展群众性卫生活动,进行预防传染病的健康教育。</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绩效目标：防疫情况</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绩效指标：实际防疫情况占计划防疫情况的比例≥90%，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eastAsia="zh-CN"/>
        </w:rPr>
        <w:t xml:space="preserve">) </w:t>
      </w:r>
      <w:r>
        <w:rPr>
          <w:rFonts w:hint="eastAsia" w:ascii="仿宋_GB2312" w:hAnsi="仿宋_GB2312" w:eastAsia="仿宋_GB2312" w:cs="仿宋_GB2312"/>
          <w:sz w:val="32"/>
          <w:szCs w:val="32"/>
        </w:rPr>
        <w:t xml:space="preserve">做好本辖区内自然灾害救助工作,做好自然灾害风险排查、隐患治理、救助准备、信息报告、先期处置、应急救助、灾后救助和救助款物管理等工作。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绩效目标：自然灾害救助能力</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绩效指标：自然灾害救助能力≥90%。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 xml:space="preserve">(9) </w:t>
      </w:r>
      <w:r>
        <w:rPr>
          <w:rFonts w:hint="eastAsia" w:ascii="仿宋_GB2312" w:hAnsi="仿宋_GB2312" w:eastAsia="仿宋_GB2312" w:cs="仿宋_GB2312"/>
          <w:sz w:val="32"/>
          <w:szCs w:val="32"/>
        </w:rPr>
        <w:t>按照职责分工和相关预案开展突发环境事件应急处置工作,按照有关规定向上级报告,</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绩效目标：应急处理能力</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绩效指标：应急处理能力提高≥90%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履行辖区护林和森林草原防火职责,明确责任分工、开展宣传教育、组织防火巡查巡护、组建火灾扑救队伍、做好防灭火物资储备、制定火灾应急处置办法、组织开展应急演练、做好火灾预防扑救。</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绩效目标：火情出现次数</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绩效指标：火情出现次数少于1次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做好本辖区</w:t>
      </w:r>
      <w:r>
        <w:rPr>
          <w:rFonts w:hint="eastAsia" w:ascii="仿宋_GB2312" w:hAnsi="仿宋_GB2312" w:eastAsia="仿宋_GB2312" w:cs="仿宋_GB2312"/>
          <w:sz w:val="32"/>
          <w:szCs w:val="32"/>
          <w:lang w:eastAsia="zh-CN"/>
        </w:rPr>
        <w:t>乡</w:t>
      </w:r>
      <w:r>
        <w:rPr>
          <w:rFonts w:hint="eastAsia" w:ascii="仿宋_GB2312" w:hAnsi="仿宋_GB2312" w:eastAsia="仿宋_GB2312" w:cs="仿宋_GB2312"/>
          <w:sz w:val="32"/>
          <w:szCs w:val="32"/>
        </w:rPr>
        <w:t>道、村道建设管理工作,做好乡村道路交通安全监督管理工作。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绩效目标：交通事故发生次数</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绩效指标：交通事故发生次数少于1次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4.</w:t>
      </w:r>
      <w:r>
        <w:rPr>
          <w:rFonts w:hint="eastAsia" w:ascii="仿宋_GB2312" w:hAnsi="仿宋_GB2312" w:eastAsia="仿宋_GB2312" w:cs="仿宋_GB2312"/>
          <w:sz w:val="32"/>
          <w:szCs w:val="32"/>
        </w:rPr>
        <w:t xml:space="preserve">保护和监管自然资源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xml:space="preserve">按权限做好本辖区内的节约用水工作。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绩效目标：水资源利用率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绩效指标：水资源利用率≥90%。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做好本区域范围内的村镇规划建设管理工作。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绩效目标：村庄合理化规划</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绩效指标：村庄合理化规划占比≥85%。</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按照职责分工依法履行土壤污染防治和安全利用职责。</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绩效目标：土壤安全利用率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绩效指标：土壤安全利用率≥85%。</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按照职责分工做好本辖区河湖的水资源保护、水域岸线管理、水污染防治、水环境治理等工作,协助上级人民政府及其有关单位做好地下水相关管理和监督工作。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绩效目标：水资源利用率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绩效指标：水资源利用率≥85%。</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 xml:space="preserve">(5)  </w:t>
      </w:r>
      <w:r>
        <w:rPr>
          <w:rFonts w:hint="eastAsia" w:ascii="仿宋_GB2312" w:hAnsi="仿宋_GB2312" w:eastAsia="仿宋_GB2312" w:cs="仿宋_GB2312"/>
          <w:sz w:val="32"/>
          <w:szCs w:val="32"/>
        </w:rPr>
        <w:t>根据本地区的实际,组织开展大气污染防治工作。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绩效目标：发生秸秆焚烧次数</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绩效指标：发生秸秆焚烧次数少于1次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(6)</w:t>
      </w:r>
      <w:r>
        <w:rPr>
          <w:rFonts w:hint="eastAsia" w:ascii="仿宋_GB2312" w:hAnsi="仿宋_GB2312" w:eastAsia="仿宋_GB2312" w:cs="仿宋_GB2312"/>
          <w:sz w:val="32"/>
          <w:szCs w:val="32"/>
        </w:rPr>
        <w:t>落实属地监管责任,做好禁止露天焚烧秸秆工作。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绩效目标：发生秸秆焚烧工作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绩效指标：发生秸秆焚烧次数少于1次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7</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根据本地区的实际,组织开展扬尘污染防治工作。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绩效目标：pm2.5指数</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绩效指标：pm2.5指数降低比率≥90%，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xml:space="preserve">按照职责分工做好“散乱污”企业综合整治工作。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绩效目标：散乱污企业整治情况</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绩效指标：散乱污企业处置次数少于1次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9</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按照职责分工做好辖区环境保护和治理工作,配合做好联合巡查工作,及时查处影响辖区环境保护和治理的行为。</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绩效目标：危害环境案件次数</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绩效指标：危害环境案件次数少于1次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做好辖区自然资源保护和监管工作。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绩效目标：自然资源保护和监管工作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绩效指标：监管不力案件次数少于1次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做好本行政区域内人居环境改善工作。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绩效目标：人居环境改善程度</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绩效指标：人居环境改善程度≥90%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动员和组织社会力量参与土地调查工作。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绩效目标：调查次数</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绩效指标：调查次数3-5次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做好辖区基本农田保护管理工作。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绩效目标：基本农田保护率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绩效指标：基本农田保护率≥90%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组织开展全民义务植树、古树名木保护和草原建设保护利用工作。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绩效目标：植树面积覆盖</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绩效指标：植树面积增幅≥90%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负责辖区内城市园林绿化工作。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绩效目标：园林绿化增幅</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绩效指标：园林绿化增幅≥90%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5.</w:t>
      </w:r>
      <w:r>
        <w:rPr>
          <w:rFonts w:hint="eastAsia" w:ascii="仿宋_GB2312" w:hAnsi="仿宋_GB2312" w:eastAsia="仿宋_GB2312" w:cs="仿宋_GB2312"/>
          <w:sz w:val="32"/>
          <w:szCs w:val="32"/>
        </w:rPr>
        <w:t>强化纪检监察</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做好全</w:t>
      </w:r>
      <w:r>
        <w:rPr>
          <w:rFonts w:hint="eastAsia" w:ascii="仿宋_GB2312" w:hAnsi="仿宋_GB2312" w:eastAsia="仿宋_GB2312" w:cs="仿宋_GB2312"/>
          <w:sz w:val="32"/>
          <w:szCs w:val="32"/>
          <w:lang w:eastAsia="zh-CN"/>
        </w:rPr>
        <w:t>镇</w:t>
      </w:r>
      <w:r>
        <w:rPr>
          <w:rFonts w:hint="eastAsia" w:ascii="仿宋_GB2312" w:hAnsi="仿宋_GB2312" w:eastAsia="仿宋_GB2312" w:cs="仿宋_GB2312"/>
          <w:sz w:val="32"/>
          <w:szCs w:val="32"/>
        </w:rPr>
        <w:t>党的纪律检查工作和内部审计工作。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绩效目标：民主决策率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绩效指标：民主决策率≥95%</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6.</w:t>
      </w:r>
      <w:r>
        <w:rPr>
          <w:rFonts w:hint="eastAsia" w:ascii="仿宋_GB2312" w:hAnsi="仿宋_GB2312" w:eastAsia="仿宋_GB2312" w:cs="仿宋_GB2312"/>
          <w:sz w:val="32"/>
          <w:szCs w:val="32"/>
        </w:rPr>
        <w:t xml:space="preserve">加强综合行政执法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xml:space="preserve">根据法律法规和省政府授权,承担综合行政执法工作。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绩效目标：执法力度</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绩效指标：执法力度增幅≥90%。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做好辖区内的食品安全隐患排查、信息报告、协助执法和宣传教育等工作,做好本行政区域内小作坊、小餐饮、小摊点的监督管理工作。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绩效目标：食品更加安全</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绩效指标：出现危害食品安全的案件少于1次。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协助市场监督管理单位对药品零售活动进行监督。。</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绩效目标：药品监管力度</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绩效指标：医药行业优化率≥85%。</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协助有关单位查处传销行为。</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绩效目标：传销人员数</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绩效指标：辖区参与传销人员少于1人。</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协助做好辖区内电梯安全的监督管理,调解处理因电梯而产生的群体性事件和不稳定因素,配合有关单位做好对电梯使用单位的安全检查工作。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绩效目标：出现安全事故次数</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绩效指标：出现安全事故次数少于1次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7.</w:t>
      </w:r>
      <w:r>
        <w:rPr>
          <w:rFonts w:hint="eastAsia" w:ascii="仿宋_GB2312" w:hAnsi="仿宋_GB2312" w:eastAsia="仿宋_GB2312" w:cs="仿宋_GB2312"/>
          <w:sz w:val="32"/>
          <w:szCs w:val="32"/>
        </w:rPr>
        <w:t xml:space="preserve">加强综合行政执法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xml:space="preserve">1)按照职责分工做好做好辖区城乡居民基本养老保险工作。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绩效目标：新农保参合率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绩效指标：全</w:t>
      </w:r>
      <w:r>
        <w:rPr>
          <w:rFonts w:hint="eastAsia" w:ascii="仿宋_GB2312" w:hAnsi="仿宋_GB2312" w:eastAsia="仿宋_GB2312" w:cs="仿宋_GB2312"/>
          <w:sz w:val="32"/>
          <w:szCs w:val="32"/>
          <w:lang w:eastAsia="zh-CN"/>
        </w:rPr>
        <w:t>镇</w:t>
      </w:r>
      <w:r>
        <w:rPr>
          <w:rFonts w:hint="eastAsia" w:ascii="仿宋_GB2312" w:hAnsi="仿宋_GB2312" w:eastAsia="仿宋_GB2312" w:cs="仿宋_GB2312"/>
          <w:sz w:val="32"/>
          <w:szCs w:val="32"/>
        </w:rPr>
        <w:t>参加新农保实际人口占全</w:t>
      </w:r>
      <w:r>
        <w:rPr>
          <w:rFonts w:hint="eastAsia" w:ascii="仿宋_GB2312" w:hAnsi="仿宋_GB2312" w:eastAsia="仿宋_GB2312" w:cs="仿宋_GB2312"/>
          <w:sz w:val="32"/>
          <w:szCs w:val="32"/>
          <w:lang w:eastAsia="zh-CN"/>
        </w:rPr>
        <w:t>镇</w:t>
      </w:r>
      <w:r>
        <w:rPr>
          <w:rFonts w:hint="eastAsia" w:ascii="仿宋_GB2312" w:hAnsi="仿宋_GB2312" w:eastAsia="仿宋_GB2312" w:cs="仿宋_GB2312"/>
          <w:sz w:val="32"/>
          <w:szCs w:val="32"/>
        </w:rPr>
        <w:t>农村总人口的比率≥90%。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w:t>
      </w:r>
      <w:r>
        <w:rPr>
          <w:rFonts w:hint="eastAsia" w:ascii="仿宋_GB2312" w:hAnsi="仿宋_GB2312" w:eastAsia="仿宋_GB2312" w:cs="仿宋_GB2312"/>
          <w:sz w:val="32"/>
          <w:szCs w:val="32"/>
        </w:rPr>
        <w:t>做好辖区内城乡居民基本医疗保险的参保组织、基金征缴和政策宣传工作。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绩效目标：新农合参合率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绩效指标：全</w:t>
      </w:r>
      <w:r>
        <w:rPr>
          <w:rFonts w:hint="eastAsia" w:ascii="仿宋_GB2312" w:hAnsi="仿宋_GB2312" w:eastAsia="仿宋_GB2312" w:cs="仿宋_GB2312"/>
          <w:sz w:val="32"/>
          <w:szCs w:val="32"/>
          <w:lang w:eastAsia="zh-CN"/>
        </w:rPr>
        <w:t>镇</w:t>
      </w:r>
      <w:r>
        <w:rPr>
          <w:rFonts w:hint="eastAsia" w:ascii="仿宋_GB2312" w:hAnsi="仿宋_GB2312" w:eastAsia="仿宋_GB2312" w:cs="仿宋_GB2312"/>
          <w:sz w:val="32"/>
          <w:szCs w:val="32"/>
        </w:rPr>
        <w:t>参加新农合实际人口占全</w:t>
      </w:r>
      <w:r>
        <w:rPr>
          <w:rFonts w:hint="eastAsia" w:ascii="仿宋_GB2312" w:hAnsi="仿宋_GB2312" w:eastAsia="仿宋_GB2312" w:cs="仿宋_GB2312"/>
          <w:sz w:val="32"/>
          <w:szCs w:val="32"/>
          <w:lang w:eastAsia="zh-CN"/>
        </w:rPr>
        <w:t>镇</w:t>
      </w:r>
      <w:r>
        <w:rPr>
          <w:rFonts w:hint="eastAsia" w:ascii="仿宋_GB2312" w:hAnsi="仿宋_GB2312" w:eastAsia="仿宋_GB2312" w:cs="仿宋_GB2312"/>
          <w:sz w:val="32"/>
          <w:szCs w:val="32"/>
        </w:rPr>
        <w:t>农村总人口的比率≥90%。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加大信用信息归集应用力度,落实守信联合激励和失信联合惩戒制度,推进信用分级分类监管。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绩效目标：信用监管力度</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绩效指标：对失信人员的处置力度≥85%。</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根据法律法规和省政府授权,承担行政审批服务工作。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绩效目标：群众满意度</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绩效指标：群众满意度≥85%。</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(5)</w:t>
      </w:r>
      <w:r>
        <w:rPr>
          <w:rFonts w:hint="eastAsia" w:ascii="仿宋_GB2312" w:hAnsi="仿宋_GB2312" w:eastAsia="仿宋_GB2312" w:cs="仿宋_GB2312"/>
          <w:sz w:val="32"/>
          <w:szCs w:val="32"/>
        </w:rPr>
        <w:t>做好本辖区综合文化站、新时代文明实践中心(所、站)建设和日常管理,实施免费开放。</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绩效目标：综合文化站建设</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绩效指标：综合文化站建设个数3-5个</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8.</w:t>
      </w:r>
      <w:r>
        <w:rPr>
          <w:rFonts w:hint="eastAsia" w:ascii="仿宋_GB2312" w:hAnsi="仿宋_GB2312" w:eastAsia="仿宋_GB2312" w:cs="仿宋_GB2312"/>
          <w:sz w:val="32"/>
          <w:szCs w:val="32"/>
        </w:rPr>
        <w:t xml:space="preserve">做好军人事务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xml:space="preserve">做好本行政区域内村务公开工作的指导、监督。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绩效目标：出现军人越级访和非访次数</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绩效指标：出现军人越级访和非访次数少于1次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9.</w:t>
      </w:r>
      <w:r>
        <w:rPr>
          <w:rFonts w:hint="eastAsia" w:ascii="仿宋_GB2312" w:hAnsi="仿宋_GB2312" w:eastAsia="仿宋_GB2312" w:cs="仿宋_GB2312"/>
          <w:sz w:val="32"/>
          <w:szCs w:val="32"/>
        </w:rPr>
        <w:t xml:space="preserve">提供农业综合服务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加强本辖区生产经营单位安全生产状况的监督检查,协助上级有关单位依法履行安全生产监督管理职责。</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绩效目标：应公开村务实际公开率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绩效指标：应公开村务实际公开率≥90%。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农村经济合作组织收入增幅</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绩效目标：实际农村经济合作组织经济对比去年</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绩效指标：农村经济合作组织收入增幅90%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按职责分工做好农产品质量安全监管工作,加强农产品质量安全知识的宣传,及时上报有关单位和个人报告的农产品质量安全事故。</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绩效目标：农产品安全质量事故次数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绩效指标：农产品安全质量事故次数少于1次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依法组织群众协助做好本辖区的动物疫病预防与控制工作,组织饲养动物的单位和个人做好强制免疫工作。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绩效目标：动物防疫情况</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绩效指标：实际免疫情况占计划免疫情况的比例≥90%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（5）</w:t>
      </w:r>
      <w:r>
        <w:rPr>
          <w:rFonts w:hint="eastAsia" w:ascii="仿宋_GB2312" w:hAnsi="仿宋_GB2312" w:eastAsia="仿宋_GB2312" w:cs="仿宋_GB2312"/>
          <w:sz w:val="32"/>
          <w:szCs w:val="32"/>
        </w:rPr>
        <w:t>加强党对农村经济建设的领导,巩固和加强农业基础地位,保障重要农产品有效供给和促进农民持续增收。</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绩效目标：农民纯收入增幅</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绩效指标：实际农民纯收入对比上年度农民纯收入增长比例≥90%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6</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承担农村土地承包经营纠纷调解相关工作。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绩效目标：群众矛盾调解率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绩效指标：群众矛盾调解成功比例≥90%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7</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做好本辖区农村扶贫开发的具体实施工作。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绩效目标：农民纯收入增幅</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绩效指标：实际农民纯收入对比上年度农民纯收入增长比例≥90%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xml:space="preserve">引导和扶持农业机械服务组织的发展,做好先进适用的农业机械推广和服务工作。  </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绩效目标：动物防疫情况</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绩效指标：实际免疫情况占计划免疫情况的比例≥90%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9</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做好组织当地农业生产经营组织和农业生产者对农业有害生物实施综合治理。</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w:t>
      </w:r>
      <w:r>
        <w:rPr>
          <w:rFonts w:hint="eastAsia" w:ascii="仿宋_GB2312" w:hAnsi="仿宋_GB2312" w:eastAsia="仿宋_GB2312" w:cs="仿宋_GB2312"/>
          <w:sz w:val="32"/>
          <w:szCs w:val="32"/>
          <w:lang w:eastAsia="zh-CN"/>
        </w:rPr>
        <w:t>镇</w:t>
      </w:r>
      <w:r>
        <w:rPr>
          <w:rFonts w:hint="eastAsia" w:ascii="仿宋_GB2312" w:hAnsi="仿宋_GB2312" w:eastAsia="仿宋_GB2312" w:cs="仿宋_GB2312"/>
          <w:sz w:val="32"/>
          <w:szCs w:val="32"/>
        </w:rPr>
        <w:t>域经济增幅</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绩效指标：实际完成</w:t>
      </w:r>
      <w:r>
        <w:rPr>
          <w:rFonts w:hint="eastAsia" w:ascii="仿宋_GB2312" w:hAnsi="仿宋_GB2312" w:eastAsia="仿宋_GB2312" w:cs="仿宋_GB2312"/>
          <w:sz w:val="32"/>
          <w:szCs w:val="32"/>
          <w:lang w:eastAsia="zh-CN"/>
        </w:rPr>
        <w:t>镇</w:t>
      </w:r>
      <w:r>
        <w:rPr>
          <w:rFonts w:hint="eastAsia" w:ascii="仿宋_GB2312" w:hAnsi="仿宋_GB2312" w:eastAsia="仿宋_GB2312" w:cs="仿宋_GB2312"/>
          <w:sz w:val="32"/>
          <w:szCs w:val="32"/>
        </w:rPr>
        <w:t>域经济对比上年度经济增长比例≥90%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按权限落实好农村重点改革任务。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绩效目标：农村改革村数</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绩效指标：农村改革村数占比≥90%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做好辖区内农村土地承包管理工作。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绩效目标：土地矛盾调解率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绩效指标：土地矛盾调解率≥90%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按照职责分工做好辖区农民负担监管工作,组织开展农民负担专项检查。</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绩效目标：困难群众帮扶次数</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绩效指标：实际困难群众帮扶次数3-5次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按照职责分工加强畜禽遗传资源保护,协助有关单位做好辖区畜禽养殖污染防治工作。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绩效目标：动物防疫情况</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绩效指标：实际免疫情况占计划免疫情况的比例≥90%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加强辖区内的水土保持工作,开展水土流失综合治理,预防和减轻水土流失。</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绩效目标：破坏水土保持案件次数</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绩效指标：破坏水土保持案件次数少于1次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协助上级人民政府有关单位做好本行政区域内农村供水用水管理等相关工作。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绩效目标：农村供水满意度</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绩效指标：农村供水满意度占比≥90%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16</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做好本行政区域内村民委员会成员的任期和离任经济责任审计工作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绩效目标：固定资产投资计划完成情况</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绩效指标：实际固定资产投资完成值对比上年度固定资产完成值比例≥90%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17</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做好辖区内的统计工作。履行统计职责,广泛引导、动员和组织社会力量积极参与并认真配合做好国家规定的周期性普查工作。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绩效目标：统计法宣传次数</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绩效指标：全年统计法宣传次数3-5次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18</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按照职责分工做好辖区市容、村容和环境卫生、农村生活污水管理责任。</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绩效目标：美丽庭院数量</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绩效指标：美丽庭院数量增幅90%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10.</w:t>
      </w:r>
      <w:r>
        <w:rPr>
          <w:rFonts w:hint="eastAsia" w:ascii="仿宋_GB2312" w:hAnsi="仿宋_GB2312" w:eastAsia="仿宋_GB2312" w:cs="仿宋_GB2312"/>
          <w:sz w:val="32"/>
          <w:szCs w:val="32"/>
        </w:rPr>
        <w:t>加强社会治理</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做好信访工作，畅通信访渠道，处理来信、接待来访。</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绩效目标：做好信访工作,畅通信访渠道,处理来信、接待来访。</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绩效指标：出现越级访和非访次数小于1件。</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w:t>
      </w:r>
      <w:r>
        <w:rPr>
          <w:rFonts w:hint="eastAsia" w:ascii="仿宋_GB2312" w:hAnsi="仿宋_GB2312" w:eastAsia="仿宋_GB2312" w:cs="仿宋_GB2312"/>
          <w:sz w:val="32"/>
          <w:szCs w:val="32"/>
        </w:rPr>
        <w:t>制定本辖区社会治安综合治理规划，检查、推动社会治安综合治理措施的落实，协调和督促有关单位开展法制宣传教育工作、调解各类纠纷。</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绩效目标：制定本辖区社会治安综合治理规划,检查、推动社会治安综合治理措施的落实,协调和督促有关单位开展法制宣传教育工作、调解各类纠纷。</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绩效指标：群众矛盾调解率≥90%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(3)</w:t>
      </w:r>
      <w:r>
        <w:rPr>
          <w:rFonts w:hint="eastAsia" w:ascii="仿宋_GB2312" w:hAnsi="仿宋_GB2312" w:eastAsia="仿宋_GB2312" w:cs="仿宋_GB2312"/>
          <w:sz w:val="32"/>
          <w:szCs w:val="32"/>
        </w:rPr>
        <w:t>群防群治组织建设。</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绩效目标：组织群众开展各种形式的治安防范活动和军民、警民联防活动；指导、帮助村（居）民委员会做好社会治安综合治理工作。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绩效指标：普法宣传次数5次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社会治安综合治理。</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绩效目标：组织协调辖区社会治安防控体系建设及普法工作，开展基层平安创建活动及各种形式的治安防范活动。加强群防群治组织建设，动员、组织人民群众维护社会治安和社会秩序，做好防范邪教工作。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绩效指标：治安防范活动开展次数5次</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承担民间纠纷调解相关工作。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绩效目标：群众矛盾调解率。</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绩效指标：群众矛盾调解成功占来访群众和比例≥90%</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（6）</w:t>
      </w:r>
      <w:r>
        <w:rPr>
          <w:rFonts w:hint="eastAsia" w:ascii="仿宋_GB2312" w:hAnsi="仿宋_GB2312" w:eastAsia="仿宋_GB2312" w:cs="仿宋_GB2312"/>
          <w:sz w:val="32"/>
          <w:szCs w:val="32"/>
        </w:rPr>
        <w:t>承担企业劳动争议调解相关工作。</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绩效目标：矛盾调解。</w:t>
      </w:r>
    </w:p>
    <w:p>
      <w:pPr>
        <w:pStyle w:val="16"/>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绩效指标：矛盾调解成功比率≥90%</w:t>
      </w:r>
    </w:p>
    <w:p>
      <w:pPr>
        <w:keepNext w:val="0"/>
        <w:keepLines w:val="0"/>
        <w:pageBreakBefore w:val="0"/>
        <w:kinsoku/>
        <w:wordWrap/>
        <w:overflowPunct/>
        <w:topLinePunct w:val="0"/>
        <w:autoSpaceDE/>
        <w:autoSpaceDN/>
        <w:bidi w:val="0"/>
        <w:adjustRightInd w:val="0"/>
        <w:snapToGrid w:val="0"/>
        <w:spacing w:line="57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pPr>
        <w:keepNext w:val="0"/>
        <w:keepLines w:val="0"/>
        <w:pageBreakBefore w:val="0"/>
        <w:kinsoku/>
        <w:wordWrap/>
        <w:overflowPunct/>
        <w:topLinePunct w:val="0"/>
        <w:autoSpaceDE/>
        <w:autoSpaceDN/>
        <w:bidi w:val="0"/>
        <w:spacing w:line="570" w:lineRule="exact"/>
        <w:textAlignment w:val="auto"/>
        <w:rPr>
          <w:rFonts w:hint="eastAsia" w:ascii="楷体" w:hAnsi="楷体" w:eastAsia="楷体" w:cs="楷体_GB2312"/>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kinsoku/>
        <w:wordWrap/>
        <w:overflowPunct/>
        <w:topLinePunct w:val="0"/>
        <w:autoSpaceDE/>
        <w:autoSpaceDN/>
        <w:bidi w:val="0"/>
        <w:spacing w:line="570" w:lineRule="exact"/>
        <w:textAlignment w:val="auto"/>
        <w:rPr>
          <w:rFonts w:hint="eastAsia" w:ascii="仿宋_GB2312" w:hAnsi="仿宋_GB2312" w:eastAsia="仿宋_GB2312" w:cs="仿宋_GB2312"/>
          <w:kern w:val="0"/>
          <w:sz w:val="32"/>
          <w:szCs w:val="32"/>
          <w:lang w:val="en-US" w:eastAsia="uk-UA" w:bidi="ar-SA"/>
        </w:rPr>
      </w:pPr>
      <w:r>
        <w:rPr>
          <w:rFonts w:hint="eastAsia" w:ascii="仿宋" w:hAnsi="仿宋" w:eastAsia="仿宋"/>
          <w:sz w:val="32"/>
          <w:szCs w:val="32"/>
        </w:rPr>
        <w:t xml:space="preserve">    </w:t>
      </w:r>
      <w:r>
        <w:rPr>
          <w:rFonts w:hint="eastAsia" w:ascii="仿宋_GB2312" w:hAnsi="仿宋_GB2312" w:eastAsia="仿宋_GB2312" w:cs="仿宋_GB2312"/>
          <w:kern w:val="0"/>
          <w:sz w:val="32"/>
          <w:szCs w:val="32"/>
          <w:lang w:val="en-US" w:eastAsia="uk-UA" w:bidi="ar-SA"/>
        </w:rPr>
        <w:t>我</w:t>
      </w:r>
      <w:r>
        <w:rPr>
          <w:rFonts w:hint="eastAsia" w:ascii="仿宋_GB2312" w:hAnsi="仿宋_GB2312" w:eastAsia="仿宋_GB2312" w:cs="仿宋_GB2312"/>
          <w:kern w:val="0"/>
          <w:sz w:val="32"/>
          <w:szCs w:val="32"/>
          <w:lang w:val="en-US" w:eastAsia="zh-CN" w:bidi="ar-SA"/>
        </w:rPr>
        <w:t>镇</w:t>
      </w:r>
      <w:r>
        <w:rPr>
          <w:rFonts w:hint="eastAsia" w:ascii="仿宋_GB2312" w:hAnsi="仿宋_GB2312" w:eastAsia="仿宋_GB2312" w:cs="仿宋_GB2312"/>
          <w:kern w:val="0"/>
          <w:sz w:val="32"/>
          <w:szCs w:val="32"/>
          <w:lang w:val="en-US" w:eastAsia="uk-UA" w:bidi="ar-SA"/>
        </w:rPr>
        <w:t>充分认识财政支出项目绩效评价工作的重要和必要性，加强组织领导，落实项目自评工作具体工作人员，确保绩效资自评工作顺利进行，成立由专业技术人员、管理人员、财务人员组成的绩效评价工作小组，深入实地调查、收集整理相关基础数据，落实项目实施、运行及资金使用情况，并对所有数据材料进行汇总、分析，形成绩效自评报告。</w:t>
      </w:r>
    </w:p>
    <w:p>
      <w:pPr>
        <w:keepNext w:val="0"/>
        <w:keepLines w:val="0"/>
        <w:pageBreakBefore w:val="0"/>
        <w:kinsoku/>
        <w:wordWrap/>
        <w:overflowPunct/>
        <w:topLinePunct w:val="0"/>
        <w:autoSpaceDE/>
        <w:autoSpaceDN/>
        <w:bidi w:val="0"/>
        <w:spacing w:line="570" w:lineRule="exact"/>
        <w:ind w:firstLine="640" w:firstLineChars="200"/>
        <w:textAlignment w:val="auto"/>
      </w:pPr>
      <w:r>
        <w:rPr>
          <w:rFonts w:hint="eastAsia" w:ascii="楷体" w:hAnsi="楷体" w:eastAsia="楷体" w:cs="楷体_GB2312"/>
          <w:bCs/>
          <w:sz w:val="32"/>
          <w:szCs w:val="32"/>
        </w:rPr>
        <w:t>（二）自评的方法和过程</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uk-UA" w:bidi="ar-SA"/>
        </w:rPr>
        <w:t>认真学习县财政局下发有关项目资金绩效自评的工作要求与评价内容，重点了解项目资金绩效评价的共性指标要素，及时核查项目资金拔付到位情况，详细督查项目资金在项目实施过程中的使用情况</w:t>
      </w:r>
      <w:r>
        <w:rPr>
          <w:rFonts w:hint="eastAsia" w:ascii="仿宋_GB2312" w:hAnsi="仿宋_GB2312" w:eastAsia="仿宋_GB2312" w:cs="仿宋_GB2312"/>
          <w:kern w:val="0"/>
          <w:sz w:val="32"/>
          <w:szCs w:val="32"/>
          <w:lang w:val="en-US" w:eastAsia="zh-CN" w:bidi="ar-SA"/>
        </w:rPr>
        <w:t>。</w:t>
      </w:r>
    </w:p>
    <w:p>
      <w:pPr>
        <w:keepNext w:val="0"/>
        <w:keepLines w:val="0"/>
        <w:pageBreakBefore w:val="0"/>
        <w:kinsoku/>
        <w:wordWrap/>
        <w:overflowPunct/>
        <w:topLinePunct w:val="0"/>
        <w:autoSpaceDE/>
        <w:autoSpaceDN/>
        <w:bidi w:val="0"/>
        <w:spacing w:line="570" w:lineRule="exact"/>
        <w:textAlignment w:val="auto"/>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keepNext w:val="0"/>
        <w:keepLines w:val="0"/>
        <w:pageBreakBefore w:val="0"/>
        <w:numPr>
          <w:ilvl w:val="0"/>
          <w:numId w:val="2"/>
        </w:numPr>
        <w:kinsoku/>
        <w:wordWrap/>
        <w:overflowPunct/>
        <w:topLinePunct w:val="0"/>
        <w:autoSpaceDE/>
        <w:autoSpaceDN/>
        <w:bidi w:val="0"/>
        <w:spacing w:line="57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本单位履职及履职效益情况良好。人员工资正常发放，部门高效运转，各项工作高效完成。本单位对各项支出严格按照预算额度进行控制，单位整体支出使用达到了预期目的。我镇在上级党委、政府的坚强领导下，在镇人大的监督支持下，主动谋划、攻坚克难，较好完成了我镇经济社会发展的主要目标任务，实现了经济社会平稳较快发展。</w:t>
      </w:r>
    </w:p>
    <w:p>
      <w:pPr>
        <w:keepNext w:val="0"/>
        <w:keepLines w:val="0"/>
        <w:pageBreakBefore w:val="0"/>
        <w:kinsoku/>
        <w:wordWrap/>
        <w:overflowPunct/>
        <w:topLinePunct w:val="0"/>
        <w:autoSpaceDE/>
        <w:autoSpaceDN/>
        <w:bidi w:val="0"/>
        <w:spacing w:line="570" w:lineRule="exact"/>
        <w:ind w:firstLine="645"/>
        <w:textAlignment w:val="auto"/>
        <w:rPr>
          <w:rFonts w:hint="eastAsia" w:ascii="楷体" w:hAnsi="楷体" w:eastAsia="楷体" w:cs="楷体_GB2312"/>
          <w:bCs/>
          <w:sz w:val="32"/>
          <w:szCs w:val="32"/>
        </w:rPr>
      </w:pPr>
      <w:r>
        <w:rPr>
          <w:rFonts w:hint="eastAsia" w:ascii="楷体" w:hAnsi="楷体" w:eastAsia="楷体" w:cs="楷体_GB2312"/>
          <w:bCs/>
          <w:sz w:val="32"/>
          <w:szCs w:val="32"/>
        </w:rPr>
        <w:t>（二）分项绩效目标实现情况及指标分析</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预算资金完成率100%，得10分。</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2.项目按期结项率100%，得10分。</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3.工期完工时间，提前完成，得10分。</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预算执行率指标</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预算执行率100%，得10分。</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效益指标</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项目工程完成情况100%，得40分。</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满意度指标</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服务调查对象满意度≥95%，得10分。</w:t>
      </w:r>
    </w:p>
    <w:p>
      <w:pPr>
        <w:keepNext w:val="0"/>
        <w:keepLines w:val="0"/>
        <w:pageBreakBefore w:val="0"/>
        <w:kinsoku/>
        <w:wordWrap/>
        <w:overflowPunct/>
        <w:topLinePunct w:val="0"/>
        <w:autoSpaceDE/>
        <w:autoSpaceDN/>
        <w:bidi w:val="0"/>
        <w:spacing w:line="570" w:lineRule="exact"/>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2024年项目整体预期目标已经全部完成，根据项目执行情况和项目绩效情况，给出总得分，指标体系设定满分100分，项目综合绩效评价得分100分，为优秀。</w:t>
      </w:r>
    </w:p>
    <w:p>
      <w:pPr>
        <w:keepNext w:val="0"/>
        <w:keepLines w:val="0"/>
        <w:pageBreakBefore w:val="0"/>
        <w:kinsoku/>
        <w:wordWrap/>
        <w:overflowPunct/>
        <w:topLinePunct w:val="0"/>
        <w:autoSpaceDE/>
        <w:autoSpaceDN/>
        <w:bidi w:val="0"/>
        <w:spacing w:line="57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pPr>
        <w:pStyle w:val="6"/>
        <w:keepNext w:val="0"/>
        <w:keepLines w:val="0"/>
        <w:pageBreakBefore w:val="0"/>
        <w:widowControl/>
        <w:shd w:val="clear" w:color="auto" w:fill="FFFFFF"/>
        <w:kinsoku/>
        <w:wordWrap/>
        <w:overflowPunct/>
        <w:topLinePunct w:val="0"/>
        <w:autoSpaceDE/>
        <w:autoSpaceDN/>
        <w:bidi w:val="0"/>
        <w:spacing w:before="0" w:beforeAutospacing="0" w:after="0" w:afterAutospacing="0" w:line="570" w:lineRule="exact"/>
        <w:ind w:firstLine="643"/>
        <w:jc w:val="both"/>
        <w:textAlignment w:val="auto"/>
        <w:rPr>
          <w:rFonts w:hint="eastAsia" w:ascii="楷体_GB2312" w:hAnsi="楷体_GB2312" w:eastAsia="楷体_GB2312" w:cs="楷体_GB2312"/>
          <w:color w:val="000000"/>
          <w:sz w:val="32"/>
          <w:szCs w:val="32"/>
          <w:shd w:val="clear" w:color="auto" w:fill="FFFFFF"/>
        </w:rPr>
      </w:pPr>
      <w:r>
        <w:rPr>
          <w:rFonts w:hint="eastAsia" w:ascii="楷体_GB2312" w:hAnsi="楷体_GB2312" w:eastAsia="楷体_GB2312" w:cs="楷体_GB2312"/>
          <w:color w:val="000000"/>
          <w:sz w:val="32"/>
          <w:szCs w:val="32"/>
          <w:shd w:val="clear" w:color="auto" w:fill="FFFFFF"/>
        </w:rPr>
        <w:t>（一）存在</w:t>
      </w:r>
      <w:r>
        <w:rPr>
          <w:rFonts w:hint="eastAsia" w:ascii="楷体_GB2312" w:hAnsi="楷体_GB2312" w:eastAsia="楷体_GB2312" w:cs="楷体_GB2312"/>
          <w:color w:val="000000"/>
          <w:sz w:val="32"/>
          <w:szCs w:val="32"/>
          <w:shd w:val="clear" w:color="auto" w:fill="FFFFFF"/>
          <w:lang w:eastAsia="zh-CN"/>
        </w:rPr>
        <w:t>的主要</w:t>
      </w:r>
      <w:r>
        <w:rPr>
          <w:rFonts w:hint="eastAsia" w:ascii="楷体_GB2312" w:hAnsi="楷体_GB2312" w:eastAsia="楷体_GB2312" w:cs="楷体_GB2312"/>
          <w:color w:val="000000"/>
          <w:sz w:val="32"/>
          <w:szCs w:val="32"/>
          <w:shd w:val="clear" w:color="auto" w:fill="FFFFFF"/>
        </w:rPr>
        <w:t>问题</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1.预算编制下达之后，金额过于细化，使得付款效率降低。</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2.下达的预算资金存在混用的情况。</w:t>
      </w:r>
      <w:bookmarkStart w:id="0" w:name="_GoBack"/>
      <w:bookmarkEnd w:id="0"/>
    </w:p>
    <w:p>
      <w:pPr>
        <w:pStyle w:val="6"/>
        <w:keepNext w:val="0"/>
        <w:keepLines w:val="0"/>
        <w:pageBreakBefore w:val="0"/>
        <w:widowControl/>
        <w:shd w:val="clear" w:color="auto" w:fill="FFFFFF"/>
        <w:kinsoku/>
        <w:wordWrap/>
        <w:overflowPunct/>
        <w:topLinePunct w:val="0"/>
        <w:autoSpaceDE/>
        <w:autoSpaceDN/>
        <w:bidi w:val="0"/>
        <w:spacing w:before="0" w:beforeAutospacing="0" w:after="0" w:afterAutospacing="0" w:line="570" w:lineRule="exact"/>
        <w:ind w:firstLine="643"/>
        <w:jc w:val="both"/>
        <w:textAlignment w:val="auto"/>
        <w:rPr>
          <w:rFonts w:hint="eastAsia" w:ascii="楷体_GB2312" w:hAnsi="楷体_GB2312" w:eastAsia="楷体_GB2312" w:cs="楷体_GB2312"/>
          <w:color w:val="000000"/>
          <w:sz w:val="32"/>
          <w:szCs w:val="32"/>
          <w:shd w:val="clear" w:color="auto" w:fill="FFFFFF"/>
        </w:rPr>
      </w:pPr>
      <w:r>
        <w:rPr>
          <w:rFonts w:hint="eastAsia" w:ascii="楷体_GB2312" w:hAnsi="楷体_GB2312" w:eastAsia="楷体_GB2312" w:cs="楷体_GB2312"/>
          <w:color w:val="000000"/>
          <w:sz w:val="32"/>
          <w:szCs w:val="32"/>
          <w:shd w:val="clear" w:color="auto" w:fill="FFFFFF"/>
        </w:rPr>
        <w:t xml:space="preserve"> (二）下一步改进措施</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1.进一步提高预算编制的准确性和科学性，提高工作效率。</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2.强化财政收支的预算管理，减少财政收支的随意性。</w:t>
      </w:r>
    </w:p>
    <w:p>
      <w:pPr>
        <w:spacing w:line="560" w:lineRule="exact"/>
        <w:ind w:firstLine="640" w:firstLineChars="200"/>
        <w:rPr>
          <w:rFonts w:hint="eastAsia" w:ascii="黑体" w:hAnsi="黑体" w:eastAsia="黑体"/>
          <w:sz w:val="32"/>
          <w:szCs w:val="32"/>
          <w:lang w:eastAsia="zh-CN"/>
        </w:rPr>
      </w:pPr>
      <w:r>
        <w:rPr>
          <w:rFonts w:hint="eastAsia" w:ascii="黑体" w:hAnsi="黑体" w:eastAsia="黑体"/>
          <w:sz w:val="32"/>
          <w:szCs w:val="32"/>
          <w:lang w:eastAsia="zh-CN"/>
        </w:rPr>
        <w:t>六</w:t>
      </w:r>
      <w:r>
        <w:rPr>
          <w:rFonts w:hint="eastAsia" w:ascii="黑体" w:hAnsi="黑体" w:eastAsia="黑体"/>
          <w:sz w:val="32"/>
          <w:szCs w:val="32"/>
        </w:rPr>
        <w:t>、</w:t>
      </w:r>
      <w:r>
        <w:rPr>
          <w:rFonts w:hint="eastAsia" w:ascii="黑体" w:hAnsi="黑体" w:eastAsia="黑体"/>
          <w:sz w:val="32"/>
          <w:szCs w:val="32"/>
          <w:lang w:eastAsia="zh-CN"/>
        </w:rPr>
        <w:t>评价工作组人员名单及签字</w:t>
      </w:r>
    </w:p>
    <w:p>
      <w:pPr>
        <w:keepNext w:val="0"/>
        <w:keepLines w:val="0"/>
        <w:pageBreakBefore w:val="0"/>
        <w:widowControl w:val="0"/>
        <w:kinsoku/>
        <w:wordWrap/>
        <w:overflowPunct/>
        <w:topLinePunct w:val="0"/>
        <w:autoSpaceDE/>
        <w:autoSpaceDN/>
        <w:bidi w:val="0"/>
        <w:adjustRightInd/>
        <w:snapToGrid/>
        <w:spacing w:beforeAutospacing="0" w:line="240" w:lineRule="auto"/>
        <w:ind w:right="0" w:rightChars="0" w:firstLine="640" w:firstLineChars="200"/>
        <w:jc w:val="both"/>
        <w:textAlignment w:val="auto"/>
        <w:outlineLvl w:val="9"/>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王丽娜 院头镇人大主席</w:t>
      </w:r>
    </w:p>
    <w:p>
      <w:pPr>
        <w:keepNext w:val="0"/>
        <w:keepLines w:val="0"/>
        <w:pageBreakBefore w:val="0"/>
        <w:widowControl w:val="0"/>
        <w:kinsoku/>
        <w:wordWrap/>
        <w:overflowPunct/>
        <w:topLinePunct w:val="0"/>
        <w:autoSpaceDE/>
        <w:autoSpaceDN/>
        <w:bidi w:val="0"/>
        <w:adjustRightInd/>
        <w:snapToGrid/>
        <w:spacing w:beforeAutospacing="0" w:line="240" w:lineRule="auto"/>
        <w:ind w:right="0" w:rightChars="0" w:firstLine="640" w:firstLineChars="200"/>
        <w:jc w:val="both"/>
        <w:textAlignment w:val="auto"/>
        <w:outlineLvl w:val="9"/>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 xml:space="preserve">王晓峰 院头镇党政办主任 </w:t>
      </w:r>
    </w:p>
    <w:p>
      <w:pPr>
        <w:keepNext w:val="0"/>
        <w:keepLines w:val="0"/>
        <w:pageBreakBefore w:val="0"/>
        <w:widowControl w:val="0"/>
        <w:kinsoku/>
        <w:wordWrap/>
        <w:overflowPunct/>
        <w:topLinePunct w:val="0"/>
        <w:autoSpaceDE/>
        <w:autoSpaceDN/>
        <w:bidi w:val="0"/>
        <w:adjustRightInd/>
        <w:snapToGrid/>
        <w:spacing w:beforeAutospacing="0" w:line="240" w:lineRule="auto"/>
        <w:ind w:right="0" w:rightChars="0" w:firstLine="640" w:firstLineChars="200"/>
        <w:jc w:val="both"/>
        <w:textAlignment w:val="auto"/>
        <w:outlineLvl w:val="9"/>
        <w:rPr>
          <w:rFonts w:ascii="仿宋" w:hAnsi="仿宋" w:eastAsia="仿宋"/>
        </w:rPr>
      </w:pPr>
      <w:r>
        <w:rPr>
          <w:rFonts w:hint="eastAsia" w:ascii="仿宋_GB2312" w:hAnsi="仿宋_GB2312" w:eastAsia="仿宋_GB2312" w:cs="仿宋_GB2312"/>
          <w:kern w:val="2"/>
          <w:sz w:val="32"/>
          <w:szCs w:val="32"/>
          <w:lang w:val="en-US" w:eastAsia="zh-CN" w:bidi="ar-SA"/>
        </w:rPr>
        <w:t>高  欣 院头镇会计</w:t>
      </w:r>
    </w:p>
    <w:p>
      <w:pPr>
        <w:keepNext w:val="0"/>
        <w:keepLines w:val="0"/>
        <w:pageBreakBefore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kern w:val="0"/>
          <w:sz w:val="32"/>
          <w:szCs w:val="32"/>
          <w:lang w:val="en-US" w:eastAsia="zh-CN" w:bidi="ar-SA"/>
        </w:rPr>
      </w:pPr>
    </w:p>
    <w:sectPr>
      <w:footerReference r:id="rId3" w:type="default"/>
      <w:pgSz w:w="11906" w:h="16838"/>
      <w:pgMar w:top="2098" w:right="1474" w:bottom="1984"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- 3 -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- 3 -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C37C91"/>
    <w:multiLevelType w:val="multilevel"/>
    <w:tmpl w:val="21C37C91"/>
    <w:lvl w:ilvl="0" w:tentative="0">
      <w:start w:val="1"/>
      <w:numFmt w:val="japaneseCounting"/>
      <w:lvlText w:val="%1、"/>
      <w:lvlJc w:val="left"/>
      <w:pPr>
        <w:ind w:left="2138" w:hanging="720"/>
      </w:pPr>
      <w:rPr>
        <w:rFonts w:hint="default"/>
      </w:rPr>
    </w:lvl>
    <w:lvl w:ilvl="1" w:tentative="0">
      <w:start w:val="1"/>
      <w:numFmt w:val="lowerLetter"/>
      <w:lvlText w:val="%2)"/>
      <w:lvlJc w:val="left"/>
      <w:pPr>
        <w:ind w:left="1620" w:hanging="420"/>
      </w:pPr>
    </w:lvl>
    <w:lvl w:ilvl="2" w:tentative="0">
      <w:start w:val="1"/>
      <w:numFmt w:val="lowerRoman"/>
      <w:lvlText w:val="%3."/>
      <w:lvlJc w:val="right"/>
      <w:pPr>
        <w:ind w:left="2040" w:hanging="420"/>
      </w:pPr>
    </w:lvl>
    <w:lvl w:ilvl="3" w:tentative="0">
      <w:start w:val="1"/>
      <w:numFmt w:val="decimal"/>
      <w:lvlText w:val="%4."/>
      <w:lvlJc w:val="left"/>
      <w:pPr>
        <w:ind w:left="2460" w:hanging="420"/>
      </w:pPr>
    </w:lvl>
    <w:lvl w:ilvl="4" w:tentative="0">
      <w:start w:val="1"/>
      <w:numFmt w:val="lowerLetter"/>
      <w:lvlText w:val="%5)"/>
      <w:lvlJc w:val="left"/>
      <w:pPr>
        <w:ind w:left="2880" w:hanging="420"/>
      </w:pPr>
    </w:lvl>
    <w:lvl w:ilvl="5" w:tentative="0">
      <w:start w:val="1"/>
      <w:numFmt w:val="lowerRoman"/>
      <w:lvlText w:val="%6."/>
      <w:lvlJc w:val="right"/>
      <w:pPr>
        <w:ind w:left="3300" w:hanging="420"/>
      </w:pPr>
    </w:lvl>
    <w:lvl w:ilvl="6" w:tentative="0">
      <w:start w:val="1"/>
      <w:numFmt w:val="decimal"/>
      <w:lvlText w:val="%7."/>
      <w:lvlJc w:val="left"/>
      <w:pPr>
        <w:ind w:left="3720" w:hanging="420"/>
      </w:pPr>
    </w:lvl>
    <w:lvl w:ilvl="7" w:tentative="0">
      <w:start w:val="1"/>
      <w:numFmt w:val="lowerLetter"/>
      <w:lvlText w:val="%8)"/>
      <w:lvlJc w:val="left"/>
      <w:pPr>
        <w:ind w:left="4140" w:hanging="420"/>
      </w:pPr>
    </w:lvl>
    <w:lvl w:ilvl="8" w:tentative="0">
      <w:start w:val="1"/>
      <w:numFmt w:val="lowerRoman"/>
      <w:lvlText w:val="%9."/>
      <w:lvlJc w:val="right"/>
      <w:pPr>
        <w:ind w:left="4560" w:hanging="420"/>
      </w:p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VkMTM0NjQ5NzA2Y2FkZDAzMThjNWIzOGViMDg1NmUifQ=="/>
  </w:docVars>
  <w:rsids>
    <w:rsidRoot w:val="0EBD2122"/>
    <w:rsid w:val="000B0260"/>
    <w:rsid w:val="001F7C5F"/>
    <w:rsid w:val="007E6C1F"/>
    <w:rsid w:val="00871994"/>
    <w:rsid w:val="00873A08"/>
    <w:rsid w:val="00956A93"/>
    <w:rsid w:val="00977419"/>
    <w:rsid w:val="009E575C"/>
    <w:rsid w:val="00A164DC"/>
    <w:rsid w:val="00AF167E"/>
    <w:rsid w:val="00AF566A"/>
    <w:rsid w:val="00B478EA"/>
    <w:rsid w:val="00B6553A"/>
    <w:rsid w:val="00BC6576"/>
    <w:rsid w:val="00BE7256"/>
    <w:rsid w:val="00CE06BA"/>
    <w:rsid w:val="00E645D4"/>
    <w:rsid w:val="00EC6D4B"/>
    <w:rsid w:val="00F355F0"/>
    <w:rsid w:val="00F441CC"/>
    <w:rsid w:val="00F60C8E"/>
    <w:rsid w:val="01B104CA"/>
    <w:rsid w:val="02106AB0"/>
    <w:rsid w:val="02B43A28"/>
    <w:rsid w:val="036140BA"/>
    <w:rsid w:val="046F331E"/>
    <w:rsid w:val="0586071E"/>
    <w:rsid w:val="07956271"/>
    <w:rsid w:val="09721397"/>
    <w:rsid w:val="0BB63BED"/>
    <w:rsid w:val="0C5B20DE"/>
    <w:rsid w:val="0EB97A43"/>
    <w:rsid w:val="0EBD2122"/>
    <w:rsid w:val="0F214EAE"/>
    <w:rsid w:val="11B71E6A"/>
    <w:rsid w:val="176F6EB7"/>
    <w:rsid w:val="1AAF0063"/>
    <w:rsid w:val="1BE140DE"/>
    <w:rsid w:val="1D627E37"/>
    <w:rsid w:val="1F6C6FF8"/>
    <w:rsid w:val="248C197D"/>
    <w:rsid w:val="252959AF"/>
    <w:rsid w:val="25503736"/>
    <w:rsid w:val="277A6671"/>
    <w:rsid w:val="292D35B7"/>
    <w:rsid w:val="2958151F"/>
    <w:rsid w:val="33EB6CFF"/>
    <w:rsid w:val="35A12947"/>
    <w:rsid w:val="36D36953"/>
    <w:rsid w:val="37387040"/>
    <w:rsid w:val="3B625C0A"/>
    <w:rsid w:val="3CEE1963"/>
    <w:rsid w:val="43D47DBB"/>
    <w:rsid w:val="4C9C27FE"/>
    <w:rsid w:val="4FF9AD8B"/>
    <w:rsid w:val="512260B4"/>
    <w:rsid w:val="515626E3"/>
    <w:rsid w:val="52BD6ACB"/>
    <w:rsid w:val="55537534"/>
    <w:rsid w:val="561A74F1"/>
    <w:rsid w:val="597244E8"/>
    <w:rsid w:val="5D9C200E"/>
    <w:rsid w:val="5EB71C30"/>
    <w:rsid w:val="5FF73BFE"/>
    <w:rsid w:val="66AF0CE5"/>
    <w:rsid w:val="6AC537CF"/>
    <w:rsid w:val="6D681B77"/>
    <w:rsid w:val="6E5B14A6"/>
    <w:rsid w:val="70156E3D"/>
    <w:rsid w:val="711B255E"/>
    <w:rsid w:val="780F7C5E"/>
    <w:rsid w:val="7A3667E0"/>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0"/>
    <w:pPr>
      <w:ind w:firstLine="420" w:firstLineChars="200"/>
    </w:pPr>
  </w:style>
  <w:style w:type="paragraph" w:styleId="3">
    <w:name w:val="Body Text Indent"/>
    <w:basedOn w:val="1"/>
    <w:autoRedefine/>
    <w:unhideWhenUsed/>
    <w:qFormat/>
    <w:uiPriority w:val="0"/>
    <w:pPr>
      <w:spacing w:after="120" w:afterLines="0" w:afterAutospacing="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autoRedefine/>
    <w:qFormat/>
    <w:uiPriority w:val="0"/>
    <w:pPr>
      <w:spacing w:before="100" w:beforeAutospacing="1" w:after="100" w:afterAutospacing="1"/>
      <w:jc w:val="left"/>
    </w:pPr>
    <w:rPr>
      <w:rFonts w:cs="Times New Roman"/>
      <w:kern w:val="0"/>
      <w:sz w:val="24"/>
    </w:rPr>
  </w:style>
  <w:style w:type="paragraph" w:customStyle="1" w:styleId="9">
    <w:name w:val="单元格样式22"/>
    <w:basedOn w:val="1"/>
    <w:autoRedefine/>
    <w:qFormat/>
    <w:uiPriority w:val="0"/>
    <w:pPr>
      <w:widowControl/>
      <w:jc w:val="right"/>
    </w:pPr>
    <w:rPr>
      <w:rFonts w:ascii="方正小标宋_GBK" w:hAnsi="方正小标宋_GBK" w:eastAsia="方正小标宋_GBK" w:cs="方正小标宋_GBK"/>
      <w:kern w:val="0"/>
      <w:sz w:val="24"/>
      <w:szCs w:val="24"/>
      <w:lang w:eastAsia="uk-UA"/>
    </w:rPr>
  </w:style>
  <w:style w:type="paragraph" w:customStyle="1" w:styleId="10">
    <w:name w:val="单元格样式20"/>
    <w:basedOn w:val="1"/>
    <w:qFormat/>
    <w:uiPriority w:val="0"/>
    <w:pPr>
      <w:widowControl/>
      <w:jc w:val="left"/>
    </w:pPr>
    <w:rPr>
      <w:rFonts w:ascii="方正小标宋_GBK" w:hAnsi="方正小标宋_GBK" w:eastAsia="方正小标宋_GBK" w:cs="方正小标宋_GBK"/>
      <w:kern w:val="0"/>
      <w:sz w:val="24"/>
      <w:szCs w:val="24"/>
      <w:lang w:eastAsia="uk-UA"/>
    </w:rPr>
  </w:style>
  <w:style w:type="paragraph" w:customStyle="1" w:styleId="11">
    <w:name w:val="单元格样式1"/>
    <w:basedOn w:val="1"/>
    <w:qFormat/>
    <w:uiPriority w:val="0"/>
    <w:pPr>
      <w:widowControl/>
      <w:jc w:val="center"/>
    </w:pPr>
    <w:rPr>
      <w:rFonts w:ascii="方正书宋_GBK" w:hAnsi="方正书宋_GBK" w:eastAsia="方正书宋_GBK" w:cs="方正书宋_GBK"/>
      <w:b/>
      <w:kern w:val="0"/>
      <w:szCs w:val="24"/>
      <w:lang w:eastAsia="uk-UA"/>
    </w:rPr>
  </w:style>
  <w:style w:type="paragraph" w:customStyle="1" w:styleId="12">
    <w:name w:val="单元格样式4"/>
    <w:basedOn w:val="1"/>
    <w:autoRedefine/>
    <w:qFormat/>
    <w:uiPriority w:val="0"/>
    <w:pPr>
      <w:widowControl/>
      <w:jc w:val="right"/>
    </w:pPr>
    <w:rPr>
      <w:rFonts w:ascii="方正书宋_GBK" w:hAnsi="方正书宋_GBK" w:eastAsia="方正书宋_GBK" w:cs="方正书宋_GBK"/>
      <w:kern w:val="0"/>
      <w:szCs w:val="24"/>
      <w:lang w:eastAsia="uk-UA"/>
    </w:rPr>
  </w:style>
  <w:style w:type="paragraph" w:customStyle="1" w:styleId="13">
    <w:name w:val="单元格样式2"/>
    <w:basedOn w:val="1"/>
    <w:qFormat/>
    <w:uiPriority w:val="0"/>
    <w:pPr>
      <w:widowControl/>
      <w:jc w:val="left"/>
    </w:pPr>
    <w:rPr>
      <w:rFonts w:ascii="方正书宋_GBK" w:hAnsi="方正书宋_GBK" w:eastAsia="方正书宋_GBK" w:cs="方正书宋_GBK"/>
      <w:kern w:val="0"/>
      <w:szCs w:val="24"/>
      <w:lang w:eastAsia="uk-UA"/>
    </w:rPr>
  </w:style>
  <w:style w:type="paragraph" w:customStyle="1" w:styleId="14">
    <w:name w:val="单元格样式3"/>
    <w:basedOn w:val="1"/>
    <w:autoRedefine/>
    <w:qFormat/>
    <w:uiPriority w:val="0"/>
    <w:pPr>
      <w:widowControl/>
      <w:jc w:val="center"/>
    </w:pPr>
    <w:rPr>
      <w:rFonts w:ascii="方正书宋_GBK" w:hAnsi="方正书宋_GBK" w:eastAsia="方正书宋_GBK" w:cs="方正书宋_GBK"/>
      <w:kern w:val="0"/>
      <w:szCs w:val="24"/>
      <w:lang w:eastAsia="uk-UA"/>
    </w:rPr>
  </w:style>
  <w:style w:type="paragraph" w:customStyle="1" w:styleId="15">
    <w:name w:val="插入文本样式-插入部门职责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16">
    <w:name w:val="插入文本样式-插入总体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17">
    <w:name w:val="插入文本样式-插入职责分类绩效目标文件"/>
    <w:basedOn w:val="1"/>
    <w:autoRedefine/>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644AF62-A454-4BC5-B8B1-56FCAE437B07}">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24</Pages>
  <Words>9200</Words>
  <Characters>9570</Characters>
  <Lines>70</Lines>
  <Paragraphs>19</Paragraphs>
  <TotalTime>1</TotalTime>
  <ScaleCrop>false</ScaleCrop>
  <LinksUpToDate>false</LinksUpToDate>
  <CharactersWithSpaces>9681</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多多</cp:lastModifiedBy>
  <cp:lastPrinted>2024-06-19T08:15:00Z</cp:lastPrinted>
  <dcterms:modified xsi:type="dcterms:W3CDTF">2025-05-14T06:49:58Z</dcterms:modified>
  <dc:title>附件3：</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D06BC4786D68444AB92301B33BA31C46_13</vt:lpwstr>
  </property>
</Properties>
</file>