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20573D">
      <w:pPr>
        <w:widowControl w:val="0"/>
        <w:wordWrap/>
        <w:adjustRightInd/>
        <w:snapToGrid w:val="0"/>
        <w:spacing w:line="560" w:lineRule="exact"/>
        <w:ind w:left="0" w:leftChars="0" w:right="0"/>
        <w:textAlignment w:val="auto"/>
        <w:outlineLvl w:val="9"/>
        <w:rPr>
          <w:rFonts w:hint="eastAsia" w:ascii="宋体" w:hAnsi="宋体" w:eastAsia="黑体" w:cs="宋体"/>
          <w:b/>
          <w:bCs/>
          <w:sz w:val="44"/>
          <w:szCs w:val="44"/>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32F20C5">
      <w:pPr>
        <w:keepNext w:val="0"/>
        <w:keepLines w:val="0"/>
        <w:pageBreakBefore w:val="0"/>
        <w:kinsoku/>
        <w:wordWrap/>
        <w:overflowPunct/>
        <w:topLinePunct w:val="0"/>
        <w:autoSpaceDE/>
        <w:autoSpaceDN/>
        <w:bidi w:val="0"/>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eastAsia="zh-CN"/>
        </w:rPr>
        <w:t>河北赞皇</w:t>
      </w:r>
      <w:r>
        <w:rPr>
          <w:rFonts w:hint="eastAsia" w:ascii="宋体" w:hAnsi="宋体" w:cs="宋体"/>
          <w:b/>
          <w:bCs/>
          <w:sz w:val="44"/>
          <w:szCs w:val="44"/>
          <w:lang w:val="en-US" w:eastAsia="zh-CN"/>
        </w:rPr>
        <w:t>应急管理局</w:t>
      </w:r>
    </w:p>
    <w:p w14:paraId="35D850F0">
      <w:pPr>
        <w:keepNext w:val="0"/>
        <w:keepLines w:val="0"/>
        <w:pageBreakBefore w:val="0"/>
        <w:kinsoku/>
        <w:wordWrap/>
        <w:overflowPunct/>
        <w:topLinePunct w:val="0"/>
        <w:autoSpaceDE/>
        <w:autoSpaceDN/>
        <w:bidi w:val="0"/>
        <w:spacing w:line="560" w:lineRule="exact"/>
        <w:jc w:val="center"/>
        <w:rPr>
          <w:rFonts w:hint="eastAsia" w:ascii="宋体" w:hAnsi="宋体" w:cs="宋体"/>
          <w:b/>
          <w:bCs/>
          <w:sz w:val="44"/>
          <w:szCs w:val="44"/>
        </w:rPr>
      </w:pPr>
      <w:r>
        <w:rPr>
          <w:rFonts w:hint="eastAsia" w:ascii="宋体" w:hAnsi="宋体" w:cs="宋体"/>
          <w:b/>
          <w:bCs/>
          <w:sz w:val="44"/>
          <w:szCs w:val="44"/>
          <w:lang w:eastAsia="zh-CN"/>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31AEDE81">
      <w:pPr>
        <w:keepNext w:val="0"/>
        <w:keepLines w:val="0"/>
        <w:pageBreakBefore w:val="0"/>
        <w:kinsoku/>
        <w:wordWrap/>
        <w:overflowPunct/>
        <w:topLinePunct w:val="0"/>
        <w:autoSpaceDE/>
        <w:autoSpaceDN/>
        <w:bidi w:val="0"/>
        <w:spacing w:line="560" w:lineRule="exact"/>
        <w:jc w:val="center"/>
        <w:rPr>
          <w:rFonts w:hint="eastAsia" w:ascii="宋体" w:hAnsi="宋体" w:cs="宋体"/>
          <w:b/>
          <w:bCs/>
          <w:sz w:val="44"/>
          <w:szCs w:val="44"/>
        </w:rPr>
      </w:pPr>
    </w:p>
    <w:p w14:paraId="44E74E7F">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县</w:t>
      </w:r>
      <w:r>
        <w:rPr>
          <w:rFonts w:hint="eastAsia" w:ascii="仿宋" w:hAnsi="仿宋" w:eastAsia="仿宋"/>
          <w:sz w:val="32"/>
          <w:szCs w:val="32"/>
        </w:rPr>
        <w:t>委</w:t>
      </w:r>
      <w:r>
        <w:rPr>
          <w:rFonts w:hint="eastAsia" w:ascii="仿宋" w:hAnsi="仿宋" w:eastAsia="仿宋"/>
          <w:sz w:val="32"/>
          <w:szCs w:val="32"/>
          <w:lang w:eastAsia="zh-CN"/>
        </w:rPr>
        <w:t>县</w:t>
      </w:r>
      <w:r>
        <w:rPr>
          <w:rFonts w:hint="eastAsia" w:ascii="仿宋" w:hAnsi="仿宋" w:eastAsia="仿宋"/>
          <w:sz w:val="32"/>
          <w:szCs w:val="32"/>
        </w:rPr>
        <w:t>政府《关于全面</w:t>
      </w:r>
      <w:r>
        <w:rPr>
          <w:rFonts w:hint="eastAsia" w:ascii="仿宋" w:hAnsi="仿宋" w:eastAsia="仿宋"/>
          <w:sz w:val="32"/>
          <w:szCs w:val="32"/>
          <w:lang w:eastAsia="zh-CN"/>
        </w:rPr>
        <w:t>实施</w:t>
      </w:r>
      <w:r>
        <w:rPr>
          <w:rFonts w:hint="eastAsia" w:ascii="仿宋" w:hAnsi="仿宋" w:eastAsia="仿宋"/>
          <w:sz w:val="32"/>
          <w:szCs w:val="32"/>
        </w:rPr>
        <w:t>预算绩效管理</w:t>
      </w:r>
      <w:r>
        <w:rPr>
          <w:rFonts w:hint="eastAsia" w:ascii="仿宋" w:hAnsi="仿宋" w:eastAsia="仿宋"/>
          <w:sz w:val="32"/>
          <w:szCs w:val="32"/>
          <w:lang w:eastAsia="zh-CN"/>
        </w:rPr>
        <w:t>工作方案</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eastAsia="zh-CN"/>
        </w:rPr>
        <w:t>７</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河北赞皇</w:t>
      </w:r>
      <w:r>
        <w:rPr>
          <w:rFonts w:hint="eastAsia" w:ascii="仿宋" w:hAnsi="仿宋" w:eastAsia="仿宋"/>
          <w:sz w:val="32"/>
          <w:szCs w:val="32"/>
          <w:lang w:val="en-US" w:eastAsia="zh-CN"/>
        </w:rPr>
        <w:t>应急管理局</w:t>
      </w:r>
      <w:r>
        <w:rPr>
          <w:rFonts w:hint="eastAsia" w:ascii="仿宋" w:hAnsi="仿宋" w:eastAsia="仿宋"/>
          <w:sz w:val="32"/>
          <w:szCs w:val="32"/>
          <w:lang w:eastAsia="zh-CN"/>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5DD4900B">
      <w:pPr>
        <w:keepNext w:val="0"/>
        <w:keepLines w:val="0"/>
        <w:pageBreakBefore w:val="0"/>
        <w:kinsoku/>
        <w:wordWrap/>
        <w:overflowPunct/>
        <w:topLinePunct w:val="0"/>
        <w:autoSpaceDE/>
        <w:autoSpaceDN/>
        <w:bidi w:val="0"/>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440C33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CC62086">
      <w:pPr>
        <w:pStyle w:val="12"/>
        <w:rPr>
          <w:rFonts w:ascii="仿宋" w:hAnsi="仿宋" w:eastAsia="仿宋" w:cs="黑体"/>
          <w:kern w:val="2"/>
          <w:sz w:val="32"/>
          <w:szCs w:val="32"/>
          <w:lang w:eastAsia="zh-CN"/>
        </w:rPr>
      </w:pPr>
      <w:r>
        <w:rPr>
          <w:rFonts w:hint="eastAsia" w:ascii="仿宋" w:hAnsi="仿宋" w:eastAsia="仿宋"/>
          <w:sz w:val="32"/>
          <w:szCs w:val="32"/>
        </w:rPr>
        <w:t>赞皇县应急管理局内设4个科（股）室：防灾赈灾股，安全生产监督管理股，应急处置股，办公室；</w:t>
      </w:r>
      <w:r>
        <w:rPr>
          <w:rFonts w:hint="eastAsia" w:ascii="仿宋" w:hAnsi="仿宋" w:eastAsia="仿宋"/>
          <w:sz w:val="32"/>
          <w:szCs w:val="32"/>
          <w:lang w:val="en-US" w:eastAsia="zh-CN"/>
        </w:rPr>
        <w:t>2</w:t>
      </w:r>
      <w:r>
        <w:rPr>
          <w:rFonts w:hint="eastAsia" w:ascii="仿宋" w:hAnsi="仿宋" w:eastAsia="仿宋"/>
          <w:sz w:val="32"/>
          <w:szCs w:val="32"/>
        </w:rPr>
        <w:t>个下属事业单位：防震服务中心、森林草原消防大队。编制总数29个，其中行政编制10个，事业编制19个。</w:t>
      </w:r>
      <w:r>
        <w:rPr>
          <w:rFonts w:ascii="仿宋" w:hAnsi="仿宋" w:eastAsia="仿宋" w:cs="黑体"/>
          <w:kern w:val="2"/>
          <w:sz w:val="32"/>
          <w:szCs w:val="32"/>
          <w:lang w:eastAsia="zh-CN"/>
        </w:rPr>
        <w:t>其机关的主要职责是：</w:t>
      </w:r>
    </w:p>
    <w:p w14:paraId="6B56F467">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1、</w:t>
      </w:r>
      <w:r>
        <w:rPr>
          <w:rFonts w:hint="eastAsia" w:ascii="仿宋_GB2312" w:hAnsi="Calibri" w:eastAsia="仿宋_GB2312" w:cs="ArialUnicodeMS"/>
          <w:kern w:val="0"/>
          <w:sz w:val="32"/>
          <w:szCs w:val="32"/>
        </w:rPr>
        <w:t>负责应急管理工作，指导全县各级各部门应对安全生产类、自然灾害类等突发事件和综合防灾减灾救灾工作。负责安全生产综合监督管理和工矿商贸行业安全生产监督管理工作。</w:t>
      </w:r>
    </w:p>
    <w:p w14:paraId="08B0B744">
      <w:pPr>
        <w:spacing w:line="580" w:lineRule="exact"/>
        <w:ind w:firstLine="640" w:firstLineChars="200"/>
        <w:rPr>
          <w:rFonts w:hint="eastAsia" w:ascii="仿宋_GB2312" w:hAnsi="Calibri" w:eastAsia="仿宋_GB2312" w:cs="ArialUnicodeMS"/>
          <w:kern w:val="0"/>
          <w:sz w:val="32"/>
          <w:szCs w:val="32"/>
          <w:lang w:val="zh-CN"/>
        </w:rPr>
      </w:pPr>
      <w:r>
        <w:rPr>
          <w:rFonts w:hint="eastAsia" w:ascii="仿宋_GB2312" w:eastAsia="仿宋_GB2312" w:cs="ArialUnicodeMS"/>
          <w:kern w:val="0"/>
          <w:sz w:val="32"/>
          <w:szCs w:val="32"/>
          <w:lang w:val="en-US" w:eastAsia="zh-CN"/>
        </w:rPr>
        <w:t>2、</w:t>
      </w:r>
      <w:r>
        <w:rPr>
          <w:rFonts w:hint="eastAsia" w:ascii="仿宋_GB2312" w:hAnsi="Calibri" w:eastAsia="仿宋_GB2312" w:cs="ArialUnicodeMS"/>
          <w:kern w:val="0"/>
          <w:sz w:val="32"/>
          <w:szCs w:val="32"/>
        </w:rPr>
        <w:t>拟订应急管理、安全生产等政策规定，组织编制县应急体系建设、安全生产和综合防灾减灾规划，起草</w:t>
      </w:r>
      <w:r>
        <w:rPr>
          <w:rFonts w:hint="eastAsia" w:ascii="仿宋_GB2312" w:hAnsi="Calibri" w:eastAsia="仿宋_GB2312" w:cs="ArialUnicodeMS"/>
          <w:kern w:val="0"/>
          <w:sz w:val="32"/>
          <w:szCs w:val="32"/>
          <w:lang w:val="zh-CN"/>
        </w:rPr>
        <w:t>政府规范性文件草案</w:t>
      </w:r>
      <w:r>
        <w:rPr>
          <w:rFonts w:hint="eastAsia" w:ascii="仿宋_GB2312" w:hAnsi="Calibri" w:eastAsia="仿宋_GB2312" w:cs="ArialUnicodeMS"/>
          <w:kern w:val="0"/>
          <w:sz w:val="32"/>
          <w:szCs w:val="32"/>
        </w:rPr>
        <w:t>，组织制定相关具体规程和标准并监督实施。</w:t>
      </w:r>
    </w:p>
    <w:p w14:paraId="478D92A9">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3、</w:t>
      </w:r>
      <w:r>
        <w:rPr>
          <w:rFonts w:hint="eastAsia" w:ascii="仿宋_GB2312" w:hAnsi="Calibri" w:eastAsia="仿宋_GB2312" w:cs="ArialUnicodeMS"/>
          <w:kern w:val="0"/>
          <w:sz w:val="32"/>
          <w:szCs w:val="32"/>
        </w:rPr>
        <w:t>负责应急预案体系建设，落实完善事故灾难和自然灾害分级应对制度，组织编制县总体应急预案和安全生产类、自然灾害类专项预案，综合协调应急预案衔接工作，组织开展预案演练，推动应急避难设施建设。</w:t>
      </w:r>
    </w:p>
    <w:p w14:paraId="31F16D0E">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4、</w:t>
      </w:r>
      <w:r>
        <w:rPr>
          <w:rFonts w:hint="eastAsia" w:ascii="仿宋_GB2312" w:hAnsi="Calibri" w:eastAsia="仿宋_GB2312" w:cs="ArialUnicodeMS"/>
          <w:kern w:val="0"/>
          <w:sz w:val="32"/>
          <w:szCs w:val="32"/>
        </w:rPr>
        <w:t>与国家和省、市系统对接，建立完善全县应急管理信息系统，负责管辖范围内的信息传输渠道的规划和布局。建立监测预警和灾情报告制度，健全自然灾害信息资源获取和共享机制，依法统一发布灾情。</w:t>
      </w:r>
    </w:p>
    <w:p w14:paraId="2D3ABECE">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5、</w:t>
      </w:r>
      <w:r>
        <w:rPr>
          <w:rFonts w:hint="eastAsia" w:ascii="仿宋_GB2312" w:hAnsi="Calibri" w:eastAsia="仿宋_GB2312" w:cs="ArialUnicodeMS"/>
          <w:kern w:val="0"/>
          <w:sz w:val="32"/>
          <w:szCs w:val="32"/>
        </w:rPr>
        <w:t>组织协调安全生产类、自然灾害类等突发事件应急救援，综合研判突发事件发展态势并提出应对建议，协助县委、县政府指定的负责同志组织重大灾害应急处置工作。</w:t>
      </w:r>
    </w:p>
    <w:p w14:paraId="6B6CE5F9">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6、</w:t>
      </w:r>
      <w:r>
        <w:rPr>
          <w:rFonts w:hint="eastAsia" w:ascii="仿宋_GB2312" w:hAnsi="Calibri" w:eastAsia="仿宋_GB2312" w:cs="ArialUnicodeMS"/>
          <w:kern w:val="0"/>
          <w:sz w:val="32"/>
          <w:szCs w:val="32"/>
        </w:rPr>
        <w:t>统一协调指挥各类应急专业队伍，建立应急协调联动机制，推进指挥平台对接，衔接驻元氏解放军和武警部队参与应急救援工作。</w:t>
      </w:r>
    </w:p>
    <w:p w14:paraId="083D8828">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7、</w:t>
      </w:r>
      <w:r>
        <w:rPr>
          <w:rFonts w:hint="eastAsia" w:ascii="仿宋_GB2312" w:hAnsi="Calibri" w:eastAsia="仿宋_GB2312" w:cs="ArialUnicodeMS"/>
          <w:kern w:val="0"/>
          <w:sz w:val="32"/>
          <w:szCs w:val="32"/>
        </w:rPr>
        <w:t>统筹应急救援力量建设，负责消防、森林和草原火灾扑救、抗洪抢险、地震和地质灾害救援、生产安全事故救援等专业应急救援力量建设，综合协调县综合性应急救援队伍，指导各级及社会应急救援力量建设。</w:t>
      </w:r>
    </w:p>
    <w:p w14:paraId="254B3FA8">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8、</w:t>
      </w:r>
      <w:r>
        <w:rPr>
          <w:rFonts w:hint="eastAsia" w:ascii="仿宋_GB2312" w:hAnsi="Calibri" w:eastAsia="仿宋_GB2312" w:cs="ArialUnicodeMS"/>
          <w:kern w:val="0"/>
          <w:sz w:val="32"/>
          <w:szCs w:val="32"/>
        </w:rPr>
        <w:t>组织协调消防工作，指导各级消防监督、火灾预防、火灾扑救等工作。</w:t>
      </w:r>
    </w:p>
    <w:p w14:paraId="00BE3649">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9、</w:t>
      </w:r>
      <w:r>
        <w:rPr>
          <w:rFonts w:hint="eastAsia" w:ascii="仿宋_GB2312" w:hAnsi="Calibri" w:eastAsia="仿宋_GB2312" w:cs="ArialUnicodeMS"/>
          <w:kern w:val="0"/>
          <w:sz w:val="32"/>
          <w:szCs w:val="32"/>
        </w:rPr>
        <w:t>组织协调森林和草原火灾、水旱灾害、地震和地质灾害等防治工作，负责各类山火扑救工作，负责自然灾害综合监测预警工作，会同有关部门做好自然灾害综合风险评估工作。</w:t>
      </w:r>
    </w:p>
    <w:p w14:paraId="1AACF0A2">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10、</w:t>
      </w:r>
      <w:r>
        <w:rPr>
          <w:rFonts w:hint="eastAsia" w:ascii="仿宋_GB2312" w:hAnsi="Calibri" w:eastAsia="仿宋_GB2312" w:cs="ArialUnicodeMS"/>
          <w:kern w:val="0"/>
          <w:sz w:val="32"/>
          <w:szCs w:val="32"/>
        </w:rPr>
        <w:t>组织协调灾害救助工作，负责灾情核查、损失评估、救灾捐赠工作，管理、分配救灾款物并监督使用。</w:t>
      </w:r>
    </w:p>
    <w:p w14:paraId="5ED78206">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11、</w:t>
      </w:r>
      <w:r>
        <w:rPr>
          <w:rFonts w:hint="eastAsia" w:ascii="仿宋_GB2312" w:hAnsi="Calibri" w:eastAsia="仿宋_GB2312" w:cs="ArialUnicodeMS"/>
          <w:kern w:val="0"/>
          <w:sz w:val="32"/>
          <w:szCs w:val="32"/>
        </w:rPr>
        <w:t>依法行使安全生产综合监督管理职权，指导协调、监督检查县有关部门和各乡镇政府、县政府派出机构的安全生产工作，组织开展安全生产巡查、考核工作。</w:t>
      </w:r>
    </w:p>
    <w:p w14:paraId="041BC47B">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12、</w:t>
      </w:r>
      <w:r>
        <w:rPr>
          <w:rFonts w:hint="eastAsia" w:ascii="仿宋_GB2312" w:hAnsi="Calibri" w:eastAsia="仿宋_GB2312" w:cs="ArialUnicodeMS"/>
          <w:kern w:val="0"/>
          <w:sz w:val="32"/>
          <w:szCs w:val="32"/>
        </w:rPr>
        <w:t>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驻元氏中央企业、省属、市属企业的安全生产工作。负责危险化学品安全监督管理综合工作和烟花爆竹安全生产监督管理工作。</w:t>
      </w:r>
    </w:p>
    <w:p w14:paraId="4D2B711E">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13、</w:t>
      </w:r>
      <w:r>
        <w:rPr>
          <w:rFonts w:hint="eastAsia" w:ascii="仿宋_GB2312" w:hAnsi="Calibri" w:eastAsia="仿宋_GB2312" w:cs="ArialUnicodeMS"/>
          <w:kern w:val="0"/>
          <w:sz w:val="32"/>
          <w:szCs w:val="32"/>
        </w:rPr>
        <w:t>依法开展生产安全事故调查处理，监督事故查处和责任追究落实情况。组织开展自然灾害类突发事件的调查评估工作。</w:t>
      </w:r>
    </w:p>
    <w:p w14:paraId="2CA25024">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14、</w:t>
      </w:r>
      <w:r>
        <w:rPr>
          <w:rFonts w:hint="eastAsia" w:ascii="仿宋_GB2312" w:hAnsi="Calibri" w:eastAsia="仿宋_GB2312" w:cs="ArialUnicodeMS"/>
          <w:kern w:val="0"/>
          <w:sz w:val="32"/>
          <w:szCs w:val="32"/>
        </w:rPr>
        <w:t>制定应急物资储备和应急救援装备规划并组织实施，会同县粮食和物资储备等主管部门建立健全应急物资信息平台和调拨制度，在救灾时统一调度。</w:t>
      </w:r>
    </w:p>
    <w:p w14:paraId="084570E3">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15、</w:t>
      </w:r>
      <w:r>
        <w:rPr>
          <w:rFonts w:hint="eastAsia" w:ascii="仿宋_GB2312" w:hAnsi="Calibri" w:eastAsia="仿宋_GB2312" w:cs="ArialUnicodeMS"/>
          <w:kern w:val="0"/>
          <w:sz w:val="32"/>
          <w:szCs w:val="32"/>
        </w:rPr>
        <w:t>负责应急管理、安全生产宣传教育和培训工作，负责应急管理、安全生产科技成果、推广应用和信息化建设工作。</w:t>
      </w:r>
    </w:p>
    <w:p w14:paraId="14203A34">
      <w:pPr>
        <w:spacing w:line="580" w:lineRule="exact"/>
        <w:ind w:firstLine="640" w:firstLineChars="200"/>
        <w:rPr>
          <w:rFonts w:hint="eastAsia" w:ascii="仿宋_GB2312" w:hAnsi="Calibri" w:eastAsia="仿宋_GB2312" w:cs="ArialUnicodeMS"/>
          <w:kern w:val="0"/>
          <w:sz w:val="32"/>
          <w:szCs w:val="32"/>
          <w:lang w:val="zh-CN"/>
        </w:rPr>
      </w:pPr>
      <w:r>
        <w:rPr>
          <w:rFonts w:hint="eastAsia" w:ascii="仿宋_GB2312" w:eastAsia="仿宋_GB2312" w:cs="ArialUnicodeMS"/>
          <w:kern w:val="0"/>
          <w:sz w:val="32"/>
          <w:szCs w:val="32"/>
          <w:lang w:val="en-US" w:eastAsia="zh-CN"/>
        </w:rPr>
        <w:t>16、</w:t>
      </w:r>
      <w:r>
        <w:rPr>
          <w:rFonts w:hint="eastAsia" w:ascii="仿宋_GB2312" w:hAnsi="Calibri" w:eastAsia="仿宋_GB2312" w:cs="ArialUnicodeMS"/>
          <w:kern w:val="0"/>
          <w:sz w:val="32"/>
          <w:szCs w:val="32"/>
          <w:lang w:val="zh-CN"/>
        </w:rPr>
        <w:t>负责组织协调指导监督全县安全生产行政执法工作，组织开展对县属企业的执法检查，组织开展对辖区安全生产重点企业，</w:t>
      </w:r>
      <w:r>
        <w:rPr>
          <w:rFonts w:hint="eastAsia" w:ascii="仿宋_GB2312" w:hAnsi="Calibri" w:eastAsia="仿宋_GB2312" w:cs="ArialUnicodeMS"/>
          <w:kern w:val="0"/>
          <w:sz w:val="32"/>
          <w:szCs w:val="32"/>
        </w:rPr>
        <w:t>驻元中央企业、省属、市属企业</w:t>
      </w:r>
      <w:r>
        <w:rPr>
          <w:rFonts w:hint="eastAsia" w:ascii="仿宋_GB2312" w:hAnsi="Calibri" w:eastAsia="仿宋_GB2312" w:cs="ArialUnicodeMS"/>
          <w:kern w:val="0"/>
          <w:sz w:val="32"/>
          <w:szCs w:val="32"/>
          <w:lang w:val="zh-CN"/>
        </w:rPr>
        <w:t>的执法检查和抽查。</w:t>
      </w:r>
    </w:p>
    <w:p w14:paraId="169DBC12">
      <w:pPr>
        <w:spacing w:line="580" w:lineRule="exact"/>
        <w:ind w:firstLine="640" w:firstLineChars="200"/>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17、</w:t>
      </w:r>
      <w:r>
        <w:rPr>
          <w:rFonts w:hint="eastAsia" w:ascii="仿宋_GB2312" w:hAnsi="Calibri" w:eastAsia="仿宋_GB2312" w:cs="ArialUnicodeMS"/>
          <w:kern w:val="0"/>
          <w:sz w:val="32"/>
          <w:szCs w:val="32"/>
        </w:rPr>
        <w:t>组织开展应急管理方面的区域交流与合作。</w:t>
      </w:r>
    </w:p>
    <w:p w14:paraId="2427AED3">
      <w:pPr>
        <w:spacing w:line="580" w:lineRule="exact"/>
        <w:ind w:firstLine="640" w:firstLineChars="200"/>
        <w:rPr>
          <w:rFonts w:hint="eastAsia" w:ascii="仿宋" w:hAnsi="仿宋" w:eastAsia="仿宋"/>
          <w:sz w:val="32"/>
          <w:szCs w:val="32"/>
        </w:rPr>
      </w:pPr>
      <w:r>
        <w:rPr>
          <w:rFonts w:hint="eastAsia" w:ascii="仿宋_GB2312" w:eastAsia="仿宋_GB2312" w:cs="ArialUnicodeMS"/>
          <w:kern w:val="0"/>
          <w:sz w:val="32"/>
          <w:szCs w:val="32"/>
          <w:lang w:val="en-US" w:eastAsia="zh-CN"/>
        </w:rPr>
        <w:t>18、</w:t>
      </w:r>
      <w:r>
        <w:rPr>
          <w:rFonts w:hint="eastAsia" w:ascii="仿宋_GB2312" w:hAnsi="Calibri" w:eastAsia="仿宋_GB2312" w:cs="ArialUnicodeMS"/>
          <w:kern w:val="0"/>
          <w:sz w:val="32"/>
          <w:szCs w:val="32"/>
        </w:rPr>
        <w:t>完成县委、县政府交办的其他任务。</w:t>
      </w:r>
    </w:p>
    <w:p w14:paraId="5EB86E40">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7E54191B">
      <w:pPr>
        <w:widowControl w:val="0"/>
        <w:wordWrap/>
        <w:adjustRightInd/>
        <w:snapToGrid w:val="0"/>
        <w:spacing w:line="560" w:lineRule="exact"/>
        <w:ind w:left="0" w:leftChars="0" w:right="0" w:firstLine="640" w:firstLineChars="200"/>
        <w:textAlignment w:val="auto"/>
        <w:outlineLvl w:val="9"/>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年我局人员和公用经费预算</w:t>
      </w:r>
      <w:r>
        <w:rPr>
          <w:rFonts w:hint="eastAsia" w:ascii="仿宋" w:hAnsi="仿宋" w:eastAsia="仿宋" w:cs="仿宋"/>
          <w:sz w:val="32"/>
          <w:szCs w:val="32"/>
          <w:lang w:val="en-US" w:eastAsia="zh-CN"/>
        </w:rPr>
        <w:t>1211.84</w:t>
      </w:r>
      <w:r>
        <w:rPr>
          <w:rFonts w:hint="eastAsia" w:ascii="仿宋" w:hAnsi="仿宋" w:eastAsia="仿宋" w:cs="仿宋"/>
          <w:sz w:val="32"/>
          <w:szCs w:val="32"/>
        </w:rPr>
        <w:t>万元，人员经费预算</w:t>
      </w:r>
      <w:r>
        <w:rPr>
          <w:rFonts w:hint="eastAsia" w:ascii="仿宋" w:hAnsi="仿宋" w:eastAsia="仿宋" w:cs="仿宋"/>
          <w:sz w:val="32"/>
          <w:szCs w:val="32"/>
          <w:lang w:val="en-US" w:eastAsia="zh-CN"/>
        </w:rPr>
        <w:t>513.74</w:t>
      </w:r>
      <w:r>
        <w:rPr>
          <w:rFonts w:hint="eastAsia" w:ascii="仿宋" w:hAnsi="仿宋" w:eastAsia="仿宋" w:cs="仿宋"/>
          <w:sz w:val="32"/>
          <w:szCs w:val="32"/>
        </w:rPr>
        <w:t>万元，公用经费预算</w:t>
      </w:r>
      <w:r>
        <w:rPr>
          <w:rFonts w:hint="eastAsia" w:ascii="仿宋" w:hAnsi="仿宋" w:eastAsia="仿宋" w:cs="仿宋"/>
          <w:sz w:val="32"/>
          <w:szCs w:val="32"/>
          <w:lang w:val="en-US" w:eastAsia="zh-CN"/>
        </w:rPr>
        <w:t>698.10</w:t>
      </w:r>
      <w:r>
        <w:rPr>
          <w:rFonts w:hint="eastAsia" w:ascii="仿宋" w:hAnsi="仿宋" w:eastAsia="仿宋" w:cs="仿宋"/>
          <w:sz w:val="32"/>
          <w:szCs w:val="32"/>
        </w:rPr>
        <w:t>万元，项目经费预算</w:t>
      </w:r>
      <w:r>
        <w:rPr>
          <w:rFonts w:hint="eastAsia" w:ascii="仿宋" w:hAnsi="仿宋" w:eastAsia="仿宋" w:cs="仿宋"/>
          <w:sz w:val="32"/>
          <w:szCs w:val="32"/>
          <w:lang w:val="en-US" w:eastAsia="zh-CN"/>
        </w:rPr>
        <w:t>1613.49</w:t>
      </w:r>
      <w:r>
        <w:rPr>
          <w:rFonts w:hint="eastAsia" w:ascii="仿宋" w:hAnsi="仿宋" w:eastAsia="仿宋" w:cs="仿宋"/>
          <w:sz w:val="32"/>
          <w:szCs w:val="32"/>
        </w:rPr>
        <w:t>万元</w:t>
      </w:r>
    </w:p>
    <w:p w14:paraId="68FE312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6B3ABEF">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2024年服务费（县安排）</w:t>
      </w:r>
      <w:r>
        <w:rPr>
          <w:rFonts w:hint="eastAsia" w:ascii="仿宋" w:hAnsi="仿宋" w:eastAsia="仿宋"/>
          <w:sz w:val="32"/>
          <w:szCs w:val="32"/>
          <w:lang w:val="en-US" w:eastAsia="zh-CN"/>
        </w:rPr>
        <w:t>33万元，2024年公用经费（县安排）1.79万元，2024年河北省自然灾害应急能力提升工程预警指挥项目（冀财建【2024】26号）87.2万元，2024年石家庄市基层防灾工程（冀财建【2024】27号）910.96</w:t>
      </w:r>
      <w:r>
        <w:rPr>
          <w:rFonts w:hint="eastAsia" w:ascii="仿宋" w:hAnsi="仿宋" w:eastAsia="仿宋"/>
          <w:b w:val="0"/>
          <w:bCs w:val="0"/>
          <w:sz w:val="32"/>
          <w:szCs w:val="32"/>
          <w:lang w:val="en-US" w:eastAsia="zh-CN"/>
        </w:rPr>
        <w:t>万元，</w:t>
      </w:r>
      <w:r>
        <w:rPr>
          <w:rFonts w:hint="eastAsia" w:ascii="仿宋" w:hAnsi="仿宋" w:eastAsia="仿宋"/>
          <w:sz w:val="32"/>
          <w:szCs w:val="32"/>
          <w:lang w:val="en-US" w:eastAsia="zh-CN"/>
        </w:rPr>
        <w:t>2024年石家庄市基层防灾工程（冀财建【2024】29号）75.91</w:t>
      </w:r>
      <w:r>
        <w:rPr>
          <w:rFonts w:hint="eastAsia" w:ascii="仿宋" w:hAnsi="仿宋" w:eastAsia="仿宋"/>
          <w:b w:val="0"/>
          <w:bCs w:val="0"/>
          <w:sz w:val="32"/>
          <w:szCs w:val="32"/>
          <w:lang w:val="en-US" w:eastAsia="zh-CN"/>
        </w:rPr>
        <w:t>万元，2024年应急通信设备购置县安排）97.64万元，2024年应急通信设备购置项目（石财建【2024】13号）97.65万元，2024年应急通信设备运维（县安排）23.44万元，应急局2024年安全生产月活动经费(县安排）5万元，应急局2024年防火经费（县安排）36万元，应急局2024年防汛工作经费（县安排）13万元，应急局2024年防震减灾群测群防项目（石财建【2023】95号）0.5万元，应急局2024年农房保险项目（县配套）9.8万元，应急局2024年政策性农房保险项目（冀财建[2023]246号）52.01万元，应急局2024年自然灾害救灾项目（冀财建【2024】159号）2万元，应急局工矿商贸领域作业场所视频监控全覆盖1第一批（县安排）10万元，应急局工矿商贸领域作业场所视频监控全覆盖2第一批（县安排）20万元，应急局工矿商贸领域作业场所视频监控全覆盖3第一批（县安排）70万元，应急局工矿商贸领域作业场所视频监控项目3第二批（县安排）61.4万元，应急局森林草原消防大队采购被服（县安排）46万元。</w:t>
      </w:r>
    </w:p>
    <w:p w14:paraId="0E5D86D5">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8364F71">
      <w:pPr>
        <w:keepNext w:val="0"/>
        <w:keepLines w:val="0"/>
        <w:pageBreakBefore w:val="0"/>
        <w:kinsoku/>
        <w:wordWrap/>
        <w:overflowPunct/>
        <w:topLinePunct w:val="0"/>
        <w:autoSpaceDE/>
        <w:autoSpaceDN/>
        <w:bidi w:val="0"/>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AEF15B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pacing w:before="0" w:beforeAutospacing="0" w:after="0" w:afterAutospacing="0" w:line="560" w:lineRule="exact"/>
        <w:ind w:left="0" w:right="0" w:firstLine="0"/>
        <w:jc w:val="both"/>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黑体"/>
          <w:kern w:val="2"/>
          <w:sz w:val="32"/>
          <w:szCs w:val="32"/>
          <w:lang w:val="en-US" w:eastAsia="zh-CN" w:bidi="ar-SA"/>
        </w:rPr>
        <w:t>按照科学规范、公正公开、绩效相关的原则，依据下达的预算，对项目评价资料收集，采用定量与定性相结合，专项经费投入与产出相结合的办法，对照项目实际完成内容，评价实际实施内容与批复预算的完成情况；依据项目资金计划文件和凭证，评价项目资金下拨、到位及使用情况。</w:t>
      </w:r>
    </w:p>
    <w:p w14:paraId="25D7F690">
      <w:pPr>
        <w:keepNext w:val="0"/>
        <w:keepLines w:val="0"/>
        <w:pageBreakBefore w:val="0"/>
        <w:numPr>
          <w:ilvl w:val="0"/>
          <w:numId w:val="1"/>
        </w:numPr>
        <w:kinsoku/>
        <w:wordWrap/>
        <w:overflowPunct/>
        <w:topLinePunct w:val="0"/>
        <w:autoSpaceDE/>
        <w:autoSpaceDN/>
        <w:bidi w:val="0"/>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3ABFA58">
      <w:pPr>
        <w:pStyle w:val="6"/>
        <w:keepNext w:val="0"/>
        <w:keepLines w:val="0"/>
        <w:pageBreakBefore w:val="0"/>
        <w:numPr>
          <w:ilvl w:val="0"/>
          <w:numId w:val="0"/>
        </w:numPr>
        <w:kinsoku/>
        <w:wordWrap/>
        <w:overflowPunct/>
        <w:topLinePunct w:val="0"/>
        <w:autoSpaceDE/>
        <w:autoSpaceDN/>
        <w:bidi w:val="0"/>
        <w:spacing w:line="560" w:lineRule="exact"/>
        <w:rPr>
          <w:rFonts w:ascii="楷体" w:hAnsi="楷体" w:eastAsia="楷体" w:cs="楷体_GB2312"/>
          <w:bCs/>
          <w:sz w:val="32"/>
          <w:szCs w:val="32"/>
        </w:rPr>
      </w:pPr>
      <w:r>
        <w:rPr>
          <w:rFonts w:hint="eastAsia"/>
          <w:lang w:val="en-US" w:eastAsia="zh-CN"/>
        </w:rPr>
        <w:t xml:space="preserve">      </w:t>
      </w:r>
      <w:r>
        <w:rPr>
          <w:rFonts w:hint="eastAsia" w:ascii="仿宋" w:hAnsi="仿宋" w:eastAsia="仿宋" w:cs="仿宋"/>
          <w:kern w:val="2"/>
          <w:sz w:val="32"/>
          <w:szCs w:val="32"/>
          <w:lang w:val="en-US" w:eastAsia="zh-CN" w:bidi="ar-SA"/>
        </w:rPr>
        <w:t>采取自评和他评相结合方式，成立项目自评小组，结合评价内容，做到有计划，有安排，扎实开展本次自评工作。按照上级下达的项目支出绩效评价指标体系，自评小组针对申报内容、资金兑现、财务管理、社会效益等做出自我评价，认真听取企业建议和意见，做好自评工作。</w:t>
      </w:r>
    </w:p>
    <w:p w14:paraId="4C87232C">
      <w:pPr>
        <w:keepNext w:val="0"/>
        <w:keepLines w:val="0"/>
        <w:pageBreakBefore w:val="0"/>
        <w:kinsoku/>
        <w:wordWrap/>
        <w:overflowPunct/>
        <w:topLinePunct w:val="0"/>
        <w:autoSpaceDE/>
        <w:autoSpaceDN/>
        <w:bidi w:val="0"/>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26B01A7">
      <w:pPr>
        <w:keepNext w:val="0"/>
        <w:keepLines w:val="0"/>
        <w:pageBreakBefore w:val="0"/>
        <w:numPr>
          <w:ilvl w:val="0"/>
          <w:numId w:val="2"/>
        </w:numPr>
        <w:kinsoku/>
        <w:wordWrap/>
        <w:overflowPunct/>
        <w:topLinePunct w:val="0"/>
        <w:autoSpaceDE/>
        <w:autoSpaceDN/>
        <w:bidi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25E65E8">
      <w:pPr>
        <w:pStyle w:val="10"/>
        <w:rPr>
          <w:rFonts w:hint="eastAsia" w:ascii="仿宋" w:hAnsi="仿宋" w:eastAsia="仿宋" w:cs="仿宋"/>
          <w:sz w:val="32"/>
          <w:szCs w:val="32"/>
        </w:rPr>
      </w:pPr>
      <w:r>
        <w:rPr>
          <w:rFonts w:hint="eastAsia" w:ascii="仿宋" w:hAnsi="仿宋" w:eastAsia="仿宋" w:cs="仿宋"/>
          <w:sz w:val="32"/>
          <w:szCs w:val="32"/>
        </w:rPr>
        <w:t>以习近平新时代中国特色社会主义思想为指引，按照中央和省、市委关于应急管理体制改革的总要求和安全发展的工作部署，以积极构建全方位应急管理基础体系、有效提升突发事故应急救援能力、预防减少各类自然灾害损失、坚决遏制重特大生产安全事故、努力创造美好工作生活家园为目标，加快应急救援管理体制改革、健全应急响应工作机制、推进安全生产监督管理责任落实、完善风险管控隐患排查治理机制运行、夯实应急与安全管理工作基础、保持打非治违依法治安高压态势、加速专业应急救援队伍整合联动、加强应急干部队伍能力建设，提高应对突发安全事故工作水平，为全县社会经济实现安全发展、人民群众平安幸福生活提供有力保障。</w:t>
      </w:r>
    </w:p>
    <w:p w14:paraId="1BB67AEB">
      <w:pPr>
        <w:spacing w:before="0" w:after="0" w:line="500" w:lineRule="exact"/>
        <w:ind w:firstLine="560"/>
        <w:jc w:val="left"/>
        <w:outlineLvl w:val="9"/>
        <w:rPr>
          <w:rFonts w:hint="eastAsia" w:ascii="楷体" w:hAnsi="楷体" w:eastAsia="楷体" w:cs="楷体_GB2312"/>
          <w:bCs/>
          <w:sz w:val="32"/>
          <w:szCs w:val="32"/>
        </w:rPr>
      </w:pPr>
      <w:r>
        <w:rPr>
          <w:rFonts w:ascii="Times New Roman" w:hAnsi="Times New Roman" w:eastAsia="方正仿宋_GBK" w:cs="Times New Roman"/>
          <w:color w:val="000000"/>
          <w:sz w:val="28"/>
        </w:rPr>
        <w:t>（二）</w:t>
      </w:r>
      <w:r>
        <w:rPr>
          <w:rFonts w:hint="eastAsia" w:ascii="Times New Roman" w:hAnsi="Times New Roman" w:eastAsia="方正仿宋_GBK" w:cs="Times New Roman"/>
          <w:color w:val="000000"/>
          <w:sz w:val="28"/>
        </w:rPr>
        <w:t>分项绩效目标实现情况及指标分析</w:t>
      </w:r>
    </w:p>
    <w:p w14:paraId="5EF708F7">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（一）组织全县安全生产综合监督管理</w:t>
      </w:r>
    </w:p>
    <w:p w14:paraId="63E91E34">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目标：通过督导检查全县安全生产，最大限度地发现、纠正、督促企业消除各类隐患，预防和减少事故的发生，确保全县安全生产形势持续稳定好转。科学准确进行重大危险源等级界定；有效开展监测数据的综合分析、数据发布工作；督促企业切实加强危险源监控，有效治理隐患，落实监管责任。开展职业病危害严重行业的专项治理，组织职业病危害项目申报工作，查处用人单位职业病危害事故和违法行为。基本建成全县安全生产隐患排查治理体系，提高生产经营单位建设标准，规范安全生产操作规程，提升特种作业人员安全操作能力和执法监察能力和水平，提高全社会安全生产意识，提高事故调查工作的准确性、真实性和可靠性，组织完成安全生产责任目标考核，推进企业诚信和承诺制相关工作制度化、信息化。促进企业全面落实安全生产诚信管理，加强县域规范化建设，落实“三级五覆盖”。 完成科技成果奖励和推广应用工作。</w:t>
      </w:r>
    </w:p>
    <w:p w14:paraId="2917742D">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指标：隐患整改率、危险源点安全运行率、职业病危害专项治理企业占比数、安全生产标准化达标率、对全县安全人员培训、特种作业人员安全操作能力考试培训达标率、监管覆盖率、安全事故有效处理率、完成上级下达任务。</w:t>
      </w:r>
    </w:p>
    <w:p w14:paraId="30793A78">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（二）重点行业安全生产监管</w:t>
      </w:r>
    </w:p>
    <w:p w14:paraId="6B926985">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绩效目标：加强高危行业安全生产事故排查和事故隐患治理力度。消除危库、险库，完成尾矿库生态修复工作任务，实现非煤矿山事故起数和死亡人数双下降，坚决遏制较大以上事故。</w:t>
      </w:r>
    </w:p>
    <w:p w14:paraId="168B69EB">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绩效指标：隐患整改率、隐患排查整改率</w:t>
      </w:r>
    </w:p>
    <w:p w14:paraId="6EF834E5">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（三）组织指挥和协调全县安全生产应急救援</w:t>
      </w:r>
    </w:p>
    <w:p w14:paraId="383BBEC6">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目标：加强应急预案的管理与实施，及时组织锻炼应急救援队伍，切实提升应急处置能力。理顺应急救援工作机制，推动应急救援指挥中心和应急平台建设，提高突发事件的应急救援能力，保证政府及时采取应对措施，避免或降低事故及其危害程度。增强组织协调能力，提高应急救援效果。</w:t>
      </w:r>
    </w:p>
    <w:p w14:paraId="3E9314D5">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绩效指标：应急预案演练完成率，应急救援装备、设备完好率，应急救援任务有效完成率。</w:t>
      </w:r>
    </w:p>
    <w:p w14:paraId="06B21614">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（四）应急政务管理</w:t>
      </w:r>
    </w:p>
    <w:p w14:paraId="398358BB">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目标：指导系统业务活动，依法开展网上行政服务。保障各项业务工作畅通。加强资产管理、完善机关基础建设，保障机关各项工作高效运转。建设运行维护平台数据，为有效保障全县突发事件提供技术保障，确保快速、有效处置突发事件，提高事件应对实效。</w:t>
      </w:r>
    </w:p>
    <w:p w14:paraId="53D63C9E">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绩效指标：综合业务管理工作完成率，综合事物管理工作完成率，应急事件处置情况，系统全年累计故障时长。</w:t>
      </w:r>
    </w:p>
    <w:p w14:paraId="2AAAAFAB">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（五）社会救助、救灾管理</w:t>
      </w:r>
    </w:p>
    <w:p w14:paraId="4CA982BB">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目标：提高公民避灾自救能力和防灾减灾意识，提升重大自然灾害防御能力；完善县、乡两级物资储备；推进以农房保险为主的救灾保险，民房恢复重建及灾民生活救助，受灾群众基本生活得到及时救助。保证款物安全及时有效。</w:t>
      </w:r>
    </w:p>
    <w:p w14:paraId="7BA0F8A9">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绩效指标：突发灾害报灾时效性和准确性、自然灾害救助应急预案演练次数、救灾捐赠资金到位率、农村住房保险理赔率、县级救灾物资运达灾区时间、物资保障受灾群众人数覆盖率。</w:t>
      </w:r>
    </w:p>
    <w:p w14:paraId="3AB8BA57">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（六）矿产资源管理与地质环境保护</w:t>
      </w:r>
    </w:p>
    <w:p w14:paraId="1A307F1C">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绩效目标：提高地质灾害预警预报水平；做好汛期地质灾害防治工作，确保人民生命财产安全；为做好地质灾害防治工作提供科学依据。</w:t>
      </w:r>
    </w:p>
    <w:p w14:paraId="1CDC7CDF">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绩效指标：风险预警预报率、地质灾害预警预报能力、隐患点排查核查率</w:t>
      </w:r>
    </w:p>
    <w:p w14:paraId="6353F59E">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（七）水利科技支撑和公共服务</w:t>
      </w:r>
    </w:p>
    <w:p w14:paraId="49A2150B">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绩效目标：发挥防汛抗旱减灾体系作用，最大限度地减少水旱灾害造成的人员伤亡和财产损失。</w:t>
      </w:r>
    </w:p>
    <w:p w14:paraId="7F3C8D57">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绩效指标：工程完成率、防汛抗旱投资完成率</w:t>
      </w:r>
    </w:p>
    <w:p w14:paraId="69F6240A">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（八）草原资源保护和生态建设</w:t>
      </w:r>
    </w:p>
    <w:p w14:paraId="3AAAB06D">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绩效目标：不发生等级以上火灾，不发生重大人员伤亡事故，实现草原防火“四个确保”目标</w:t>
      </w:r>
    </w:p>
    <w:p w14:paraId="000210BC">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lang w:val="en-US" w:eastAsia="zh-CN"/>
        </w:rPr>
      </w:pPr>
      <w:r>
        <w:rPr>
          <w:rFonts w:hint="eastAsia" w:ascii="仿宋" w:hAnsi="仿宋" w:eastAsia="仿宋" w:cs="仿宋"/>
          <w:b w:val="0"/>
          <w:bCs/>
          <w:sz w:val="32"/>
          <w:lang w:val="en-US" w:eastAsia="zh-CN"/>
        </w:rPr>
        <w:t>绩效指标：草原火灾发生率</w:t>
      </w:r>
    </w:p>
    <w:p w14:paraId="27BBCEAF">
      <w:pPr>
        <w:keepNext w:val="0"/>
        <w:keepLines w:val="0"/>
        <w:pageBreakBefore w:val="0"/>
        <w:kinsoku/>
        <w:wordWrap/>
        <w:overflowPunct/>
        <w:topLinePunct w:val="0"/>
        <w:autoSpaceDE/>
        <w:autoSpaceDN/>
        <w:bidi w:val="0"/>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A6696C7">
      <w:pPr>
        <w:keepNext w:val="0"/>
        <w:keepLines w:val="0"/>
        <w:pageBreakBefore w:val="0"/>
        <w:kinsoku/>
        <w:wordWrap/>
        <w:overflowPunct/>
        <w:topLinePunct w:val="0"/>
        <w:autoSpaceDE/>
        <w:autoSpaceDN/>
        <w:bidi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val="en-US" w:eastAsia="zh-CN"/>
        </w:rPr>
        <w:t>95</w:t>
      </w:r>
      <w:r>
        <w:rPr>
          <w:rFonts w:hint="eastAsia" w:ascii="仿宋" w:hAnsi="仿宋" w:eastAsia="仿宋"/>
          <w:sz w:val="32"/>
          <w:szCs w:val="32"/>
        </w:rPr>
        <w:t>分，得出综合绩效评价等级</w:t>
      </w:r>
      <w:r>
        <w:rPr>
          <w:rFonts w:hint="eastAsia" w:ascii="仿宋" w:hAnsi="仿宋" w:eastAsia="仿宋"/>
          <w:sz w:val="32"/>
          <w:szCs w:val="32"/>
          <w:lang w:eastAsia="zh-CN"/>
        </w:rPr>
        <w:t>为优秀</w:t>
      </w:r>
      <w:r>
        <w:rPr>
          <w:rFonts w:hint="eastAsia" w:ascii="仿宋" w:hAnsi="仿宋" w:eastAsia="仿宋"/>
          <w:sz w:val="32"/>
          <w:szCs w:val="32"/>
        </w:rPr>
        <w:t>。</w:t>
      </w:r>
    </w:p>
    <w:p w14:paraId="3910C1C4">
      <w:pPr>
        <w:keepNext w:val="0"/>
        <w:keepLines w:val="0"/>
        <w:pageBreakBefore w:val="0"/>
        <w:kinsoku/>
        <w:wordWrap/>
        <w:overflowPunct/>
        <w:topLinePunct w:val="0"/>
        <w:autoSpaceDE/>
        <w:autoSpaceDN/>
        <w:bidi w:val="0"/>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9A0DF1D">
      <w:pPr>
        <w:keepNext w:val="0"/>
        <w:keepLines w:val="0"/>
        <w:pageBreakBefore w:val="0"/>
        <w:kinsoku/>
        <w:wordWrap/>
        <w:overflowPunct/>
        <w:topLinePunct w:val="0"/>
        <w:autoSpaceDE/>
        <w:autoSpaceDN/>
        <w:bidi w:val="0"/>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4E514D9">
      <w:pPr>
        <w:keepNext w:val="0"/>
        <w:keepLines w:val="0"/>
        <w:pageBreakBefore w:val="0"/>
        <w:widowControl w:val="0"/>
        <w:numPr>
          <w:ilvl w:val="0"/>
          <w:numId w:val="0"/>
        </w:numPr>
        <w:kinsoku/>
        <w:wordWrap/>
        <w:overflowPunct/>
        <w:topLinePunct w:val="0"/>
        <w:autoSpaceDE/>
        <w:autoSpaceDN/>
        <w:bidi w:val="0"/>
        <w:adjustRightInd/>
        <w:spacing w:line="560" w:lineRule="exact"/>
        <w:ind w:firstLine="640" w:firstLineChars="200"/>
        <w:jc w:val="both"/>
        <w:textAlignment w:val="auto"/>
        <w:rPr>
          <w:rFonts w:hint="eastAsia" w:ascii="楷体" w:hAnsi="楷体" w:eastAsia="楷体"/>
          <w:bCs/>
          <w:sz w:val="32"/>
          <w:szCs w:val="32"/>
        </w:rPr>
      </w:pPr>
      <w:r>
        <w:rPr>
          <w:rFonts w:hint="eastAsia" w:ascii="仿宋" w:hAnsi="仿宋" w:eastAsia="仿宋" w:cs="黑体"/>
          <w:kern w:val="2"/>
          <w:sz w:val="32"/>
          <w:szCs w:val="32"/>
          <w:lang w:val="en-US" w:eastAsia="zh-CN" w:bidi="ar-SA"/>
        </w:rPr>
        <w:t>一是预算资金执行进度尚需提高；二是绩效管理理念有待加强。长期以来“重资金使用，轻绩效评价”的思想根基较深厚，而“重产出、重结果”的绩效管理理念尚未全面深入人心，认为只要资金使用合法、合规就行，忽视财政资金的使用绩效，对绩效管理工作缺乏主动性，没有将绩效管理工作作为一项日常性重要工作来抓；三是绩效目标设计不够细化。项目实施单位对绩效评价指标体系建立还在摸索阶段，目前，建立的绩效指标评价体系在科学性、规范性、系统性关联性等方面都还有待进一步完善和细化。</w:t>
      </w:r>
    </w:p>
    <w:p w14:paraId="3E862639">
      <w:pPr>
        <w:keepNext w:val="0"/>
        <w:keepLines w:val="0"/>
        <w:pageBreakBefore w:val="0"/>
        <w:numPr>
          <w:ilvl w:val="0"/>
          <w:numId w:val="0"/>
        </w:numPr>
        <w:kinsoku/>
        <w:wordWrap/>
        <w:overflowPunct/>
        <w:topLinePunct w:val="0"/>
        <w:autoSpaceDE/>
        <w:autoSpaceDN/>
        <w:bidi w:val="0"/>
        <w:spacing w:line="560" w:lineRule="exact"/>
        <w:ind w:leftChars="200"/>
        <w:rPr>
          <w:rFonts w:hint="eastAsia" w:ascii="楷体" w:hAnsi="楷体" w:eastAsia="楷体"/>
          <w:bCs/>
          <w:sz w:val="32"/>
          <w:szCs w:val="32"/>
        </w:rPr>
      </w:pPr>
      <w:r>
        <w:rPr>
          <w:rFonts w:hint="eastAsia" w:ascii="楷体" w:hAnsi="楷体" w:eastAsia="楷体"/>
          <w:bCs/>
          <w:sz w:val="32"/>
          <w:szCs w:val="32"/>
          <w:lang w:eastAsia="zh-CN"/>
        </w:rPr>
        <w:t>（二）</w:t>
      </w:r>
      <w:r>
        <w:rPr>
          <w:rFonts w:hint="eastAsia" w:ascii="楷体" w:hAnsi="楷体" w:eastAsia="楷体"/>
          <w:bCs/>
          <w:sz w:val="32"/>
          <w:szCs w:val="32"/>
        </w:rPr>
        <w:t>针对问题提出具体的改进措施或建议</w:t>
      </w:r>
    </w:p>
    <w:p w14:paraId="65135FFD">
      <w:pPr>
        <w:pStyle w:val="6"/>
        <w:keepNext w:val="0"/>
        <w:keepLines w:val="0"/>
        <w:pageBreakBefore w:val="0"/>
        <w:widowControl w:val="0"/>
        <w:kinsoku/>
        <w:wordWrap/>
        <w:overflowPunct/>
        <w:topLinePunct w:val="0"/>
        <w:autoSpaceDE/>
        <w:autoSpaceDN/>
        <w:bidi w:val="0"/>
        <w:adjustRightInd/>
        <w:spacing w:after="0" w:line="560" w:lineRule="exact"/>
        <w:ind w:left="0" w:leftChars="0"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无</w:t>
      </w:r>
    </w:p>
    <w:p w14:paraId="204D5937">
      <w:pPr>
        <w:pStyle w:val="6"/>
        <w:keepNext w:val="0"/>
        <w:keepLines w:val="0"/>
        <w:pageBreakBefore w:val="0"/>
        <w:widowControl w:val="0"/>
        <w:kinsoku/>
        <w:wordWrap/>
        <w:overflowPunct/>
        <w:topLinePunct w:val="0"/>
        <w:autoSpaceDE/>
        <w:autoSpaceDN/>
        <w:bidi w:val="0"/>
        <w:adjustRightInd/>
        <w:spacing w:after="0" w:line="560" w:lineRule="exact"/>
        <w:ind w:left="0" w:leftChars="0" w:firstLine="6400" w:firstLineChars="2000"/>
        <w:textAlignment w:val="auto"/>
        <w:rPr>
          <w:rFonts w:ascii="仿宋" w:hAnsi="仿宋" w:eastAsia="仿宋" w:cs="仿宋"/>
          <w:sz w:val="32"/>
          <w:szCs w:val="32"/>
        </w:rPr>
      </w:pP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A73DF6">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73745E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73745E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8"/>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B0260"/>
    <w:rsid w:val="001669D4"/>
    <w:rsid w:val="007E6C1F"/>
    <w:rsid w:val="00956A93"/>
    <w:rsid w:val="009E575C"/>
    <w:rsid w:val="00AF167E"/>
    <w:rsid w:val="00AF566A"/>
    <w:rsid w:val="00B478EA"/>
    <w:rsid w:val="00B6553A"/>
    <w:rsid w:val="00BC6576"/>
    <w:rsid w:val="00CE06BA"/>
    <w:rsid w:val="00F441CC"/>
    <w:rsid w:val="01B104CA"/>
    <w:rsid w:val="02106AB0"/>
    <w:rsid w:val="02B43A28"/>
    <w:rsid w:val="03D1051E"/>
    <w:rsid w:val="042948F2"/>
    <w:rsid w:val="046F331E"/>
    <w:rsid w:val="07956271"/>
    <w:rsid w:val="07DF5D00"/>
    <w:rsid w:val="08795696"/>
    <w:rsid w:val="09287663"/>
    <w:rsid w:val="095E3ED9"/>
    <w:rsid w:val="09721397"/>
    <w:rsid w:val="09AD65FB"/>
    <w:rsid w:val="0BB63BED"/>
    <w:rsid w:val="0D417786"/>
    <w:rsid w:val="0D692839"/>
    <w:rsid w:val="0E7A48E9"/>
    <w:rsid w:val="0EB97A43"/>
    <w:rsid w:val="0EBD2122"/>
    <w:rsid w:val="0F214EAE"/>
    <w:rsid w:val="0F9811B3"/>
    <w:rsid w:val="0FCC70AF"/>
    <w:rsid w:val="108F25B6"/>
    <w:rsid w:val="11B71E6A"/>
    <w:rsid w:val="15CA2C2D"/>
    <w:rsid w:val="163D24CE"/>
    <w:rsid w:val="1AAF0063"/>
    <w:rsid w:val="1ACD08AB"/>
    <w:rsid w:val="1BE140DE"/>
    <w:rsid w:val="1E240488"/>
    <w:rsid w:val="1EFB350D"/>
    <w:rsid w:val="1FB37996"/>
    <w:rsid w:val="210B70E4"/>
    <w:rsid w:val="21736403"/>
    <w:rsid w:val="23CB3B95"/>
    <w:rsid w:val="24571346"/>
    <w:rsid w:val="248C197D"/>
    <w:rsid w:val="252959AF"/>
    <w:rsid w:val="2564376A"/>
    <w:rsid w:val="2572595F"/>
    <w:rsid w:val="262A17DD"/>
    <w:rsid w:val="267B5AC6"/>
    <w:rsid w:val="268F4C66"/>
    <w:rsid w:val="277A6671"/>
    <w:rsid w:val="28086671"/>
    <w:rsid w:val="283B0253"/>
    <w:rsid w:val="28832D32"/>
    <w:rsid w:val="292D35B7"/>
    <w:rsid w:val="2AA35184"/>
    <w:rsid w:val="2B3A731D"/>
    <w:rsid w:val="2B9F3273"/>
    <w:rsid w:val="2BA62281"/>
    <w:rsid w:val="2CBE62A5"/>
    <w:rsid w:val="2D053ED4"/>
    <w:rsid w:val="2E6136A4"/>
    <w:rsid w:val="2EF17594"/>
    <w:rsid w:val="2FFB5743"/>
    <w:rsid w:val="31A91DD1"/>
    <w:rsid w:val="31C854D0"/>
    <w:rsid w:val="31DD5420"/>
    <w:rsid w:val="31E77D87"/>
    <w:rsid w:val="33EB6CFF"/>
    <w:rsid w:val="3474193F"/>
    <w:rsid w:val="34A018E8"/>
    <w:rsid w:val="359E6C39"/>
    <w:rsid w:val="35A12947"/>
    <w:rsid w:val="35EE2907"/>
    <w:rsid w:val="36D861B6"/>
    <w:rsid w:val="37387040"/>
    <w:rsid w:val="37CF6647"/>
    <w:rsid w:val="38A63BE6"/>
    <w:rsid w:val="3B625C0A"/>
    <w:rsid w:val="3CEE1963"/>
    <w:rsid w:val="3EB61E2F"/>
    <w:rsid w:val="3FC63C28"/>
    <w:rsid w:val="41CD5C6D"/>
    <w:rsid w:val="427A6373"/>
    <w:rsid w:val="45A82735"/>
    <w:rsid w:val="487877F8"/>
    <w:rsid w:val="4C9C27FE"/>
    <w:rsid w:val="4CC94FBD"/>
    <w:rsid w:val="4EDA66DF"/>
    <w:rsid w:val="4F8D3B4A"/>
    <w:rsid w:val="4F9262BB"/>
    <w:rsid w:val="4FF9AD8B"/>
    <w:rsid w:val="50BC224C"/>
    <w:rsid w:val="512260B4"/>
    <w:rsid w:val="513E7F2D"/>
    <w:rsid w:val="52BD6ACB"/>
    <w:rsid w:val="52E44543"/>
    <w:rsid w:val="539574B0"/>
    <w:rsid w:val="54273E81"/>
    <w:rsid w:val="544D38E7"/>
    <w:rsid w:val="549F610D"/>
    <w:rsid w:val="54F94CCB"/>
    <w:rsid w:val="55537534"/>
    <w:rsid w:val="561A74F1"/>
    <w:rsid w:val="58075BBC"/>
    <w:rsid w:val="59411541"/>
    <w:rsid w:val="597244E8"/>
    <w:rsid w:val="5A19426B"/>
    <w:rsid w:val="5C9620DF"/>
    <w:rsid w:val="5EB71C30"/>
    <w:rsid w:val="5F645F89"/>
    <w:rsid w:val="63253C81"/>
    <w:rsid w:val="65A85175"/>
    <w:rsid w:val="66AF0CE5"/>
    <w:rsid w:val="66C46341"/>
    <w:rsid w:val="688651C2"/>
    <w:rsid w:val="69BD7B76"/>
    <w:rsid w:val="6AC537CF"/>
    <w:rsid w:val="6B923E7E"/>
    <w:rsid w:val="6C2E1DF8"/>
    <w:rsid w:val="6D337FFF"/>
    <w:rsid w:val="6D9D2391"/>
    <w:rsid w:val="6DBE71AC"/>
    <w:rsid w:val="6E4A5A7E"/>
    <w:rsid w:val="6E5B14A6"/>
    <w:rsid w:val="711B255E"/>
    <w:rsid w:val="71AA478F"/>
    <w:rsid w:val="71DC5E53"/>
    <w:rsid w:val="71FC3D1B"/>
    <w:rsid w:val="726245AA"/>
    <w:rsid w:val="74174F5C"/>
    <w:rsid w:val="74C652C4"/>
    <w:rsid w:val="75F130F9"/>
    <w:rsid w:val="7B2F3497"/>
    <w:rsid w:val="7BB51E06"/>
    <w:rsid w:val="7C387F7C"/>
    <w:rsid w:val="7D891584"/>
    <w:rsid w:val="7F527482"/>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spacing w:line="360" w:lineRule="auto"/>
      <w:ind w:firstLine="200" w:firstLineChars="200"/>
      <w:textAlignment w:val="baseline"/>
    </w:pPr>
    <w:rPr>
      <w:rFonts w:hint="eastAsia" w:eastAsia="宋体"/>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6">
    <w:name w:val="Body Text First Indent 2"/>
    <w:basedOn w:val="2"/>
    <w:qFormat/>
    <w:uiPriority w:val="0"/>
    <w:pPr>
      <w:ind w:firstLine="420" w:firstLineChars="200"/>
    </w:pPr>
  </w:style>
  <w:style w:type="paragraph" w:customStyle="1" w:styleId="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Normal]"/>
    <w:unhideWhenUsed/>
    <w:qFormat/>
    <w:uiPriority w:val="99"/>
    <w:pPr>
      <w:widowControl w:val="0"/>
      <w:autoSpaceDE w:val="0"/>
      <w:autoSpaceDN w:val="0"/>
      <w:adjustRightInd w:val="0"/>
      <w:spacing w:beforeLines="0" w:afterLines="0"/>
    </w:pPr>
    <w:rPr>
      <w:rFonts w:hint="eastAsia" w:ascii="宋体" w:hAnsi="宋体" w:eastAsia="宋体" w:cs="Times New Roman"/>
      <w:sz w:val="24"/>
    </w:rPr>
  </w:style>
  <w:style w:type="paragraph" w:customStyle="1" w:styleId="12">
    <w:name w:val="插入文本样式-插入部门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1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4444</Words>
  <Characters>4618</Characters>
  <Lines>4</Lines>
  <Paragraphs>1</Paragraphs>
  <TotalTime>0</TotalTime>
  <ScaleCrop>false</ScaleCrop>
  <LinksUpToDate>false</LinksUpToDate>
  <CharactersWithSpaces>4642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飘渺无痕</cp:lastModifiedBy>
  <cp:lastPrinted>2025-05-22T08:00:00Z</cp:lastPrinted>
  <dcterms:modified xsi:type="dcterms:W3CDTF">2025-09-30T01:11:32Z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A46DEC961B3E469592E069B42E2ACA50</vt:lpwstr>
  </property>
  <property fmtid="{D5CDD505-2E9C-101B-9397-08002B2CF9AE}" pid="4" name="KSOTemplateDocerSaveRecord">
    <vt:lpwstr>eyJoZGlkIjoiZmUwNTVmNGUwNTI4ZDlmYWYwYTMyOTM4MGM3ZjY1YmEiLCJ1c2VySWQiOiI1NjQ0NjY2MjMifQ==</vt:lpwstr>
  </property>
</Properties>
</file>