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ind w:firstLine="880"/>
        <w:jc w:val="center"/>
        <w:rPr>
          <w:b/>
          <w:sz w:val="44"/>
          <w:szCs w:val="44"/>
        </w:rPr>
      </w:pPr>
      <w:r>
        <w:rPr>
          <w:rFonts w:hint="eastAsia"/>
          <w:color w:val="000000"/>
          <w:kern w:val="0"/>
          <w:sz w:val="24"/>
        </w:rPr>
        <w:t xml:space="preserve"> </w:t>
      </w:r>
      <w:r>
        <w:rPr>
          <w:rFonts w:hint="eastAsia"/>
          <w:b/>
          <w:sz w:val="44"/>
          <w:szCs w:val="44"/>
          <w:lang w:eastAsia="zh-CN"/>
        </w:rPr>
        <w:t>2017</w:t>
      </w:r>
      <w:r>
        <w:rPr>
          <w:rFonts w:hint="eastAsia"/>
          <w:b/>
          <w:sz w:val="44"/>
          <w:szCs w:val="44"/>
        </w:rPr>
        <w:t>年部门决算信息公开</w:t>
      </w:r>
      <w:r>
        <w:rPr>
          <w:b/>
          <w:sz w:val="44"/>
          <w:szCs w:val="44"/>
        </w:rPr>
        <w:t>目录</w:t>
      </w:r>
    </w:p>
    <w:p>
      <w:pPr>
        <w:pStyle w:val="7"/>
        <w:rPr>
          <w:b/>
          <w:sz w:val="32"/>
          <w:szCs w:val="32"/>
        </w:rPr>
      </w:pPr>
      <w:r>
        <w:rPr>
          <w:b/>
          <w:sz w:val="32"/>
          <w:szCs w:val="32"/>
        </w:rPr>
        <w:t>第一部分</w:t>
      </w:r>
      <w:r>
        <w:rPr>
          <w:rFonts w:hint="eastAsia"/>
          <w:b/>
          <w:sz w:val="32"/>
          <w:szCs w:val="32"/>
        </w:rPr>
        <w:t>单位</w:t>
      </w:r>
      <w:r>
        <w:rPr>
          <w:b/>
          <w:sz w:val="32"/>
          <w:szCs w:val="32"/>
        </w:rPr>
        <w:t>概况</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一、主要职能</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二、机构设置</w:t>
      </w:r>
    </w:p>
    <w:p>
      <w:pPr>
        <w:pStyle w:val="7"/>
        <w:rPr>
          <w:b/>
          <w:sz w:val="32"/>
          <w:szCs w:val="32"/>
        </w:rPr>
      </w:pPr>
      <w:r>
        <w:rPr>
          <w:b/>
          <w:sz w:val="32"/>
          <w:szCs w:val="32"/>
        </w:rPr>
        <w:t>第二部分</w:t>
      </w:r>
      <w:r>
        <w:rPr>
          <w:rFonts w:hint="eastAsia"/>
          <w:b/>
          <w:sz w:val="32"/>
          <w:szCs w:val="32"/>
          <w:lang w:eastAsia="zh-CN"/>
        </w:rPr>
        <w:t>2017</w:t>
      </w:r>
      <w:r>
        <w:rPr>
          <w:b/>
          <w:sz w:val="32"/>
          <w:szCs w:val="32"/>
        </w:rPr>
        <w:t>年度</w:t>
      </w:r>
      <w:r>
        <w:rPr>
          <w:rFonts w:hint="eastAsia"/>
          <w:b/>
          <w:sz w:val="32"/>
          <w:szCs w:val="32"/>
          <w:lang w:eastAsia="zh-CN"/>
        </w:rPr>
        <w:t>赞皇县政府办</w:t>
      </w:r>
      <w:r>
        <w:rPr>
          <w:b/>
          <w:sz w:val="32"/>
          <w:szCs w:val="32"/>
        </w:rPr>
        <w:t>部门决算情况说明</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一、</w:t>
      </w:r>
      <w:r>
        <w:rPr>
          <w:rFonts w:hint="eastAsia" w:ascii="仿宋_GB2312" w:eastAsia="仿宋_GB2312"/>
          <w:sz w:val="32"/>
          <w:szCs w:val="32"/>
          <w:lang w:eastAsia="zh-CN"/>
        </w:rPr>
        <w:t>2017</w:t>
      </w:r>
      <w:r>
        <w:rPr>
          <w:rFonts w:hint="eastAsia" w:ascii="仿宋_GB2312" w:eastAsia="仿宋_GB2312"/>
          <w:sz w:val="32"/>
          <w:szCs w:val="32"/>
        </w:rPr>
        <w:t>年度收入支出总表情况说明</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二、</w:t>
      </w:r>
      <w:r>
        <w:rPr>
          <w:rFonts w:hint="eastAsia" w:ascii="仿宋_GB2312" w:eastAsia="仿宋_GB2312"/>
          <w:sz w:val="32"/>
          <w:szCs w:val="32"/>
          <w:lang w:eastAsia="zh-CN"/>
        </w:rPr>
        <w:t>2017</w:t>
      </w:r>
      <w:r>
        <w:rPr>
          <w:rFonts w:hint="eastAsia" w:ascii="仿宋_GB2312" w:eastAsia="仿宋_GB2312"/>
          <w:sz w:val="32"/>
          <w:szCs w:val="32"/>
        </w:rPr>
        <w:t>年度一般公共预算财政拨款支出情况说明</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三、</w:t>
      </w:r>
      <w:r>
        <w:rPr>
          <w:rFonts w:hint="eastAsia" w:ascii="仿宋_GB2312" w:eastAsia="仿宋_GB2312"/>
          <w:sz w:val="32"/>
          <w:szCs w:val="32"/>
          <w:lang w:eastAsia="zh-CN"/>
        </w:rPr>
        <w:t>2017</w:t>
      </w:r>
      <w:r>
        <w:rPr>
          <w:rFonts w:hint="eastAsia" w:ascii="仿宋_GB2312" w:eastAsia="仿宋_GB2312"/>
          <w:sz w:val="32"/>
          <w:szCs w:val="32"/>
        </w:rPr>
        <w:t>年度一般公共预算财政拨款基本支出情况说明</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四、</w:t>
      </w:r>
      <w:r>
        <w:rPr>
          <w:rFonts w:hint="eastAsia" w:ascii="仿宋_GB2312" w:eastAsia="仿宋_GB2312"/>
          <w:sz w:val="32"/>
          <w:szCs w:val="32"/>
          <w:lang w:eastAsia="zh-CN"/>
        </w:rPr>
        <w:t>2017</w:t>
      </w:r>
      <w:r>
        <w:rPr>
          <w:rFonts w:hint="eastAsia" w:ascii="仿宋_GB2312" w:eastAsia="仿宋_GB2312"/>
          <w:sz w:val="32"/>
          <w:szCs w:val="32"/>
        </w:rPr>
        <w:t>年度一般公共预算财政拨款“三公”经费支出情况说明</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五、</w:t>
      </w:r>
      <w:r>
        <w:rPr>
          <w:rFonts w:hint="eastAsia" w:ascii="仿宋_GB2312" w:eastAsia="仿宋_GB2312"/>
          <w:sz w:val="32"/>
          <w:szCs w:val="32"/>
          <w:lang w:eastAsia="zh-CN"/>
        </w:rPr>
        <w:t>2017</w:t>
      </w:r>
      <w:r>
        <w:rPr>
          <w:rFonts w:hint="eastAsia" w:ascii="仿宋_GB2312" w:eastAsia="仿宋_GB2312"/>
          <w:sz w:val="32"/>
          <w:szCs w:val="32"/>
        </w:rPr>
        <w:t>年度政府性基金预算财政拨款收入支出情况说明</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六、</w:t>
      </w:r>
      <w:r>
        <w:rPr>
          <w:rFonts w:hint="eastAsia" w:ascii="仿宋_GB2312" w:eastAsia="仿宋_GB2312"/>
          <w:sz w:val="32"/>
          <w:szCs w:val="32"/>
          <w:lang w:eastAsia="zh-CN"/>
        </w:rPr>
        <w:t>2017</w:t>
      </w:r>
      <w:r>
        <w:rPr>
          <w:rFonts w:hint="eastAsia" w:ascii="仿宋_GB2312" w:eastAsia="仿宋_GB2312"/>
          <w:sz w:val="32"/>
          <w:szCs w:val="32"/>
        </w:rPr>
        <w:t>年度预算绩效情况说明</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七、</w:t>
      </w:r>
      <w:r>
        <w:rPr>
          <w:rFonts w:hint="eastAsia" w:ascii="仿宋_GB2312" w:eastAsia="仿宋_GB2312"/>
          <w:sz w:val="32"/>
          <w:szCs w:val="32"/>
          <w:lang w:eastAsia="zh-CN"/>
        </w:rPr>
        <w:t>2017</w:t>
      </w:r>
      <w:r>
        <w:rPr>
          <w:rFonts w:hint="eastAsia" w:ascii="仿宋_GB2312" w:eastAsia="仿宋_GB2312"/>
          <w:sz w:val="32"/>
          <w:szCs w:val="32"/>
        </w:rPr>
        <w:t>年度其他重要事项情况说明</w:t>
      </w:r>
    </w:p>
    <w:p>
      <w:pPr>
        <w:autoSpaceDE w:val="0"/>
        <w:autoSpaceDN w:val="0"/>
        <w:adjustRightInd w:val="0"/>
        <w:spacing w:before="0" w:beforeAutospacing="0" w:after="0" w:afterAutospacing="0" w:line="240" w:lineRule="auto"/>
        <w:ind w:firstLine="0" w:firstLineChars="0"/>
        <w:jc w:val="left"/>
        <w:rPr>
          <w:rFonts w:hint="eastAsia" w:ascii="FangSong_GB2312" w:hAnsi="FangSong_GB2312" w:cs="FangSong_GB2312"/>
          <w:color w:val="000000"/>
          <w:kern w:val="0"/>
          <w:sz w:val="32"/>
          <w:szCs w:val="32"/>
        </w:rPr>
      </w:pPr>
      <w:r>
        <w:rPr>
          <w:b/>
          <w:sz w:val="32"/>
          <w:szCs w:val="32"/>
        </w:rPr>
        <w:t>第三部分</w:t>
      </w:r>
      <w:r>
        <w:rPr>
          <w:rFonts w:ascii="黑体" w:hAnsi="黑体" w:cs="黑体"/>
          <w:b/>
          <w:color w:val="000000"/>
          <w:kern w:val="0"/>
          <w:sz w:val="32"/>
          <w:szCs w:val="32"/>
        </w:rPr>
        <w:t>名词解释</w:t>
      </w:r>
    </w:p>
    <w:p>
      <w:pPr>
        <w:pStyle w:val="7"/>
        <w:rPr>
          <w:b/>
          <w:sz w:val="32"/>
          <w:szCs w:val="32"/>
        </w:rPr>
      </w:pPr>
      <w:r>
        <w:rPr>
          <w:rFonts w:hint="eastAsia"/>
          <w:b/>
          <w:sz w:val="32"/>
          <w:szCs w:val="32"/>
        </w:rPr>
        <w:t>附表：</w:t>
      </w:r>
      <w:r>
        <w:rPr>
          <w:rFonts w:hint="eastAsia"/>
          <w:b/>
          <w:sz w:val="32"/>
          <w:szCs w:val="32"/>
          <w:lang w:eastAsia="zh-CN"/>
        </w:rPr>
        <w:t>2017</w:t>
      </w:r>
      <w:r>
        <w:rPr>
          <w:b/>
          <w:sz w:val="32"/>
          <w:szCs w:val="32"/>
        </w:rPr>
        <w:t>年度</w:t>
      </w:r>
      <w:r>
        <w:rPr>
          <w:rFonts w:hint="eastAsia"/>
          <w:b/>
          <w:sz w:val="32"/>
          <w:szCs w:val="32"/>
          <w:lang w:eastAsia="zh-CN"/>
        </w:rPr>
        <w:t>赞皇县政府办</w:t>
      </w:r>
      <w:r>
        <w:rPr>
          <w:b/>
          <w:sz w:val="32"/>
          <w:szCs w:val="32"/>
        </w:rPr>
        <w:t>部门决算表</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一、收入支出决算总表</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二、收入决算表</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三、支出决算表</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四、财政拨款收入支出决算总表</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五、一般公共预算财政拨款支出决算表</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六、一般公共预算财政拨款基本支出决算表</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七、政府性基金预算财政拨款收入支出决算表</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八、国有资本经营预算财政拨款支出决算表</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九、“三公”经费及相关信息统计表</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十、政府采购情况表</w:t>
      </w:r>
    </w:p>
    <w:p>
      <w:pPr>
        <w:autoSpaceDE w:val="0"/>
        <w:autoSpaceDN w:val="0"/>
        <w:adjustRightInd w:val="0"/>
        <w:ind w:right="-22"/>
        <w:jc w:val="center"/>
        <w:rPr>
          <w:rFonts w:hint="eastAsia" w:ascii="方正小标宋_GBK" w:eastAsia="方正小标宋_GBK"/>
          <w:color w:val="000000"/>
          <w:kern w:val="0"/>
          <w:sz w:val="36"/>
          <w:szCs w:val="36"/>
        </w:rPr>
      </w:pPr>
    </w:p>
    <w:p>
      <w:pPr>
        <w:autoSpaceDE w:val="0"/>
        <w:autoSpaceDN w:val="0"/>
        <w:adjustRightInd w:val="0"/>
        <w:ind w:right="-22"/>
        <w:jc w:val="center"/>
        <w:rPr>
          <w:rFonts w:hint="eastAsia" w:ascii="方正小标宋_GBK" w:eastAsia="方正小标宋_GBK"/>
          <w:color w:val="000000"/>
          <w:kern w:val="0"/>
          <w:sz w:val="36"/>
          <w:szCs w:val="36"/>
        </w:rPr>
      </w:pPr>
    </w:p>
    <w:p>
      <w:pPr>
        <w:autoSpaceDE w:val="0"/>
        <w:autoSpaceDN w:val="0"/>
        <w:adjustRightInd w:val="0"/>
        <w:ind w:right="-22"/>
        <w:jc w:val="center"/>
        <w:rPr>
          <w:rFonts w:hint="eastAsia" w:ascii="方正小标宋_GBK" w:eastAsia="方正小标宋_GBK"/>
          <w:color w:val="000000"/>
          <w:kern w:val="0"/>
          <w:sz w:val="36"/>
          <w:szCs w:val="36"/>
        </w:rPr>
      </w:pPr>
    </w:p>
    <w:p>
      <w:pPr>
        <w:autoSpaceDE w:val="0"/>
        <w:autoSpaceDN w:val="0"/>
        <w:adjustRightInd w:val="0"/>
        <w:ind w:right="-22"/>
        <w:jc w:val="center"/>
        <w:rPr>
          <w:rFonts w:hint="eastAsia" w:ascii="方正小标宋_GBK" w:eastAsia="方正小标宋_GBK"/>
          <w:color w:val="000000"/>
          <w:kern w:val="0"/>
          <w:sz w:val="36"/>
          <w:szCs w:val="36"/>
        </w:rPr>
      </w:pPr>
    </w:p>
    <w:p>
      <w:pPr>
        <w:autoSpaceDE w:val="0"/>
        <w:autoSpaceDN w:val="0"/>
        <w:adjustRightInd w:val="0"/>
        <w:ind w:right="-22"/>
        <w:jc w:val="center"/>
        <w:rPr>
          <w:rFonts w:hint="eastAsia" w:ascii="方正小标宋_GBK" w:eastAsia="方正小标宋_GBK"/>
          <w:color w:val="000000"/>
          <w:kern w:val="0"/>
          <w:sz w:val="36"/>
          <w:szCs w:val="36"/>
        </w:rPr>
      </w:pPr>
    </w:p>
    <w:p>
      <w:pPr>
        <w:autoSpaceDE w:val="0"/>
        <w:autoSpaceDN w:val="0"/>
        <w:adjustRightInd w:val="0"/>
        <w:ind w:right="-22"/>
        <w:jc w:val="center"/>
        <w:rPr>
          <w:rFonts w:hint="eastAsia" w:ascii="方正小标宋_GBK" w:eastAsia="方正小标宋_GBK"/>
          <w:color w:val="000000"/>
          <w:kern w:val="0"/>
          <w:sz w:val="36"/>
          <w:szCs w:val="36"/>
        </w:rPr>
      </w:pPr>
    </w:p>
    <w:p>
      <w:pPr>
        <w:autoSpaceDE w:val="0"/>
        <w:autoSpaceDN w:val="0"/>
        <w:adjustRightInd w:val="0"/>
        <w:ind w:right="-22"/>
        <w:jc w:val="center"/>
        <w:rPr>
          <w:rFonts w:hint="eastAsia" w:ascii="方正小标宋_GBK" w:eastAsia="方正小标宋_GBK"/>
          <w:color w:val="000000"/>
          <w:kern w:val="0"/>
          <w:sz w:val="36"/>
          <w:szCs w:val="36"/>
        </w:rPr>
      </w:pPr>
    </w:p>
    <w:p>
      <w:pPr>
        <w:autoSpaceDE w:val="0"/>
        <w:autoSpaceDN w:val="0"/>
        <w:adjustRightInd w:val="0"/>
        <w:ind w:right="-22"/>
        <w:jc w:val="center"/>
        <w:rPr>
          <w:rFonts w:hint="eastAsia" w:ascii="方正小标宋_GBK" w:eastAsia="方正小标宋_GBK"/>
          <w:color w:val="000000"/>
          <w:kern w:val="0"/>
          <w:sz w:val="36"/>
          <w:szCs w:val="36"/>
        </w:rPr>
      </w:pPr>
    </w:p>
    <w:p>
      <w:pPr>
        <w:autoSpaceDE w:val="0"/>
        <w:autoSpaceDN w:val="0"/>
        <w:adjustRightInd w:val="0"/>
        <w:ind w:right="-22"/>
        <w:jc w:val="center"/>
        <w:rPr>
          <w:rFonts w:hint="eastAsia" w:ascii="方正小标宋_GBK" w:eastAsia="方正小标宋_GBK"/>
          <w:color w:val="000000"/>
          <w:kern w:val="0"/>
          <w:sz w:val="36"/>
          <w:szCs w:val="36"/>
        </w:rPr>
      </w:pPr>
    </w:p>
    <w:p>
      <w:pPr>
        <w:autoSpaceDE w:val="0"/>
        <w:autoSpaceDN w:val="0"/>
        <w:adjustRightInd w:val="0"/>
        <w:ind w:right="-22"/>
        <w:jc w:val="center"/>
        <w:rPr>
          <w:rFonts w:hint="eastAsia" w:ascii="方正小标宋_GBK" w:eastAsia="方正小标宋_GBK"/>
          <w:color w:val="000000"/>
          <w:kern w:val="0"/>
          <w:sz w:val="36"/>
          <w:szCs w:val="36"/>
        </w:rPr>
      </w:pPr>
    </w:p>
    <w:p>
      <w:pPr>
        <w:autoSpaceDE w:val="0"/>
        <w:autoSpaceDN w:val="0"/>
        <w:adjustRightInd w:val="0"/>
        <w:ind w:right="-22"/>
        <w:jc w:val="center"/>
        <w:rPr>
          <w:rFonts w:hint="eastAsia" w:ascii="方正小标宋_GBK" w:eastAsia="方正小标宋_GBK"/>
          <w:color w:val="000000"/>
          <w:kern w:val="0"/>
          <w:sz w:val="36"/>
          <w:szCs w:val="36"/>
        </w:rPr>
      </w:pPr>
    </w:p>
    <w:p>
      <w:pPr>
        <w:autoSpaceDE w:val="0"/>
        <w:autoSpaceDN w:val="0"/>
        <w:adjustRightInd w:val="0"/>
        <w:ind w:right="-22"/>
        <w:jc w:val="center"/>
        <w:rPr>
          <w:rFonts w:hint="eastAsia" w:ascii="方正小标宋_GBK" w:eastAsia="方正小标宋_GBK"/>
          <w:color w:val="000000"/>
          <w:kern w:val="0"/>
          <w:sz w:val="36"/>
          <w:szCs w:val="36"/>
        </w:rPr>
      </w:pPr>
    </w:p>
    <w:p>
      <w:pPr>
        <w:autoSpaceDE w:val="0"/>
        <w:autoSpaceDN w:val="0"/>
        <w:adjustRightInd w:val="0"/>
        <w:ind w:right="-22"/>
        <w:jc w:val="center"/>
        <w:rPr>
          <w:rFonts w:hint="eastAsia" w:ascii="方正小标宋_GBK" w:eastAsia="方正小标宋_GBK"/>
          <w:color w:val="000000"/>
          <w:kern w:val="0"/>
          <w:sz w:val="36"/>
          <w:szCs w:val="36"/>
        </w:rPr>
      </w:pPr>
    </w:p>
    <w:p>
      <w:pPr>
        <w:autoSpaceDE w:val="0"/>
        <w:autoSpaceDN w:val="0"/>
        <w:adjustRightInd w:val="0"/>
        <w:ind w:right="-22"/>
        <w:jc w:val="center"/>
        <w:rPr>
          <w:rFonts w:hint="eastAsia" w:ascii="方正小标宋_GBK" w:eastAsia="方正小标宋_GBK"/>
          <w:color w:val="000000"/>
          <w:kern w:val="0"/>
          <w:sz w:val="36"/>
          <w:szCs w:val="36"/>
        </w:rPr>
      </w:pPr>
    </w:p>
    <w:p>
      <w:pPr>
        <w:autoSpaceDE w:val="0"/>
        <w:autoSpaceDN w:val="0"/>
        <w:adjustRightInd w:val="0"/>
        <w:ind w:right="-22"/>
        <w:jc w:val="center"/>
        <w:rPr>
          <w:rFonts w:hint="eastAsia" w:ascii="方正小标宋_GBK" w:eastAsia="方正小标宋_GBK"/>
          <w:color w:val="000000"/>
          <w:kern w:val="0"/>
          <w:sz w:val="36"/>
          <w:szCs w:val="36"/>
        </w:rPr>
      </w:pPr>
    </w:p>
    <w:p>
      <w:pPr>
        <w:autoSpaceDE w:val="0"/>
        <w:autoSpaceDN w:val="0"/>
        <w:adjustRightInd w:val="0"/>
        <w:ind w:right="-22"/>
        <w:jc w:val="center"/>
        <w:rPr>
          <w:rFonts w:hint="eastAsia" w:ascii="方正小标宋_GBK" w:eastAsia="方正小标宋_GBK"/>
          <w:color w:val="000000"/>
          <w:kern w:val="0"/>
          <w:sz w:val="36"/>
          <w:szCs w:val="36"/>
        </w:rPr>
      </w:pPr>
    </w:p>
    <w:p>
      <w:pPr>
        <w:autoSpaceDE w:val="0"/>
        <w:autoSpaceDN w:val="0"/>
        <w:adjustRightInd w:val="0"/>
        <w:ind w:right="-22"/>
        <w:jc w:val="center"/>
        <w:rPr>
          <w:rFonts w:hint="eastAsia" w:ascii="方正小标宋_GBK" w:eastAsia="方正小标宋_GBK"/>
          <w:color w:val="000000"/>
          <w:kern w:val="0"/>
          <w:sz w:val="36"/>
          <w:szCs w:val="36"/>
        </w:rPr>
      </w:pPr>
    </w:p>
    <w:p>
      <w:pPr>
        <w:autoSpaceDE w:val="0"/>
        <w:autoSpaceDN w:val="0"/>
        <w:adjustRightInd w:val="0"/>
        <w:ind w:right="-22"/>
        <w:jc w:val="center"/>
        <w:rPr>
          <w:rFonts w:hint="eastAsia" w:ascii="方正小标宋_GBK" w:eastAsia="方正小标宋_GBK"/>
          <w:color w:val="000000"/>
          <w:kern w:val="0"/>
          <w:sz w:val="36"/>
          <w:szCs w:val="36"/>
        </w:rPr>
      </w:pPr>
    </w:p>
    <w:p>
      <w:pPr>
        <w:autoSpaceDE w:val="0"/>
        <w:autoSpaceDN w:val="0"/>
        <w:adjustRightInd w:val="0"/>
        <w:ind w:right="-22"/>
        <w:jc w:val="center"/>
        <w:rPr>
          <w:rFonts w:hint="eastAsia" w:ascii="方正小标宋_GBK" w:eastAsia="方正小标宋_GBK"/>
          <w:color w:val="000000"/>
          <w:kern w:val="0"/>
          <w:sz w:val="36"/>
          <w:szCs w:val="36"/>
        </w:rPr>
      </w:pPr>
    </w:p>
    <w:p>
      <w:pPr>
        <w:autoSpaceDE w:val="0"/>
        <w:autoSpaceDN w:val="0"/>
        <w:adjustRightInd w:val="0"/>
        <w:ind w:right="-22"/>
        <w:jc w:val="center"/>
        <w:rPr>
          <w:rFonts w:hint="eastAsia" w:ascii="方正小标宋_GBK" w:eastAsia="方正小标宋_GBK"/>
          <w:color w:val="000000"/>
          <w:kern w:val="0"/>
          <w:sz w:val="36"/>
          <w:szCs w:val="36"/>
        </w:rPr>
      </w:pPr>
      <w:r>
        <w:rPr>
          <w:rFonts w:hint="eastAsia" w:ascii="方正小标宋_GBK" w:eastAsia="方正小标宋_GBK"/>
          <w:color w:val="000000"/>
          <w:kern w:val="0"/>
          <w:sz w:val="36"/>
          <w:szCs w:val="36"/>
        </w:rPr>
        <w:t>第一部分：赞皇县人民政府办公室概况</w:t>
      </w:r>
    </w:p>
    <w:p>
      <w:pPr>
        <w:autoSpaceDE w:val="0"/>
        <w:autoSpaceDN w:val="0"/>
        <w:adjustRightInd w:val="0"/>
        <w:spacing w:after="32"/>
        <w:ind w:right="-22"/>
        <w:jc w:val="left"/>
        <w:rPr>
          <w:color w:val="000000"/>
          <w:kern w:val="0"/>
          <w:sz w:val="24"/>
        </w:rPr>
      </w:pPr>
    </w:p>
    <w:p>
      <w:pPr>
        <w:spacing w:line="600" w:lineRule="exact"/>
        <w:ind w:firstLine="640" w:firstLineChars="200"/>
        <w:jc w:val="left"/>
        <w:rPr>
          <w:rFonts w:hint="eastAsia" w:ascii="黑体" w:hAnsi="黑体" w:eastAsia="黑体" w:cs="黑体"/>
          <w:sz w:val="32"/>
          <w:szCs w:val="32"/>
        </w:rPr>
      </w:pPr>
      <w:r>
        <w:rPr>
          <w:rFonts w:hint="eastAsia" w:ascii="黑体" w:hAnsi="黑体" w:eastAsia="黑体" w:cs="黑体"/>
          <w:sz w:val="32"/>
          <w:szCs w:val="32"/>
        </w:rPr>
        <w:t>一、主要职能</w:t>
      </w:r>
      <w:r>
        <w:rPr>
          <w:rFonts w:ascii="黑体" w:hAnsi="黑体" w:eastAsia="黑体" w:cs="黑体"/>
          <w:sz w:val="32"/>
          <w:szCs w:val="32"/>
        </w:rPr>
        <w:t xml:space="preserve"> </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（一）负责县政府日常事务和文字性材料处理工作。</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（二）负责县政府会议的筹备工作；负责县政府领导参加重要公务活动的安排和组织工作；协助县政府领导组织有关会议决定事项的实施。</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（三）研究县政府各部门和乡镇政府请示县政府的事项，提出审核意见，报县政府领导同志审批。</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（四）根据县政府领导同志的指示，对县政府部门之间出现的争议问题提出处理意见，报县政府领导同志决定。</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（五）负责县政府重要工作贯彻落实情况的督导检查；负责县政府领导同志批示的转达和催办工作的落实。</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（六）协助县政府领导同志组织起草和审核以县政府、县政府办公室名义印发的公文。</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（七）围绕县政府总体工作部署，收集相关信息，负责《信息快报》、《昨日动态》等政府期刊编辑工作；根据县政府领导同志的指示，组织专题调查研究，提出建议；指导县政府各部门、各乡镇的文秘工作。</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（八）负责组织承办县人大、县政协提出需要县政府办理的有关工作；组织办理各级人大代表的批评、建议和意见，以及各级政协委员的提案。</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（九）负责县政府信息公开事宜；</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（十）负责全县政府系统网络信息化办公建设与管理及政务信息工作。</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（十一）负责协调办理全县人民防空工作</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（十二）协助县政府领导做好需由县政府组织处理的突发事件的应急处置工作；指导检查全县应急管理工作。</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（十三）负责县政府值班工作，及时报告重要情况、传达和督促落实县政府领导同志指示。</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（十四）统筹考虑、统一规划县政府的法制工作，拟订县政府法治工作计划，报县政府批准并组织实施。</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（十五）承办县政府及各部门规范性文件的备案审查工作。</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（十六）承办市政府法制办和县人大常委会交办的地方性法规和政府规章草案的征求意见工作。</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（十七）负责依法行政的监督、检查、协调、指导工作，负责县政府重大行政决策的合法性审查工作。</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（十八）协调县政府各部门在实施法律、法规和规章中的争议和问题；承办县政府行政复议工作，受县政府委托，办理诉县政府案件的应诉和行政赔偿工作。</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（十九）负责全县突发公共事件的应急管理和事故灾难应急救援工作。</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（二十）负责地方金融机构和金融中介机构的行业管理和服务，协助县金融监管机构整顿和规范金融秩序</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（二十一）负责联系市政府外事办，协调办理赞皇县外事工作。</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（二十二）负责《赞皇县志》、《赞皇年鉴》，的编纂、修改和出版工作；</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（二十三）承办县政府交办的其他事项。</w:t>
      </w:r>
    </w:p>
    <w:p>
      <w:pPr>
        <w:spacing w:line="600" w:lineRule="exact"/>
        <w:ind w:firstLine="640" w:firstLineChars="200"/>
        <w:jc w:val="left"/>
        <w:rPr>
          <w:rFonts w:hint="eastAsia" w:ascii="黑体" w:hAnsi="黑体" w:eastAsia="黑体" w:cs="黑体"/>
          <w:sz w:val="32"/>
          <w:szCs w:val="32"/>
        </w:rPr>
      </w:pPr>
      <w:r>
        <w:rPr>
          <w:rFonts w:hint="eastAsia" w:ascii="黑体" w:hAnsi="黑体" w:eastAsia="黑体" w:cs="黑体"/>
          <w:sz w:val="32"/>
          <w:szCs w:val="32"/>
        </w:rPr>
        <w:t>二、机构设置</w:t>
      </w:r>
    </w:p>
    <w:p>
      <w:pPr>
        <w:spacing w:line="600" w:lineRule="exact"/>
        <w:jc w:val="center"/>
        <w:outlineLvl w:val="0"/>
        <w:rPr>
          <w:rFonts w:eastAsia="方正小标宋_GBK"/>
          <w:sz w:val="32"/>
        </w:rPr>
      </w:pPr>
    </w:p>
    <w:tbl>
      <w:tblPr>
        <w:tblStyle w:val="5"/>
        <w:tblW w:w="97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64"/>
        <w:gridCol w:w="1887"/>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00" w:hRule="atLeast"/>
          <w:tblHeader/>
          <w:jc w:val="center"/>
        </w:trPr>
        <w:tc>
          <w:tcPr>
            <w:tcW w:w="3664" w:type="dxa"/>
            <w:vMerge w:val="restart"/>
            <w:vAlign w:val="center"/>
          </w:tcPr>
          <w:p>
            <w:pPr>
              <w:spacing w:line="600" w:lineRule="exact"/>
              <w:jc w:val="center"/>
              <w:rPr>
                <w:rFonts w:eastAsia="方正书宋_GBK"/>
                <w:b/>
                <w:sz w:val="24"/>
              </w:rPr>
            </w:pPr>
            <w:r>
              <w:rPr>
                <w:rFonts w:eastAsia="方正书宋_GBK"/>
                <w:b/>
                <w:sz w:val="24"/>
              </w:rPr>
              <w:t>单位名称</w:t>
            </w:r>
          </w:p>
        </w:tc>
        <w:tc>
          <w:tcPr>
            <w:tcW w:w="1887" w:type="dxa"/>
            <w:vMerge w:val="restart"/>
            <w:vAlign w:val="center"/>
          </w:tcPr>
          <w:p>
            <w:pPr>
              <w:spacing w:line="600" w:lineRule="exact"/>
              <w:jc w:val="center"/>
              <w:rPr>
                <w:rFonts w:eastAsia="方正书宋_GBK"/>
                <w:b/>
                <w:sz w:val="24"/>
              </w:rPr>
            </w:pPr>
            <w:r>
              <w:rPr>
                <w:rFonts w:eastAsia="方正书宋_GBK"/>
                <w:b/>
                <w:sz w:val="24"/>
              </w:rPr>
              <w:t>单位性质</w:t>
            </w:r>
          </w:p>
        </w:tc>
        <w:tc>
          <w:tcPr>
            <w:tcW w:w="1276" w:type="dxa"/>
            <w:vMerge w:val="restart"/>
            <w:vAlign w:val="center"/>
          </w:tcPr>
          <w:p>
            <w:pPr>
              <w:spacing w:line="600" w:lineRule="exact"/>
              <w:jc w:val="center"/>
              <w:rPr>
                <w:rFonts w:eastAsia="方正书宋_GBK"/>
                <w:b/>
                <w:sz w:val="24"/>
              </w:rPr>
            </w:pPr>
            <w:r>
              <w:rPr>
                <w:rFonts w:eastAsia="方正书宋_GBK"/>
                <w:b/>
                <w:sz w:val="24"/>
              </w:rPr>
              <w:t>单位规格</w:t>
            </w:r>
          </w:p>
        </w:tc>
        <w:tc>
          <w:tcPr>
            <w:tcW w:w="2902" w:type="dxa"/>
            <w:vMerge w:val="restart"/>
            <w:vAlign w:val="center"/>
          </w:tcPr>
          <w:p>
            <w:pPr>
              <w:spacing w:line="600" w:lineRule="exact"/>
              <w:jc w:val="center"/>
              <w:rPr>
                <w:rFonts w:eastAsia="方正书宋_GBK"/>
                <w:b/>
                <w:sz w:val="24"/>
              </w:rPr>
            </w:pPr>
            <w:r>
              <w:rPr>
                <w:rFonts w:eastAsia="方正书宋_GBK"/>
                <w:b/>
                <w:sz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00" w:hRule="atLeast"/>
          <w:tblHeader/>
          <w:jc w:val="center"/>
        </w:trPr>
        <w:tc>
          <w:tcPr>
            <w:tcW w:w="3664" w:type="dxa"/>
            <w:vMerge w:val="continue"/>
            <w:vAlign w:val="center"/>
          </w:tcPr>
          <w:p>
            <w:pPr>
              <w:spacing w:line="600" w:lineRule="exact"/>
              <w:jc w:val="left"/>
              <w:outlineLvl w:val="0"/>
              <w:rPr>
                <w:sz w:val="24"/>
              </w:rPr>
            </w:pPr>
          </w:p>
        </w:tc>
        <w:tc>
          <w:tcPr>
            <w:tcW w:w="1887" w:type="dxa"/>
            <w:vMerge w:val="continue"/>
            <w:vAlign w:val="center"/>
          </w:tcPr>
          <w:p>
            <w:pPr>
              <w:spacing w:line="600" w:lineRule="exact"/>
              <w:jc w:val="left"/>
              <w:outlineLvl w:val="0"/>
              <w:rPr>
                <w:sz w:val="24"/>
              </w:rPr>
            </w:pPr>
          </w:p>
        </w:tc>
        <w:tc>
          <w:tcPr>
            <w:tcW w:w="1276" w:type="dxa"/>
            <w:vMerge w:val="continue"/>
            <w:vAlign w:val="center"/>
          </w:tcPr>
          <w:p>
            <w:pPr>
              <w:spacing w:line="600" w:lineRule="exact"/>
              <w:jc w:val="left"/>
              <w:outlineLvl w:val="0"/>
              <w:rPr>
                <w:sz w:val="24"/>
              </w:rPr>
            </w:pPr>
          </w:p>
        </w:tc>
        <w:tc>
          <w:tcPr>
            <w:tcW w:w="2902" w:type="dxa"/>
            <w:vMerge w:val="continue"/>
            <w:vAlign w:val="center"/>
          </w:tcPr>
          <w:p>
            <w:pPr>
              <w:spacing w:line="600" w:lineRule="exact"/>
              <w:jc w:val="left"/>
              <w:outlineLvl w:val="0"/>
              <w:rPr>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81" w:hRule="atLeast"/>
          <w:jc w:val="center"/>
        </w:trPr>
        <w:tc>
          <w:tcPr>
            <w:tcW w:w="3664" w:type="dxa"/>
            <w:vAlign w:val="center"/>
          </w:tcPr>
          <w:p>
            <w:pPr>
              <w:spacing w:line="600" w:lineRule="exact"/>
              <w:jc w:val="center"/>
              <w:rPr>
                <w:rFonts w:eastAsia="方正书宋_GBK"/>
                <w:sz w:val="24"/>
              </w:rPr>
            </w:pPr>
            <w:r>
              <w:rPr>
                <w:rFonts w:hint="eastAsia" w:ascii="方正书宋_GBK" w:eastAsia="方正书宋_GBK"/>
                <w:sz w:val="24"/>
              </w:rPr>
              <w:t>赞皇县人民政府办公室</w:t>
            </w:r>
          </w:p>
        </w:tc>
        <w:tc>
          <w:tcPr>
            <w:tcW w:w="1887" w:type="dxa"/>
            <w:vAlign w:val="center"/>
          </w:tcPr>
          <w:p>
            <w:pPr>
              <w:spacing w:line="600" w:lineRule="exact"/>
              <w:jc w:val="center"/>
              <w:rPr>
                <w:rFonts w:eastAsia="方正书宋_GBK"/>
                <w:sz w:val="24"/>
              </w:rPr>
            </w:pPr>
            <w:r>
              <w:rPr>
                <w:rFonts w:hint="eastAsia" w:ascii="方正书宋_GBK" w:eastAsia="方正书宋_GBK"/>
                <w:sz w:val="24"/>
              </w:rPr>
              <w:t>行政</w:t>
            </w:r>
          </w:p>
        </w:tc>
        <w:tc>
          <w:tcPr>
            <w:tcW w:w="1276" w:type="dxa"/>
            <w:vAlign w:val="center"/>
          </w:tcPr>
          <w:p>
            <w:pPr>
              <w:spacing w:line="600" w:lineRule="exact"/>
              <w:jc w:val="center"/>
              <w:rPr>
                <w:rFonts w:eastAsia="方正书宋_GBK"/>
                <w:sz w:val="24"/>
              </w:rPr>
            </w:pPr>
            <w:r>
              <w:rPr>
                <w:rFonts w:hint="eastAsia" w:ascii="方正书宋_GBK" w:eastAsia="方正书宋_GBK"/>
                <w:sz w:val="24"/>
              </w:rPr>
              <w:t>正科级</w:t>
            </w:r>
          </w:p>
        </w:tc>
        <w:tc>
          <w:tcPr>
            <w:tcW w:w="2902" w:type="dxa"/>
            <w:vAlign w:val="center"/>
          </w:tcPr>
          <w:p>
            <w:pPr>
              <w:spacing w:line="600" w:lineRule="exact"/>
              <w:jc w:val="center"/>
              <w:rPr>
                <w:rFonts w:eastAsia="方正书宋_GBK"/>
                <w:sz w:val="24"/>
              </w:rPr>
            </w:pPr>
            <w:r>
              <w:rPr>
                <w:rFonts w:hint="eastAsia" w:ascii="方正书宋_GBK" w:eastAsia="方正书宋_GBK"/>
                <w:sz w:val="24"/>
              </w:rPr>
              <w:t>财政拨款</w:t>
            </w:r>
          </w:p>
        </w:tc>
      </w:tr>
    </w:tbl>
    <w:p>
      <w:pPr>
        <w:autoSpaceDE w:val="0"/>
        <w:autoSpaceDN w:val="0"/>
        <w:adjustRightInd w:val="0"/>
        <w:spacing w:line="624" w:lineRule="atLeast"/>
        <w:ind w:right="-22"/>
        <w:jc w:val="left"/>
        <w:rPr>
          <w:rFonts w:ascii="宋体" w:cs="宋体"/>
          <w:color w:val="000000"/>
          <w:spacing w:val="-480"/>
          <w:kern w:val="0"/>
          <w:position w:val="1"/>
          <w:sz w:val="48"/>
          <w:szCs w:val="48"/>
          <w:lang w:val="zh-CN"/>
        </w:rPr>
      </w:pPr>
    </w:p>
    <w:p>
      <w:pPr>
        <w:ind w:left="2372" w:hanging="2372" w:hangingChars="537"/>
        <w:rPr>
          <w:rFonts w:hint="eastAsia"/>
          <w:b/>
          <w:sz w:val="44"/>
          <w:szCs w:val="44"/>
        </w:rPr>
      </w:pPr>
    </w:p>
    <w:p>
      <w:pPr>
        <w:ind w:left="2372" w:hanging="2372" w:hangingChars="537"/>
        <w:rPr>
          <w:rFonts w:hint="eastAsia"/>
          <w:b/>
          <w:sz w:val="44"/>
          <w:szCs w:val="44"/>
        </w:rPr>
      </w:pPr>
    </w:p>
    <w:p>
      <w:pPr>
        <w:ind w:left="2372" w:hanging="2372" w:hangingChars="537"/>
        <w:rPr>
          <w:rFonts w:hint="eastAsia"/>
          <w:b/>
          <w:sz w:val="44"/>
          <w:szCs w:val="44"/>
        </w:rPr>
      </w:pPr>
    </w:p>
    <w:p>
      <w:pPr>
        <w:rPr>
          <w:rFonts w:hint="eastAsia"/>
          <w:b/>
          <w:sz w:val="44"/>
          <w:szCs w:val="44"/>
        </w:rPr>
      </w:pPr>
    </w:p>
    <w:p>
      <w:pPr>
        <w:autoSpaceDE w:val="0"/>
        <w:autoSpaceDN w:val="0"/>
        <w:adjustRightInd w:val="0"/>
        <w:spacing w:line="623" w:lineRule="atLeast"/>
        <w:ind w:right="-22"/>
        <w:jc w:val="center"/>
        <w:rPr>
          <w:rFonts w:ascii="方正小标宋_GBK" w:eastAsia="方正小标宋_GBK"/>
          <w:b/>
          <w:bCs/>
          <w:color w:val="000000"/>
          <w:kern w:val="0"/>
          <w:sz w:val="36"/>
          <w:szCs w:val="36"/>
        </w:rPr>
      </w:pPr>
      <w:r>
        <w:rPr>
          <w:rFonts w:hint="eastAsia" w:ascii="方正小标宋_GBK" w:eastAsia="方正小标宋_GBK"/>
          <w:color w:val="000000"/>
          <w:kern w:val="0"/>
          <w:sz w:val="36"/>
          <w:szCs w:val="36"/>
        </w:rPr>
        <w:t>第</w:t>
      </w:r>
      <w:r>
        <w:rPr>
          <w:rFonts w:hint="eastAsia" w:ascii="方正小标宋_GBK" w:eastAsia="方正小标宋_GBK"/>
          <w:color w:val="000000"/>
          <w:kern w:val="0"/>
          <w:sz w:val="36"/>
          <w:szCs w:val="36"/>
          <w:lang w:eastAsia="zh-CN"/>
        </w:rPr>
        <w:t>二</w:t>
      </w:r>
      <w:r>
        <w:rPr>
          <w:rFonts w:hint="eastAsia" w:ascii="方正小标宋_GBK" w:eastAsia="方正小标宋_GBK"/>
          <w:color w:val="000000"/>
          <w:kern w:val="0"/>
          <w:sz w:val="36"/>
          <w:szCs w:val="36"/>
        </w:rPr>
        <w:t>部分：赞皇县人民政府办公室决算情况说明</w:t>
      </w:r>
    </w:p>
    <w:p>
      <w:pPr>
        <w:autoSpaceDE w:val="0"/>
        <w:autoSpaceDN w:val="0"/>
        <w:adjustRightInd w:val="0"/>
        <w:ind w:right="-22"/>
        <w:jc w:val="center"/>
        <w:rPr>
          <w:b/>
          <w:bCs/>
          <w:color w:val="000000"/>
          <w:kern w:val="0"/>
          <w:sz w:val="24"/>
        </w:rPr>
      </w:pP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firstLineChars="200"/>
        <w:jc w:val="left"/>
        <w:rPr>
          <w:rFonts w:hint="eastAsia" w:ascii="黑体" w:hAnsi="黑体" w:eastAsia="黑体" w:cs="宋体"/>
          <w:sz w:val="32"/>
          <w:szCs w:val="32"/>
        </w:rPr>
      </w:pPr>
      <w:r>
        <w:rPr>
          <w:rFonts w:hint="eastAsia" w:ascii="黑体" w:hAnsi="黑体" w:eastAsia="黑体" w:cs="宋体"/>
          <w:sz w:val="32"/>
          <w:szCs w:val="32"/>
        </w:rPr>
        <w:t>一、</w:t>
      </w:r>
      <w:r>
        <w:rPr>
          <w:rFonts w:hint="eastAsia" w:ascii="黑体" w:hAnsi="黑体" w:eastAsia="黑体" w:cs="宋体"/>
          <w:sz w:val="32"/>
          <w:szCs w:val="32"/>
          <w:lang w:eastAsia="zh-CN"/>
        </w:rPr>
        <w:t>2017</w:t>
      </w:r>
      <w:r>
        <w:rPr>
          <w:rFonts w:hint="eastAsia" w:ascii="黑体" w:hAnsi="黑体" w:eastAsia="黑体" w:cs="宋体"/>
          <w:sz w:val="32"/>
          <w:szCs w:val="32"/>
        </w:rPr>
        <w:t>年度收入支出总表情况说明</w:t>
      </w:r>
    </w:p>
    <w:p>
      <w:pPr>
        <w:spacing w:line="600" w:lineRule="exact"/>
        <w:ind w:firstLine="640" w:firstLineChars="200"/>
        <w:outlineLvl w:val="0"/>
        <w:rPr>
          <w:rFonts w:hint="eastAsia" w:ascii="仿宋_GB2312" w:hAnsi="仿宋" w:eastAsia="仿宋_GB2312" w:cs="仿宋"/>
          <w:sz w:val="32"/>
          <w:szCs w:val="32"/>
        </w:rPr>
      </w:pPr>
      <w:r>
        <w:rPr>
          <w:rFonts w:hint="eastAsia" w:ascii="仿宋_GB2312" w:hAnsi="仿宋" w:eastAsia="仿宋_GB2312" w:cs="仿宋"/>
          <w:sz w:val="32"/>
          <w:szCs w:val="32"/>
          <w:lang w:eastAsia="zh-CN"/>
        </w:rPr>
        <w:t>2017</w:t>
      </w:r>
      <w:r>
        <w:rPr>
          <w:rFonts w:hint="eastAsia" w:ascii="仿宋_GB2312" w:hAnsi="仿宋" w:eastAsia="仿宋_GB2312" w:cs="仿宋"/>
          <w:sz w:val="32"/>
          <w:szCs w:val="32"/>
        </w:rPr>
        <w:t>年度政府办预算收入资金共</w:t>
      </w:r>
      <w:r>
        <w:rPr>
          <w:rFonts w:hint="eastAsia" w:ascii="仿宋_GB2312" w:hAnsi="仿宋" w:eastAsia="仿宋_GB2312" w:cs="仿宋"/>
          <w:sz w:val="32"/>
          <w:szCs w:val="32"/>
          <w:lang w:val="en-US" w:eastAsia="zh-CN"/>
        </w:rPr>
        <w:t>851.57</w:t>
      </w:r>
      <w:r>
        <w:rPr>
          <w:rFonts w:hint="eastAsia" w:ascii="仿宋_GB2312" w:hAnsi="仿宋" w:eastAsia="仿宋_GB2312" w:cs="仿宋"/>
          <w:sz w:val="32"/>
          <w:szCs w:val="32"/>
        </w:rPr>
        <w:t>万元，决算支出资金共</w:t>
      </w:r>
      <w:r>
        <w:rPr>
          <w:rFonts w:hint="eastAsia" w:ascii="仿宋_GB2312" w:hAnsi="仿宋" w:eastAsia="仿宋_GB2312" w:cs="仿宋"/>
          <w:sz w:val="32"/>
          <w:szCs w:val="32"/>
          <w:lang w:val="en-US" w:eastAsia="zh-CN"/>
        </w:rPr>
        <w:t>851.57</w:t>
      </w:r>
      <w:r>
        <w:rPr>
          <w:rFonts w:hint="eastAsia" w:ascii="仿宋_GB2312" w:hAnsi="仿宋" w:eastAsia="仿宋_GB2312" w:cs="仿宋"/>
          <w:sz w:val="32"/>
          <w:szCs w:val="32"/>
        </w:rPr>
        <w:t>万元，全部来源于财政拨款。</w:t>
      </w:r>
    </w:p>
    <w:p>
      <w:pPr>
        <w:rPr>
          <w:rFonts w:hint="eastAsia" w:ascii="仿宋_GB2312" w:hAnsi="仿宋_GB2312" w:eastAsia="仿宋_GB2312" w:cs="仿宋_GB2312"/>
          <w:color w:val="000000"/>
          <w:kern w:val="0"/>
          <w:sz w:val="32"/>
          <w:szCs w:val="32"/>
          <w:lang w:eastAsia="zh-CN"/>
        </w:rPr>
      </w:pPr>
      <w:r>
        <w:rPr>
          <w:rFonts w:hint="eastAsia" w:ascii="仿宋_GB2312" w:hAnsi="仿宋_GB2312" w:eastAsia="仿宋_GB2312" w:cs="仿宋_GB2312"/>
          <w:color w:val="000000"/>
          <w:kern w:val="0"/>
          <w:sz w:val="32"/>
          <w:szCs w:val="32"/>
          <w:lang w:eastAsia="zh-CN"/>
        </w:rPr>
        <w:drawing>
          <wp:inline distT="0" distB="0" distL="114300" distR="114300">
            <wp:extent cx="4898390" cy="2257425"/>
            <wp:effectExtent l="4445" t="4445" r="12065" b="5080"/>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pPr>
        <w:spacing w:line="600" w:lineRule="exact"/>
        <w:ind w:firstLine="640" w:firstLineChars="200"/>
        <w:outlineLvl w:val="0"/>
        <w:rPr>
          <w:rFonts w:hint="eastAsia" w:ascii="黑体" w:hAnsi="黑体" w:eastAsia="黑体" w:cs="仿宋"/>
          <w:sz w:val="32"/>
          <w:szCs w:val="32"/>
        </w:rPr>
      </w:pPr>
      <w:r>
        <w:rPr>
          <w:rFonts w:hint="eastAsia" w:ascii="黑体" w:hAnsi="黑体" w:eastAsia="黑体" w:cs="仿宋"/>
          <w:sz w:val="32"/>
          <w:szCs w:val="32"/>
        </w:rPr>
        <w:t>二、</w:t>
      </w:r>
      <w:r>
        <w:rPr>
          <w:rFonts w:hint="eastAsia" w:ascii="黑体" w:hAnsi="黑体" w:eastAsia="黑体" w:cs="仿宋"/>
          <w:sz w:val="32"/>
          <w:szCs w:val="32"/>
          <w:lang w:eastAsia="zh-CN"/>
        </w:rPr>
        <w:t>2017</w:t>
      </w:r>
      <w:r>
        <w:rPr>
          <w:rFonts w:hint="eastAsia" w:ascii="黑体" w:hAnsi="黑体" w:eastAsia="黑体" w:cs="仿宋"/>
          <w:sz w:val="32"/>
          <w:szCs w:val="32"/>
        </w:rPr>
        <w:t>年度一般公共预算财政拨款收入支出决算总表情况</w:t>
      </w:r>
    </w:p>
    <w:p>
      <w:pPr>
        <w:spacing w:line="600" w:lineRule="exact"/>
        <w:ind w:firstLine="640" w:firstLineChars="200"/>
        <w:outlineLvl w:val="0"/>
        <w:rPr>
          <w:rFonts w:hint="eastAsia" w:ascii="仿宋_GB2312" w:hAnsi="仿宋" w:eastAsia="仿宋_GB2312" w:cs="仿宋"/>
          <w:sz w:val="32"/>
          <w:szCs w:val="32"/>
        </w:rPr>
      </w:pPr>
      <w:r>
        <w:rPr>
          <w:rFonts w:hint="eastAsia" w:ascii="仿宋_GB2312" w:hAnsi="仿宋" w:eastAsia="仿宋_GB2312" w:cs="仿宋"/>
          <w:sz w:val="32"/>
          <w:szCs w:val="32"/>
          <w:lang w:eastAsia="zh-CN"/>
        </w:rPr>
        <w:t>2017</w:t>
      </w:r>
      <w:r>
        <w:rPr>
          <w:rFonts w:hint="eastAsia" w:ascii="仿宋_GB2312" w:hAnsi="仿宋" w:eastAsia="仿宋_GB2312" w:cs="仿宋"/>
          <w:sz w:val="32"/>
          <w:szCs w:val="32"/>
        </w:rPr>
        <w:t>年度政府办决算支出资金共计</w:t>
      </w:r>
      <w:r>
        <w:rPr>
          <w:rFonts w:hint="eastAsia" w:ascii="仿宋_GB2312" w:hAnsi="仿宋" w:eastAsia="仿宋_GB2312" w:cs="仿宋"/>
          <w:sz w:val="32"/>
          <w:szCs w:val="32"/>
          <w:lang w:val="en-US" w:eastAsia="zh-CN"/>
        </w:rPr>
        <w:t>851.57</w:t>
      </w:r>
      <w:r>
        <w:rPr>
          <w:rFonts w:hint="eastAsia" w:ascii="仿宋_GB2312" w:hAnsi="仿宋" w:eastAsia="仿宋_GB2312" w:cs="仿宋"/>
          <w:sz w:val="32"/>
          <w:szCs w:val="32"/>
        </w:rPr>
        <w:t>万元。主要用于人员经费支出352.05万元，日常公用经费支出</w:t>
      </w:r>
      <w:r>
        <w:rPr>
          <w:rFonts w:hint="eastAsia" w:ascii="仿宋_GB2312" w:hAnsi="仿宋" w:eastAsia="仿宋_GB2312" w:cs="仿宋"/>
          <w:sz w:val="32"/>
          <w:szCs w:val="32"/>
          <w:lang w:val="en-US" w:eastAsia="zh-CN"/>
        </w:rPr>
        <w:t>367.38</w:t>
      </w:r>
      <w:r>
        <w:rPr>
          <w:rFonts w:hint="eastAsia" w:ascii="仿宋_GB2312" w:hAnsi="仿宋" w:eastAsia="仿宋_GB2312" w:cs="仿宋"/>
          <w:sz w:val="32"/>
          <w:szCs w:val="32"/>
        </w:rPr>
        <w:t>万元，</w:t>
      </w:r>
      <w:r>
        <w:rPr>
          <w:rFonts w:hint="eastAsia" w:ascii="仿宋_GB2312" w:hAnsi="仿宋" w:eastAsia="仿宋_GB2312" w:cs="仿宋"/>
          <w:sz w:val="32"/>
          <w:szCs w:val="32"/>
          <w:lang w:val="en-US" w:eastAsia="zh-CN"/>
        </w:rPr>
        <w:t>项目</w:t>
      </w:r>
      <w:r>
        <w:rPr>
          <w:rFonts w:hint="eastAsia" w:ascii="仿宋_GB2312" w:hAnsi="仿宋" w:eastAsia="仿宋_GB2312" w:cs="仿宋"/>
          <w:sz w:val="32"/>
          <w:szCs w:val="32"/>
        </w:rPr>
        <w:t>支出132.13万元。主要用于政府行政权力运行、政府事务日常运作、政府重大事项部署及特殊事项的开展等。</w:t>
      </w:r>
    </w:p>
    <w:p>
      <w:pPr>
        <w:rPr>
          <w:rFonts w:hint="eastAsia" w:ascii="仿宋_GB2312" w:hAnsi="仿宋_GB2312" w:eastAsia="仿宋_GB2312" w:cs="仿宋_GB2312"/>
          <w:color w:val="000000"/>
          <w:kern w:val="0"/>
          <w:sz w:val="32"/>
          <w:szCs w:val="32"/>
          <w:lang w:eastAsia="zh-CN"/>
        </w:rPr>
      </w:pPr>
      <w:bookmarkStart w:id="1" w:name="_GoBack"/>
      <w:r>
        <w:rPr>
          <w:rFonts w:hint="eastAsia" w:ascii="仿宋_GB2312" w:hAnsi="仿宋_GB2312" w:eastAsia="仿宋_GB2312" w:cs="仿宋_GB2312"/>
          <w:color w:val="000000"/>
          <w:kern w:val="0"/>
          <w:sz w:val="32"/>
          <w:szCs w:val="32"/>
          <w:lang w:eastAsia="zh-CN"/>
        </w:rPr>
        <w:drawing>
          <wp:inline distT="0" distB="0" distL="114300" distR="114300">
            <wp:extent cx="5099050" cy="2304415"/>
            <wp:effectExtent l="5080" t="4445" r="20320" b="15240"/>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bookmarkEnd w:id="1"/>
    </w:p>
    <w:p>
      <w:pPr>
        <w:spacing w:line="600" w:lineRule="exact"/>
        <w:ind w:firstLine="640" w:firstLineChars="200"/>
        <w:jc w:val="left"/>
        <w:rPr>
          <w:rFonts w:hint="eastAsia" w:ascii="黑体" w:hAnsi="黑体" w:eastAsia="黑体"/>
          <w:sz w:val="32"/>
          <w:szCs w:val="32"/>
        </w:rPr>
      </w:pPr>
      <w:r>
        <w:rPr>
          <w:rFonts w:hint="eastAsia" w:ascii="黑体" w:hAnsi="黑体" w:eastAsia="黑体"/>
          <w:sz w:val="32"/>
          <w:szCs w:val="32"/>
        </w:rPr>
        <w:t>三、</w:t>
      </w:r>
      <w:r>
        <w:rPr>
          <w:rFonts w:hint="eastAsia" w:ascii="黑体" w:hAnsi="黑体" w:eastAsia="黑体"/>
          <w:sz w:val="32"/>
          <w:szCs w:val="32"/>
          <w:lang w:eastAsia="zh-CN"/>
        </w:rPr>
        <w:t>2017</w:t>
      </w:r>
      <w:r>
        <w:rPr>
          <w:rFonts w:hint="eastAsia" w:ascii="黑体" w:hAnsi="黑体" w:eastAsia="黑体"/>
          <w:sz w:val="32"/>
          <w:szCs w:val="32"/>
        </w:rPr>
        <w:t>年度一般公共预算财政拨款支出情况说明</w:t>
      </w:r>
    </w:p>
    <w:p>
      <w:pPr>
        <w:spacing w:line="600" w:lineRule="exact"/>
        <w:ind w:firstLine="640" w:firstLineChars="200"/>
        <w:jc w:val="left"/>
        <w:rPr>
          <w:rFonts w:ascii="仿宋_GB2312" w:hAnsi="仿宋_GB2312" w:eastAsia="仿宋_GB2312" w:cs="仿宋_GB2312"/>
          <w:sz w:val="32"/>
          <w:szCs w:val="32"/>
        </w:rPr>
      </w:pPr>
      <w:r>
        <w:rPr>
          <w:rFonts w:hint="eastAsia" w:ascii="仿宋_GB2312" w:hAnsi="仿宋" w:eastAsia="仿宋_GB2312" w:cs="仿宋"/>
          <w:sz w:val="32"/>
          <w:szCs w:val="32"/>
          <w:lang w:eastAsia="zh-CN"/>
        </w:rPr>
        <w:t>2017</w:t>
      </w:r>
      <w:r>
        <w:rPr>
          <w:rFonts w:hint="eastAsia" w:ascii="仿宋_GB2312" w:hAnsi="仿宋" w:eastAsia="仿宋_GB2312" w:cs="仿宋"/>
          <w:sz w:val="32"/>
          <w:szCs w:val="32"/>
        </w:rPr>
        <w:t>年度政府办预算收入资金共</w:t>
      </w:r>
      <w:r>
        <w:rPr>
          <w:rFonts w:hint="eastAsia" w:ascii="仿宋_GB2312" w:hAnsi="仿宋" w:eastAsia="仿宋_GB2312" w:cs="仿宋"/>
          <w:sz w:val="32"/>
          <w:szCs w:val="32"/>
          <w:lang w:val="en-US" w:eastAsia="zh-CN"/>
        </w:rPr>
        <w:t>851.57</w:t>
      </w:r>
      <w:r>
        <w:rPr>
          <w:rFonts w:hint="eastAsia" w:ascii="仿宋_GB2312" w:hAnsi="仿宋" w:eastAsia="仿宋_GB2312" w:cs="仿宋"/>
          <w:sz w:val="32"/>
          <w:szCs w:val="32"/>
        </w:rPr>
        <w:t>万元，决算支出资金包括人员经费支出352.05万元、公用经费支出</w:t>
      </w:r>
      <w:r>
        <w:rPr>
          <w:rFonts w:hint="eastAsia" w:ascii="仿宋_GB2312" w:hAnsi="仿宋" w:eastAsia="仿宋_GB2312" w:cs="仿宋"/>
          <w:sz w:val="32"/>
          <w:szCs w:val="32"/>
          <w:lang w:val="en-US" w:eastAsia="zh-CN"/>
        </w:rPr>
        <w:t>367.38</w:t>
      </w:r>
      <w:r>
        <w:rPr>
          <w:rFonts w:hint="eastAsia" w:ascii="仿宋_GB2312" w:hAnsi="仿宋" w:eastAsia="仿宋_GB2312" w:cs="仿宋"/>
          <w:sz w:val="32"/>
          <w:szCs w:val="32"/>
        </w:rPr>
        <w:t>万元</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lang w:val="en-US" w:eastAsia="zh-CN"/>
        </w:rPr>
        <w:t>项目</w:t>
      </w:r>
      <w:r>
        <w:rPr>
          <w:rFonts w:hint="eastAsia" w:ascii="仿宋_GB2312" w:hAnsi="仿宋" w:eastAsia="仿宋_GB2312" w:cs="仿宋"/>
          <w:sz w:val="32"/>
          <w:szCs w:val="32"/>
        </w:rPr>
        <w:t>支出132.13万元，共计</w:t>
      </w:r>
      <w:r>
        <w:rPr>
          <w:rFonts w:hint="eastAsia" w:ascii="仿宋_GB2312" w:hAnsi="仿宋" w:eastAsia="仿宋_GB2312" w:cs="仿宋"/>
          <w:sz w:val="32"/>
          <w:szCs w:val="32"/>
          <w:lang w:val="en-US" w:eastAsia="zh-CN"/>
        </w:rPr>
        <w:t>851.57</w:t>
      </w:r>
      <w:r>
        <w:rPr>
          <w:rFonts w:hint="eastAsia" w:ascii="仿宋_GB2312" w:hAnsi="仿宋" w:eastAsia="仿宋_GB2312" w:cs="仿宋"/>
          <w:sz w:val="32"/>
          <w:szCs w:val="32"/>
        </w:rPr>
        <w:t>万元。与201</w:t>
      </w:r>
      <w:r>
        <w:rPr>
          <w:rFonts w:hint="eastAsia" w:ascii="仿宋_GB2312" w:hAnsi="仿宋" w:eastAsia="仿宋_GB2312" w:cs="仿宋"/>
          <w:sz w:val="32"/>
          <w:szCs w:val="32"/>
          <w:lang w:val="en-US" w:eastAsia="zh-CN"/>
        </w:rPr>
        <w:t>6</w:t>
      </w:r>
      <w:r>
        <w:rPr>
          <w:rFonts w:hint="eastAsia" w:ascii="仿宋_GB2312" w:hAnsi="仿宋" w:eastAsia="仿宋_GB2312" w:cs="仿宋"/>
          <w:sz w:val="32"/>
          <w:szCs w:val="32"/>
        </w:rPr>
        <w:t xml:space="preserve"> 年相比</w:t>
      </w:r>
      <w:r>
        <w:rPr>
          <w:rFonts w:hint="eastAsia" w:ascii="仿宋_GB2312" w:hAnsi="仿宋" w:eastAsia="仿宋_GB2312" w:cs="仿宋"/>
          <w:sz w:val="32"/>
          <w:szCs w:val="32"/>
          <w:lang w:val="en-US" w:eastAsia="zh-CN"/>
        </w:rPr>
        <w:t>减少437.62</w:t>
      </w:r>
      <w:r>
        <w:rPr>
          <w:rFonts w:hint="eastAsia" w:ascii="仿宋_GB2312" w:hAnsi="仿宋" w:eastAsia="仿宋_GB2312" w:cs="仿宋"/>
          <w:sz w:val="32"/>
          <w:szCs w:val="32"/>
        </w:rPr>
        <w:t>万元。</w:t>
      </w:r>
    </w:p>
    <w:p>
      <w:pPr>
        <w:spacing w:line="600" w:lineRule="exact"/>
        <w:ind w:firstLine="640" w:firstLineChars="200"/>
        <w:rPr>
          <w:rFonts w:hint="eastAsia" w:ascii="黑体" w:hAnsi="黑体" w:eastAsia="黑体" w:cs="宋体"/>
          <w:sz w:val="32"/>
          <w:szCs w:val="32"/>
        </w:rPr>
      </w:pPr>
      <w:r>
        <w:rPr>
          <w:rFonts w:hint="eastAsia" w:ascii="黑体" w:hAnsi="黑体" w:eastAsia="黑体" w:cs="宋体"/>
          <w:sz w:val="32"/>
          <w:szCs w:val="32"/>
        </w:rPr>
        <w:t>四、</w:t>
      </w:r>
      <w:r>
        <w:rPr>
          <w:rFonts w:hint="eastAsia" w:ascii="黑体" w:hAnsi="黑体" w:eastAsia="黑体" w:cs="宋体"/>
          <w:sz w:val="32"/>
          <w:szCs w:val="32"/>
          <w:lang w:eastAsia="zh-CN"/>
        </w:rPr>
        <w:t>2017</w:t>
      </w:r>
      <w:r>
        <w:rPr>
          <w:rFonts w:hint="eastAsia" w:ascii="黑体" w:hAnsi="黑体" w:eastAsia="黑体" w:cs="宋体"/>
          <w:sz w:val="32"/>
          <w:szCs w:val="32"/>
        </w:rPr>
        <w:t>年度一般公共预算财政拨款“三公”经费支出情 况说明</w:t>
      </w:r>
    </w:p>
    <w:p>
      <w:pPr>
        <w:spacing w:line="600" w:lineRule="exact"/>
        <w:ind w:firstLine="640" w:firstLineChars="200"/>
        <w:rPr>
          <w:rFonts w:ascii="仿宋_GB2312" w:eastAsia="仿宋_GB2312"/>
          <w:sz w:val="32"/>
          <w:szCs w:val="32"/>
        </w:rPr>
      </w:pPr>
      <w:r>
        <w:rPr>
          <w:rFonts w:hint="eastAsia" w:ascii="仿宋_GB2312" w:eastAsia="仿宋_GB2312"/>
          <w:sz w:val="32"/>
          <w:szCs w:val="32"/>
          <w:lang w:eastAsia="zh-CN"/>
        </w:rPr>
        <w:t>2017</w:t>
      </w:r>
      <w:r>
        <w:rPr>
          <w:rFonts w:hint="eastAsia" w:ascii="仿宋_GB2312" w:eastAsia="仿宋_GB2312"/>
          <w:sz w:val="32"/>
          <w:szCs w:val="32"/>
        </w:rPr>
        <w:t>年度政府办严格执行八项规定，例行勤俭节约，“三公”经费决算</w:t>
      </w:r>
      <w:r>
        <w:rPr>
          <w:rFonts w:hint="eastAsia" w:ascii="仿宋_GB2312" w:eastAsia="仿宋_GB2312"/>
          <w:sz w:val="32"/>
          <w:szCs w:val="32"/>
          <w:lang w:val="en-US" w:eastAsia="zh-CN"/>
        </w:rPr>
        <w:t>30.69</w:t>
      </w:r>
      <w:r>
        <w:rPr>
          <w:rFonts w:hint="eastAsia" w:ascii="仿宋_GB2312" w:eastAsia="仿宋_GB2312"/>
          <w:sz w:val="32"/>
          <w:szCs w:val="32"/>
        </w:rPr>
        <w:t>万元。</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eastAsia="仿宋_GB2312"/>
          <w:sz w:val="32"/>
          <w:szCs w:val="32"/>
        </w:rPr>
        <w:t>1、因公出国（境）</w:t>
      </w:r>
      <w:r>
        <w:rPr>
          <w:rFonts w:hint="eastAsia" w:ascii="仿宋_GB2312" w:eastAsia="仿宋_GB2312"/>
          <w:sz w:val="32"/>
          <w:szCs w:val="32"/>
          <w:lang w:val="en-US" w:eastAsia="zh-CN"/>
        </w:rPr>
        <w:t>6.67</w:t>
      </w:r>
      <w:r>
        <w:rPr>
          <w:rFonts w:hint="eastAsia" w:ascii="仿宋_GB2312" w:hAnsi="仿宋_GB2312" w:eastAsia="仿宋_GB2312" w:cs="仿宋_GB2312"/>
          <w:sz w:val="32"/>
          <w:szCs w:val="32"/>
        </w:rPr>
        <w:t>万元。根据国务院港澳事务办公室赴港澳任务通知书（港出通字【</w:t>
      </w:r>
      <w:r>
        <w:rPr>
          <w:rFonts w:hint="eastAsia" w:ascii="仿宋_GB2312" w:hAnsi="仿宋_GB2312" w:eastAsia="仿宋_GB2312" w:cs="仿宋_GB2312"/>
          <w:sz w:val="32"/>
          <w:szCs w:val="32"/>
          <w:lang w:eastAsia="zh-CN"/>
        </w:rPr>
        <w:t>2017</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号）要求，</w:t>
      </w:r>
      <w:r>
        <w:rPr>
          <w:rFonts w:hint="eastAsia" w:ascii="仿宋_GB2312" w:hAnsi="仿宋_GB2312" w:eastAsia="仿宋_GB2312" w:cs="仿宋_GB2312"/>
          <w:sz w:val="32"/>
          <w:szCs w:val="32"/>
          <w:lang w:val="en-US" w:eastAsia="zh-CN"/>
        </w:rPr>
        <w:t>白玉平、王大雷</w:t>
      </w:r>
      <w:r>
        <w:rPr>
          <w:rFonts w:hint="eastAsia" w:ascii="仿宋_GB2312" w:hAnsi="仿宋_GB2312" w:eastAsia="仿宋_GB2312" w:cs="仿宋_GB2312"/>
          <w:sz w:val="32"/>
          <w:szCs w:val="32"/>
        </w:rPr>
        <w:t>同志随国务院港澳事务办公室团组于</w:t>
      </w:r>
      <w:r>
        <w:rPr>
          <w:rFonts w:hint="eastAsia" w:ascii="仿宋_GB2312" w:hAnsi="仿宋_GB2312" w:eastAsia="仿宋_GB2312" w:cs="仿宋_GB2312"/>
          <w:sz w:val="32"/>
          <w:szCs w:val="32"/>
          <w:lang w:eastAsia="zh-CN"/>
        </w:rPr>
        <w:t>2017</w:t>
      </w:r>
      <w:r>
        <w:rPr>
          <w:rFonts w:hint="eastAsia" w:ascii="仿宋_GB2312" w:hAnsi="仿宋_GB2312" w:eastAsia="仿宋_GB2312" w:cs="仿宋_GB2312"/>
          <w:sz w:val="32"/>
          <w:szCs w:val="32"/>
        </w:rPr>
        <w:t>年11月</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日——24日赴香港、澳门参加</w:t>
      </w:r>
      <w:r>
        <w:rPr>
          <w:rFonts w:hint="eastAsia" w:ascii="仿宋_GB2312" w:hAnsi="仿宋_GB2312" w:eastAsia="仿宋_GB2312" w:cs="仿宋_GB2312"/>
          <w:sz w:val="32"/>
          <w:szCs w:val="32"/>
          <w:lang w:eastAsia="zh-CN"/>
        </w:rPr>
        <w:t>2017</w:t>
      </w:r>
      <w:r>
        <w:rPr>
          <w:rFonts w:hint="eastAsia" w:ascii="仿宋_GB2312" w:hAnsi="仿宋_GB2312" w:eastAsia="仿宋_GB2312" w:cs="仿宋_GB2312"/>
          <w:sz w:val="32"/>
          <w:szCs w:val="32"/>
        </w:rPr>
        <w:t>年港澳区情研讨班学习。</w:t>
      </w:r>
    </w:p>
    <w:p>
      <w:pPr>
        <w:spacing w:line="600" w:lineRule="exact"/>
        <w:ind w:firstLine="640" w:firstLineChars="200"/>
        <w:rPr>
          <w:rFonts w:hint="eastAsia" w:ascii="仿宋_GB2312" w:eastAsia="仿宋_GB2312"/>
          <w:sz w:val="32"/>
          <w:szCs w:val="32"/>
        </w:rPr>
      </w:pPr>
      <w:r>
        <w:rPr>
          <w:rFonts w:ascii="仿宋_GB2312" w:eastAsia="仿宋_GB2312"/>
          <w:sz w:val="32"/>
          <w:szCs w:val="32"/>
        </w:rPr>
        <w:t>2</w:t>
      </w:r>
      <w:r>
        <w:rPr>
          <w:rFonts w:hint="eastAsia" w:ascii="仿宋_GB2312" w:eastAsia="仿宋_GB2312"/>
          <w:sz w:val="32"/>
          <w:szCs w:val="32"/>
        </w:rPr>
        <w:t>、</w:t>
      </w:r>
      <w:r>
        <w:rPr>
          <w:rFonts w:hint="eastAsia" w:ascii="仿宋_GB2312" w:hAnsi="仿宋_GB2312" w:eastAsia="仿宋_GB2312" w:cs="仿宋_GB2312"/>
          <w:sz w:val="32"/>
          <w:szCs w:val="32"/>
        </w:rPr>
        <w:t>公务用车购置及运维费</w:t>
      </w:r>
      <w:r>
        <w:rPr>
          <w:rFonts w:hint="eastAsia" w:ascii="仿宋_GB2312" w:hAnsi="仿宋_GB2312" w:eastAsia="仿宋_GB2312" w:cs="仿宋_GB2312"/>
          <w:sz w:val="32"/>
          <w:szCs w:val="32"/>
          <w:lang w:val="en-US" w:eastAsia="zh-CN"/>
        </w:rPr>
        <w:t>23.24</w:t>
      </w:r>
      <w:r>
        <w:rPr>
          <w:rFonts w:hint="eastAsia" w:ascii="仿宋_GB2312" w:hAnsi="仿宋_GB2312" w:eastAsia="仿宋_GB2312" w:cs="仿宋_GB2312"/>
          <w:sz w:val="32"/>
          <w:szCs w:val="32"/>
        </w:rPr>
        <w:t>万元（公务用车购置0元，公务用车保有量</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辆，公务用车运行维护费</w:t>
      </w:r>
      <w:r>
        <w:rPr>
          <w:rFonts w:hint="eastAsia" w:ascii="仿宋_GB2312" w:hAnsi="仿宋_GB2312" w:eastAsia="仿宋_GB2312" w:cs="仿宋_GB2312"/>
          <w:sz w:val="32"/>
          <w:szCs w:val="32"/>
          <w:lang w:val="en-US" w:eastAsia="zh-CN"/>
        </w:rPr>
        <w:t>23.24</w:t>
      </w:r>
      <w:r>
        <w:rPr>
          <w:rFonts w:hint="eastAsia" w:ascii="仿宋_GB2312" w:hAnsi="仿宋_GB2312" w:eastAsia="仿宋_GB2312" w:cs="仿宋_GB2312"/>
          <w:sz w:val="32"/>
          <w:szCs w:val="32"/>
        </w:rPr>
        <w:t>万元）</w:t>
      </w:r>
      <w:r>
        <w:rPr>
          <w:rFonts w:ascii="仿宋_GB2312" w:eastAsia="仿宋_GB2312"/>
          <w:sz w:val="32"/>
          <w:szCs w:val="32"/>
        </w:rPr>
        <w:t>。</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3、</w:t>
      </w:r>
      <w:r>
        <w:rPr>
          <w:rFonts w:hint="eastAsia" w:ascii="仿宋_GB2312" w:hAnsi="仿宋_GB2312" w:eastAsia="仿宋_GB2312" w:cs="仿宋_GB2312"/>
          <w:sz w:val="32"/>
          <w:szCs w:val="32"/>
        </w:rPr>
        <w:t>公务接待费0.</w:t>
      </w:r>
      <w:r>
        <w:rPr>
          <w:rFonts w:ascii="仿宋_GB2312" w:hAnsi="仿宋_GB2312" w:eastAsia="仿宋_GB2312" w:cs="仿宋_GB2312"/>
          <w:sz w:val="32"/>
          <w:szCs w:val="32"/>
        </w:rPr>
        <w:t>78</w:t>
      </w:r>
      <w:r>
        <w:rPr>
          <w:rFonts w:hint="eastAsia" w:ascii="仿宋_GB2312" w:hAnsi="仿宋_GB2312" w:eastAsia="仿宋_GB2312" w:cs="仿宋_GB2312"/>
          <w:sz w:val="32"/>
          <w:szCs w:val="32"/>
        </w:rPr>
        <w:t>万元</w:t>
      </w:r>
      <w:r>
        <w:rPr>
          <w:rFonts w:hint="eastAsia" w:ascii="仿宋_GB2312" w:eastAsia="仿宋_GB2312"/>
          <w:sz w:val="32"/>
          <w:szCs w:val="32"/>
        </w:rPr>
        <w:t>。</w:t>
      </w:r>
    </w:p>
    <w:p>
      <w:pPr>
        <w:spacing w:line="600" w:lineRule="exact"/>
        <w:ind w:firstLine="640" w:firstLineChars="200"/>
        <w:rPr>
          <w:rFonts w:hint="eastAsia" w:ascii="黑体" w:hAnsi="黑体" w:eastAsia="黑体" w:cs="宋体"/>
          <w:sz w:val="32"/>
          <w:szCs w:val="32"/>
        </w:rPr>
      </w:pPr>
      <w:r>
        <w:rPr>
          <w:rFonts w:hint="eastAsia" w:ascii="黑体" w:hAnsi="黑体" w:eastAsia="黑体" w:cs="宋体"/>
          <w:sz w:val="32"/>
          <w:szCs w:val="32"/>
        </w:rPr>
        <w:t>五、</w:t>
      </w:r>
      <w:r>
        <w:rPr>
          <w:rFonts w:hint="eastAsia" w:ascii="黑体" w:hAnsi="黑体" w:eastAsia="黑体" w:cs="宋体"/>
          <w:sz w:val="32"/>
          <w:szCs w:val="32"/>
          <w:lang w:eastAsia="zh-CN"/>
        </w:rPr>
        <w:t>2017</w:t>
      </w:r>
      <w:r>
        <w:rPr>
          <w:rFonts w:hint="eastAsia" w:ascii="黑体" w:hAnsi="黑体" w:eastAsia="黑体" w:cs="宋体"/>
          <w:sz w:val="32"/>
          <w:szCs w:val="32"/>
        </w:rPr>
        <w:t>年度政府性基金预算财政拨款收入支出情况说 明</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我部门</w:t>
      </w:r>
      <w:r>
        <w:rPr>
          <w:rFonts w:hint="eastAsia" w:ascii="仿宋_GB2312" w:eastAsia="仿宋_GB2312"/>
          <w:sz w:val="32"/>
          <w:szCs w:val="32"/>
          <w:lang w:eastAsia="zh-CN"/>
        </w:rPr>
        <w:t>2017</w:t>
      </w:r>
      <w:r>
        <w:rPr>
          <w:rFonts w:hint="eastAsia" w:ascii="仿宋_GB2312" w:eastAsia="仿宋_GB2312"/>
          <w:sz w:val="32"/>
          <w:szCs w:val="32"/>
        </w:rPr>
        <w:t>年度政府性基金财政拨款收入0万元，比上年增加</w:t>
      </w:r>
      <w:r>
        <w:rPr>
          <w:rFonts w:hint="eastAsia" w:ascii="宋体" w:hAnsi="宋体" w:cs="宋体"/>
          <w:sz w:val="32"/>
          <w:szCs w:val="32"/>
        </w:rPr>
        <w:t>0</w:t>
      </w:r>
      <w:r>
        <w:rPr>
          <w:rFonts w:hint="eastAsia" w:ascii="仿宋_GB2312" w:hAnsi="仿宋_GB2312" w:eastAsia="仿宋_GB2312" w:cs="仿宋_GB2312"/>
          <w:sz w:val="32"/>
          <w:szCs w:val="32"/>
        </w:rPr>
        <w:t>万元，政府性基金预算财政拨款支出</w:t>
      </w:r>
      <w:r>
        <w:rPr>
          <w:rFonts w:hint="eastAsia" w:ascii="宋体" w:hAnsi="宋体" w:cs="宋体"/>
          <w:sz w:val="32"/>
          <w:szCs w:val="32"/>
        </w:rPr>
        <w:t>0</w:t>
      </w:r>
      <w:r>
        <w:rPr>
          <w:rFonts w:hint="eastAsia" w:ascii="仿宋_GB2312" w:hAnsi="仿宋_GB2312" w:eastAsia="仿宋_GB2312" w:cs="仿宋_GB2312"/>
          <w:sz w:val="32"/>
          <w:szCs w:val="32"/>
        </w:rPr>
        <w:t>万元</w:t>
      </w:r>
      <w:r>
        <w:rPr>
          <w:rFonts w:hint="eastAsia" w:ascii="仿宋_GB2312" w:eastAsia="仿宋_GB2312"/>
          <w:sz w:val="32"/>
          <w:szCs w:val="32"/>
        </w:rPr>
        <w:t>。</w:t>
      </w:r>
    </w:p>
    <w:p>
      <w:pPr>
        <w:autoSpaceDE w:val="0"/>
        <w:autoSpaceDN w:val="0"/>
        <w:adjustRightInd w:val="0"/>
        <w:spacing w:line="600" w:lineRule="exact"/>
        <w:ind w:firstLine="640" w:firstLineChars="200"/>
        <w:jc w:val="left"/>
        <w:rPr>
          <w:rFonts w:hint="eastAsia" w:ascii="黑体" w:hAnsi="黑体" w:eastAsia="黑体" w:cs="宋体-方正超大字符集"/>
          <w:bCs/>
          <w:sz w:val="32"/>
          <w:szCs w:val="32"/>
          <w:lang w:val="en-US" w:eastAsia="zh-CN"/>
        </w:rPr>
      </w:pPr>
      <w:r>
        <w:rPr>
          <w:rFonts w:hint="eastAsia" w:ascii="黑体" w:hAnsi="黑体" w:eastAsia="黑体" w:cs="宋体-方正超大字符集"/>
          <w:bCs/>
          <w:sz w:val="32"/>
          <w:szCs w:val="32"/>
        </w:rPr>
        <w:t>六、</w:t>
      </w:r>
      <w:r>
        <w:rPr>
          <w:rFonts w:hint="eastAsia" w:ascii="黑体" w:hAnsi="黑体" w:eastAsia="黑体" w:cs="宋体-方正超大字符集"/>
          <w:bCs/>
          <w:sz w:val="32"/>
          <w:szCs w:val="32"/>
          <w:lang w:val="en-US" w:eastAsia="zh-CN"/>
        </w:rPr>
        <w:t>2017年度预算绩效情况说明</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1、制定绩效评价指标体系。对应四个层次的绩效评价体系，建立了部门整体支出、工作活动、预算项目、财政政策绩效评价指标框架体系，有效保障了绩效评价工作的顺利开展。</w:t>
      </w:r>
    </w:p>
    <w:p>
      <w:pPr>
        <w:spacing w:line="60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2、组织开展绩效评价。按规范格式编制部门绩效预算文本并将绩效评价报告反馈被评价部门，并要求部门在限期内对发现问题进行整改，部门将整改报告反馈财政局的，将绩效评价结果运用于下年度预算安排。</w:t>
      </w:r>
    </w:p>
    <w:p>
      <w:pPr>
        <w:autoSpaceDE w:val="0"/>
        <w:autoSpaceDN w:val="0"/>
        <w:adjustRightInd w:val="0"/>
        <w:spacing w:line="600" w:lineRule="exact"/>
        <w:ind w:firstLine="640" w:firstLineChars="200"/>
        <w:jc w:val="left"/>
        <w:rPr>
          <w:rFonts w:hint="eastAsia" w:ascii="黑体" w:hAnsi="黑体" w:eastAsia="黑体" w:cs="宋体-方正超大字符集"/>
          <w:bCs/>
          <w:sz w:val="32"/>
          <w:szCs w:val="32"/>
        </w:rPr>
      </w:pPr>
      <w:r>
        <w:rPr>
          <w:rFonts w:hint="eastAsia" w:ascii="黑体" w:hAnsi="黑体" w:eastAsia="黑体" w:cs="宋体-方正超大字符集"/>
          <w:bCs/>
          <w:sz w:val="32"/>
          <w:szCs w:val="32"/>
          <w:lang w:eastAsia="zh-CN"/>
        </w:rPr>
        <w:t>七、2017</w:t>
      </w:r>
      <w:r>
        <w:rPr>
          <w:rFonts w:hint="eastAsia" w:ascii="黑体" w:hAnsi="黑体" w:eastAsia="黑体" w:cs="宋体-方正超大字符集"/>
          <w:bCs/>
          <w:sz w:val="32"/>
          <w:szCs w:val="32"/>
        </w:rPr>
        <w:t>年度其他重要事项情况说明</w:t>
      </w:r>
    </w:p>
    <w:p>
      <w:pPr>
        <w:keepNext w:val="0"/>
        <w:keepLines w:val="0"/>
        <w:pageBreakBefore w:val="0"/>
        <w:widowControl w:val="0"/>
        <w:kinsoku/>
        <w:wordWrap/>
        <w:overflowPunct/>
        <w:topLinePunct w:val="0"/>
        <w:bidi w:val="0"/>
        <w:snapToGrid/>
        <w:spacing w:line="60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（一）机关运行经费支出情况的说明</w:t>
      </w:r>
    </w:p>
    <w:p>
      <w:pPr>
        <w:keepNext w:val="0"/>
        <w:keepLines w:val="0"/>
        <w:pageBreakBefore w:val="0"/>
        <w:widowControl w:val="0"/>
        <w:kinsoku/>
        <w:wordWrap/>
        <w:overflowPunct/>
        <w:topLinePunct w:val="0"/>
        <w:autoSpaceDE w:val="0"/>
        <w:autoSpaceDN w:val="0"/>
        <w:bidi w:val="0"/>
        <w:adjustRightInd w:val="0"/>
        <w:snapToGrid/>
        <w:spacing w:before="0" w:beforeAutospacing="0" w:after="0" w:afterAutospacing="0"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2017</w:t>
      </w:r>
      <w:r>
        <w:rPr>
          <w:rFonts w:hint="eastAsia" w:ascii="仿宋_GB2312" w:hAnsi="仿宋_GB2312" w:eastAsia="仿宋_GB2312" w:cs="仿宋_GB2312"/>
          <w:sz w:val="32"/>
          <w:szCs w:val="32"/>
        </w:rPr>
        <w:t xml:space="preserve"> 年度机关运行经费支出</w:t>
      </w:r>
      <w:r>
        <w:rPr>
          <w:rFonts w:hint="eastAsia" w:ascii="仿宋_GB2312" w:hAnsi="仿宋_GB2312" w:eastAsia="仿宋_GB2312" w:cs="仿宋_GB2312"/>
          <w:sz w:val="32"/>
          <w:szCs w:val="32"/>
          <w:lang w:val="en-US" w:eastAsia="zh-CN"/>
        </w:rPr>
        <w:t>367.38</w:t>
      </w:r>
      <w:r>
        <w:rPr>
          <w:rFonts w:hint="eastAsia" w:ascii="仿宋_GB2312" w:hAnsi="仿宋_GB2312" w:eastAsia="仿宋_GB2312" w:cs="仿宋_GB2312"/>
          <w:sz w:val="32"/>
          <w:szCs w:val="32"/>
        </w:rPr>
        <w:t>万元，比 201</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减少</w:t>
      </w:r>
      <w:r>
        <w:rPr>
          <w:rFonts w:hint="eastAsia" w:ascii="仿宋_GB2312" w:hAnsi="仿宋_GB2312" w:eastAsia="仿宋_GB2312" w:cs="仿宋_GB2312"/>
          <w:sz w:val="32"/>
          <w:szCs w:val="32"/>
        </w:rPr>
        <w:t>5</w:t>
      </w:r>
      <w:r>
        <w:rPr>
          <w:rFonts w:hint="eastAsia" w:ascii="仿宋_GB2312" w:hAnsi="仿宋_GB2312" w:eastAsia="仿宋_GB2312" w:cs="仿宋_GB2312"/>
          <w:sz w:val="32"/>
          <w:szCs w:val="32"/>
          <w:lang w:val="en-US" w:eastAsia="zh-CN"/>
        </w:rPr>
        <w:t>64.45</w:t>
      </w:r>
      <w:r>
        <w:rPr>
          <w:rFonts w:hint="eastAsia" w:ascii="仿宋_GB2312" w:hAnsi="仿宋_GB2312" w:eastAsia="仿宋_GB2312" w:cs="仿宋_GB2312"/>
          <w:sz w:val="32"/>
          <w:szCs w:val="32"/>
        </w:rPr>
        <w:t>万元。主要原因为严格执行八项规定，厉行勤俭节约，减少公车运行费和公务接待费支出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以及本年度项目支出减少。</w:t>
      </w:r>
      <w:r>
        <w:rPr>
          <w:rFonts w:hint="eastAsia" w:ascii="仿宋_GB2312" w:hAnsi="仿宋_GB2312" w:eastAsia="仿宋_GB2312" w:cs="仿宋_GB2312"/>
          <w:sz w:val="32"/>
          <w:szCs w:val="32"/>
        </w:rPr>
        <w:t>本年度无公务用车购置。</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（二）政府采购支出情况 </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2017</w:t>
      </w:r>
      <w:r>
        <w:rPr>
          <w:rFonts w:hint="eastAsia" w:ascii="仿宋_GB2312" w:hAnsi="仿宋_GB2312" w:eastAsia="仿宋_GB2312" w:cs="仿宋_GB2312"/>
          <w:sz w:val="32"/>
          <w:szCs w:val="32"/>
        </w:rPr>
        <w:t xml:space="preserve"> 年度政府采购支出总额</w:t>
      </w:r>
      <w:r>
        <w:rPr>
          <w:rFonts w:hint="eastAsia" w:ascii="仿宋_GB2312" w:hAnsi="仿宋_GB2312" w:eastAsia="仿宋_GB2312" w:cs="仿宋_GB2312"/>
          <w:sz w:val="32"/>
          <w:szCs w:val="32"/>
          <w:lang w:val="en-US" w:eastAsia="zh-CN"/>
        </w:rPr>
        <w:t>74.85</w:t>
      </w:r>
      <w:r>
        <w:rPr>
          <w:rFonts w:hint="eastAsia" w:ascii="仿宋_GB2312" w:hAnsi="仿宋_GB2312" w:eastAsia="仿宋_GB2312" w:cs="仿宋_GB2312"/>
          <w:sz w:val="32"/>
          <w:szCs w:val="32"/>
        </w:rPr>
        <w:t>万元，其中：政府采购货物支出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万元、政府采购工程支出</w:t>
      </w:r>
      <w:r>
        <w:rPr>
          <w:rFonts w:hint="eastAsia" w:ascii="仿宋_GB2312" w:hAnsi="仿宋_GB2312" w:eastAsia="仿宋_GB2312" w:cs="仿宋_GB2312"/>
          <w:sz w:val="32"/>
          <w:szCs w:val="32"/>
          <w:lang w:val="en-US" w:eastAsia="zh-CN"/>
        </w:rPr>
        <w:t>74.85</w:t>
      </w:r>
      <w:r>
        <w:rPr>
          <w:rFonts w:hint="eastAsia" w:ascii="仿宋_GB2312" w:hAnsi="仿宋_GB2312" w:eastAsia="仿宋_GB2312" w:cs="仿宋_GB2312"/>
          <w:sz w:val="32"/>
          <w:szCs w:val="32"/>
        </w:rPr>
        <w:t>万元、政府采购服务支出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 xml:space="preserve">万元。 </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（三）国有资产占用情况 </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截至 </w:t>
      </w:r>
      <w:r>
        <w:rPr>
          <w:rFonts w:hint="eastAsia" w:ascii="仿宋_GB2312" w:hAnsi="仿宋_GB2312" w:eastAsia="仿宋_GB2312" w:cs="仿宋_GB2312"/>
          <w:sz w:val="32"/>
          <w:szCs w:val="32"/>
          <w:lang w:eastAsia="zh-CN"/>
        </w:rPr>
        <w:t>2017</w:t>
      </w:r>
      <w:r>
        <w:rPr>
          <w:rFonts w:hint="eastAsia" w:ascii="仿宋_GB2312" w:hAnsi="仿宋_GB2312" w:eastAsia="仿宋_GB2312" w:cs="仿宋_GB2312"/>
          <w:sz w:val="32"/>
          <w:szCs w:val="32"/>
        </w:rPr>
        <w:t xml:space="preserve"> 年 12 月 31 日，本部门共有车辆</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辆，其中，一般公务用车</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辆；单位价值 50 万元以上通用设备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台（套），单价100 万元以上专用设备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w:t>
      </w:r>
    </w:p>
    <w:p>
      <w:pPr>
        <w:numPr>
          <w:ilvl w:val="0"/>
          <w:numId w:val="1"/>
        </w:numPr>
        <w:spacing w:line="60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政府性基金预算财政拨款收入支出决算表，</w:t>
      </w:r>
      <w:r>
        <w:rPr>
          <w:rFonts w:hint="eastAsia" w:ascii="仿宋_GB2312" w:hAnsi="仿宋_GB2312" w:eastAsia="仿宋_GB2312" w:cs="仿宋_GB2312"/>
          <w:sz w:val="32"/>
          <w:szCs w:val="32"/>
          <w:lang w:val="en-US" w:eastAsia="zh-CN"/>
        </w:rPr>
        <w:t>空表列示。</w:t>
      </w:r>
    </w:p>
    <w:p>
      <w:pPr>
        <w:numPr>
          <w:ilvl w:val="0"/>
          <w:numId w:val="1"/>
        </w:numPr>
        <w:spacing w:line="60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国有资本经营预算财政拨款收入支出决算表，空表列示。</w:t>
      </w:r>
    </w:p>
    <w:p>
      <w:pPr>
        <w:spacing w:line="600" w:lineRule="exact"/>
        <w:rPr>
          <w:rFonts w:hint="eastAsia" w:ascii="仿宋_GB2312" w:hAnsi="仿宋_GB2312" w:eastAsia="仿宋_GB2312" w:cs="仿宋_GB2312"/>
          <w:sz w:val="32"/>
          <w:szCs w:val="32"/>
        </w:rPr>
      </w:pPr>
    </w:p>
    <w:p>
      <w:pPr>
        <w:spacing w:line="600" w:lineRule="exact"/>
        <w:rPr>
          <w:rFonts w:hint="eastAsia" w:ascii="仿宋_GB2312" w:hAnsi="仿宋_GB2312" w:eastAsia="仿宋_GB2312" w:cs="仿宋_GB2312"/>
          <w:sz w:val="32"/>
          <w:szCs w:val="32"/>
        </w:rPr>
      </w:pPr>
    </w:p>
    <w:p>
      <w:pPr>
        <w:spacing w:line="600" w:lineRule="exact"/>
        <w:jc w:val="center"/>
        <w:rPr>
          <w:rFonts w:hint="eastAsia" w:ascii="黑体" w:hAnsi="黑体" w:eastAsia="黑体"/>
          <w:sz w:val="36"/>
          <w:szCs w:val="36"/>
        </w:rPr>
      </w:pPr>
      <w:r>
        <w:rPr>
          <w:rFonts w:hint="eastAsia" w:ascii="方正小标宋_GBK" w:eastAsia="方正小标宋_GBK"/>
          <w:color w:val="000000"/>
          <w:kern w:val="0"/>
          <w:sz w:val="36"/>
          <w:szCs w:val="36"/>
        </w:rPr>
        <w:t>第</w:t>
      </w:r>
      <w:r>
        <w:rPr>
          <w:rFonts w:hint="eastAsia" w:ascii="方正小标宋_GBK" w:eastAsia="方正小标宋_GBK"/>
          <w:color w:val="000000"/>
          <w:kern w:val="0"/>
          <w:sz w:val="36"/>
          <w:szCs w:val="36"/>
          <w:lang w:eastAsia="zh-CN"/>
        </w:rPr>
        <w:t>三</w:t>
      </w:r>
      <w:r>
        <w:rPr>
          <w:rFonts w:hint="eastAsia" w:ascii="方正小标宋_GBK" w:eastAsia="方正小标宋_GBK"/>
          <w:color w:val="000000"/>
          <w:kern w:val="0"/>
          <w:sz w:val="36"/>
          <w:szCs w:val="36"/>
        </w:rPr>
        <w:t>部分：</w:t>
      </w:r>
      <w:r>
        <w:rPr>
          <w:rFonts w:ascii="方正小标宋_GBK" w:eastAsia="方正小标宋_GBK"/>
          <w:color w:val="000000"/>
          <w:kern w:val="0"/>
          <w:sz w:val="36"/>
          <w:szCs w:val="36"/>
        </w:rPr>
        <w:t>名词解释</w:t>
      </w:r>
    </w:p>
    <w:p>
      <w:pPr>
        <w:spacing w:line="600" w:lineRule="exact"/>
        <w:ind w:firstLine="640" w:firstLineChars="200"/>
        <w:rPr>
          <w:rFonts w:hint="eastAsia" w:ascii="仿宋_GB2312" w:eastAsia="仿宋_GB2312"/>
          <w:sz w:val="32"/>
          <w:szCs w:val="32"/>
        </w:rPr>
      </w:pPr>
    </w:p>
    <w:p>
      <w:pPr>
        <w:numPr>
          <w:ilvl w:val="0"/>
          <w:numId w:val="2"/>
        </w:numPr>
        <w:adjustRightInd w:val="0"/>
        <w:snapToGrid w:val="0"/>
        <w:spacing w:line="600" w:lineRule="exact"/>
        <w:ind w:firstLine="630"/>
        <w:outlineLvl w:val="0"/>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上年结转和结余：指以前年度尚未完成、结转到本年按有关规定继续使用的资金。</w:t>
      </w:r>
    </w:p>
    <w:p>
      <w:pPr>
        <w:adjustRightInd w:val="0"/>
        <w:snapToGrid w:val="0"/>
        <w:spacing w:line="600" w:lineRule="exact"/>
        <w:ind w:firstLine="630"/>
        <w:outlineLvl w:val="0"/>
        <w:rPr>
          <w:rFonts w:ascii="FangSong_GB2312" w:hAnsi="仿宋" w:eastAsia="FangSong_GB2312"/>
          <w:sz w:val="32"/>
          <w:szCs w:val="32"/>
        </w:rPr>
      </w:pPr>
      <w:r>
        <w:rPr>
          <w:rFonts w:hint="eastAsia" w:ascii="FangSong_GB2312" w:hAnsi="仿宋" w:eastAsia="FangSong_GB2312"/>
          <w:sz w:val="32"/>
          <w:szCs w:val="32"/>
          <w:lang w:val="en-US" w:eastAsia="zh-CN"/>
        </w:rPr>
        <w:t>2.</w:t>
      </w:r>
      <w:r>
        <w:rPr>
          <w:rFonts w:hint="eastAsia" w:ascii="仿宋_GB2312" w:hAnsi="仿宋_GB2312" w:eastAsia="仿宋_GB2312" w:cs="仿宋_GB2312"/>
          <w:color w:val="000000"/>
          <w:kern w:val="0"/>
          <w:sz w:val="32"/>
          <w:szCs w:val="32"/>
        </w:rPr>
        <w:t>其他收入：指除上述“财政拨款收入”、“上级补助收入”、“事业收入”、“经营收入”、“附属单位上缴收入”等以外的收入。</w:t>
      </w:r>
    </w:p>
    <w:p>
      <w:pPr>
        <w:adjustRightInd w:val="0"/>
        <w:snapToGrid w:val="0"/>
        <w:spacing w:line="600" w:lineRule="exact"/>
        <w:ind w:firstLine="640" w:firstLineChars="200"/>
        <w:outlineLvl w:val="0"/>
        <w:rPr>
          <w:rFonts w:hint="eastAsia" w:ascii="FangSong_GB2312" w:hAnsi="仿宋" w:eastAsia="FangSong_GB2312"/>
          <w:sz w:val="32"/>
          <w:szCs w:val="32"/>
          <w:lang w:val="en-US" w:eastAsia="zh-CN"/>
        </w:rPr>
      </w:pPr>
      <w:r>
        <w:rPr>
          <w:rFonts w:hint="eastAsia" w:ascii="FangSong_GB2312" w:hAnsi="仿宋" w:eastAsia="FangSong_GB2312"/>
          <w:sz w:val="32"/>
          <w:szCs w:val="32"/>
          <w:lang w:val="en-US" w:eastAsia="zh-CN"/>
        </w:rPr>
        <w:t>3.财政拨款收入：财政预算拨款收入是指财政部门核拨给单位的财政预算资金。包括市局核拨给单位的财政预算资金、区财政核拨给单位的财政预算资金。</w:t>
      </w:r>
    </w:p>
    <w:p>
      <w:pPr>
        <w:adjustRightInd w:val="0"/>
        <w:snapToGrid w:val="0"/>
        <w:spacing w:line="600" w:lineRule="exact"/>
        <w:ind w:firstLine="630"/>
        <w:outlineLvl w:val="0"/>
        <w:rPr>
          <w:rFonts w:hint="eastAsia" w:ascii="FangSong_GB2312" w:hAnsi="仿宋" w:eastAsia="FangSong_GB2312"/>
          <w:sz w:val="32"/>
          <w:szCs w:val="32"/>
          <w:lang w:val="en-US" w:eastAsia="zh-CN"/>
        </w:rPr>
      </w:pPr>
      <w:r>
        <w:rPr>
          <w:rFonts w:hint="eastAsia" w:ascii="FangSong_GB2312" w:hAnsi="仿宋" w:eastAsia="FangSong_GB2312"/>
          <w:sz w:val="32"/>
          <w:szCs w:val="32"/>
          <w:lang w:val="en-US" w:eastAsia="zh-CN"/>
        </w:rPr>
        <w:t>4.财政支出：也称公共支出或政府支出，是政府为履行其自身的职能，对其从私人部门集中起来的以货币形式表示的社会资源的支配和使用。</w:t>
      </w:r>
    </w:p>
    <w:p>
      <w:pPr>
        <w:adjustRightInd w:val="0"/>
        <w:snapToGrid w:val="0"/>
        <w:spacing w:line="600" w:lineRule="exact"/>
        <w:ind w:firstLine="630"/>
        <w:outlineLvl w:val="0"/>
        <w:rPr>
          <w:rFonts w:hint="eastAsia" w:ascii="FangSong_GB2312" w:hAnsi="仿宋" w:eastAsia="FangSong_GB2312"/>
          <w:sz w:val="32"/>
          <w:szCs w:val="32"/>
          <w:lang w:val="en-US" w:eastAsia="zh-CN"/>
        </w:rPr>
      </w:pPr>
      <w:r>
        <w:rPr>
          <w:rFonts w:hint="eastAsia" w:ascii="FangSong_GB2312" w:hAnsi="仿宋" w:eastAsia="FangSong_GB2312"/>
          <w:sz w:val="32"/>
          <w:szCs w:val="32"/>
          <w:lang w:val="en-US" w:eastAsia="zh-CN"/>
        </w:rPr>
        <w:t>5.一般公共预算：是对以税收为主体的财政收入，安排用于保障和改善民生、推动经济社会发展、维护国家安全、维持国家机构正常运转等方面的收支预算。</w:t>
      </w:r>
    </w:p>
    <w:p>
      <w:pPr>
        <w:adjustRightInd w:val="0"/>
        <w:snapToGrid w:val="0"/>
        <w:spacing w:line="600" w:lineRule="exact"/>
        <w:ind w:firstLine="630"/>
        <w:outlineLvl w:val="0"/>
        <w:rPr>
          <w:rFonts w:hint="eastAsia" w:ascii="FangSong_GB2312" w:hAnsi="仿宋" w:eastAsia="FangSong_GB2312"/>
          <w:sz w:val="32"/>
          <w:szCs w:val="32"/>
          <w:lang w:val="en-US" w:eastAsia="zh-CN"/>
        </w:rPr>
      </w:pPr>
      <w:r>
        <w:rPr>
          <w:rFonts w:hint="eastAsia" w:ascii="FangSong_GB2312" w:hAnsi="仿宋" w:eastAsia="FangSong_GB2312"/>
          <w:sz w:val="32"/>
          <w:szCs w:val="32"/>
          <w:lang w:val="en-US" w:eastAsia="zh-CN"/>
        </w:rPr>
        <w:t>6.公用经费：公用经费按单位编制内实有在职人数核定， 对超编人员财政不供给任何公用经费。</w:t>
      </w:r>
    </w:p>
    <w:p>
      <w:pPr>
        <w:adjustRightInd w:val="0"/>
        <w:snapToGrid w:val="0"/>
        <w:spacing w:line="600" w:lineRule="exact"/>
        <w:ind w:firstLine="630"/>
        <w:outlineLvl w:val="0"/>
        <w:rPr>
          <w:rFonts w:hint="eastAsia" w:ascii="FangSong_GB2312" w:hAnsi="仿宋" w:eastAsia="FangSong_GB2312"/>
          <w:sz w:val="32"/>
          <w:szCs w:val="32"/>
          <w:lang w:val="en-US" w:eastAsia="zh-CN"/>
        </w:rPr>
      </w:pPr>
      <w:r>
        <w:rPr>
          <w:rFonts w:hint="eastAsia" w:ascii="FangSong_GB2312" w:hAnsi="仿宋" w:eastAsia="FangSong_GB2312"/>
          <w:sz w:val="32"/>
          <w:szCs w:val="32"/>
          <w:lang w:val="en-US" w:eastAsia="zh-CN"/>
        </w:rPr>
        <w:t>7.人员经费：是指中国国家预算拨给行政、事业单位的经费中，用于各类人员的劳动报酬、生活津贴和福利补助等开支的部分。</w:t>
      </w:r>
    </w:p>
    <w:p>
      <w:pPr>
        <w:adjustRightInd w:val="0"/>
        <w:snapToGrid w:val="0"/>
        <w:spacing w:line="600" w:lineRule="exact"/>
        <w:ind w:firstLine="630"/>
        <w:outlineLvl w:val="0"/>
        <w:rPr>
          <w:rFonts w:hint="eastAsia" w:ascii="FangSong_GB2312" w:hAnsi="仿宋" w:eastAsia="FangSong_GB2312"/>
          <w:sz w:val="32"/>
          <w:szCs w:val="32"/>
          <w:lang w:val="en-US" w:eastAsia="zh-CN"/>
        </w:rPr>
      </w:pPr>
      <w:r>
        <w:rPr>
          <w:rFonts w:hint="eastAsia" w:ascii="FangSong_GB2312" w:hAnsi="仿宋" w:eastAsia="FangSong_GB2312"/>
          <w:sz w:val="32"/>
          <w:szCs w:val="32"/>
          <w:lang w:val="en-US" w:eastAsia="zh-CN"/>
        </w:rPr>
        <w:t>8.政府性基金：是指企业依照法律、行政法规等有关规定，代政府收取的具有专项用途的财政资金。</w:t>
      </w:r>
    </w:p>
    <w:p>
      <w:pPr>
        <w:adjustRightInd w:val="0"/>
        <w:snapToGrid w:val="0"/>
        <w:spacing w:line="600" w:lineRule="exact"/>
        <w:ind w:firstLine="630"/>
        <w:outlineLvl w:val="0"/>
        <w:rPr>
          <w:rFonts w:hint="eastAsia" w:ascii="FangSong_GB2312" w:hAnsi="仿宋" w:eastAsia="FangSong_GB2312"/>
          <w:sz w:val="32"/>
          <w:szCs w:val="32"/>
          <w:lang w:val="en-US" w:eastAsia="zh-CN"/>
        </w:rPr>
      </w:pPr>
      <w:r>
        <w:rPr>
          <w:rFonts w:hint="eastAsia" w:ascii="FangSong_GB2312" w:hAnsi="仿宋" w:eastAsia="FangSong_GB2312"/>
          <w:sz w:val="32"/>
          <w:szCs w:val="32"/>
          <w:lang w:val="en-US" w:eastAsia="zh-CN"/>
        </w:rPr>
        <w:t>9.国有资本经营是指以国有资本为经营和使用对象，在保证国有资本安全的前提下，通过对国有资本的运作，取得国有资本增值、实现最大</w:t>
      </w:r>
      <w:r>
        <w:rPr>
          <w:rFonts w:hint="eastAsia" w:ascii="FangSong_GB2312" w:hAnsi="仿宋" w:eastAsia="FangSong_GB2312"/>
          <w:sz w:val="32"/>
          <w:szCs w:val="32"/>
          <w:lang w:val="en-US" w:eastAsia="zh-CN"/>
        </w:rPr>
        <w:fldChar w:fldCharType="begin"/>
      </w:r>
      <w:r>
        <w:rPr>
          <w:rFonts w:hint="eastAsia" w:ascii="FangSong_GB2312" w:hAnsi="仿宋" w:eastAsia="FangSong_GB2312"/>
          <w:sz w:val="32"/>
          <w:szCs w:val="32"/>
          <w:lang w:val="en-US" w:eastAsia="zh-CN"/>
        </w:rPr>
        <w:instrText xml:space="preserve"> HYPERLINK "https://baike.baidu.com/item/%E7%BB%8F%E6%B5%8E%E6%95%88%E7%9B%8A/3405062" \t "https://baike.baidu.com/item/_blank" </w:instrText>
      </w:r>
      <w:r>
        <w:rPr>
          <w:rFonts w:hint="eastAsia" w:ascii="FangSong_GB2312" w:hAnsi="仿宋" w:eastAsia="FangSong_GB2312"/>
          <w:sz w:val="32"/>
          <w:szCs w:val="32"/>
          <w:lang w:val="en-US" w:eastAsia="zh-CN"/>
        </w:rPr>
        <w:fldChar w:fldCharType="separate"/>
      </w:r>
      <w:r>
        <w:rPr>
          <w:rFonts w:hint="eastAsia" w:ascii="FangSong_GB2312" w:hAnsi="仿宋" w:eastAsia="FangSong_GB2312"/>
          <w:sz w:val="32"/>
          <w:szCs w:val="32"/>
          <w:lang w:val="en-US" w:eastAsia="zh-CN"/>
        </w:rPr>
        <w:t>经济效益</w:t>
      </w:r>
      <w:r>
        <w:rPr>
          <w:rFonts w:hint="eastAsia" w:ascii="FangSong_GB2312" w:hAnsi="仿宋" w:eastAsia="FangSong_GB2312"/>
          <w:sz w:val="32"/>
          <w:szCs w:val="32"/>
          <w:lang w:val="en-US" w:eastAsia="zh-CN"/>
        </w:rPr>
        <w:fldChar w:fldCharType="end"/>
      </w:r>
      <w:r>
        <w:rPr>
          <w:rFonts w:hint="eastAsia" w:ascii="FangSong_GB2312" w:hAnsi="仿宋" w:eastAsia="FangSong_GB2312"/>
          <w:sz w:val="32"/>
          <w:szCs w:val="32"/>
          <w:lang w:val="en-US" w:eastAsia="zh-CN"/>
        </w:rPr>
        <w:t>和社会效益的活动。</w:t>
      </w:r>
    </w:p>
    <w:p>
      <w:pPr>
        <w:adjustRightInd w:val="0"/>
        <w:snapToGrid w:val="0"/>
        <w:spacing w:line="600" w:lineRule="exact"/>
        <w:ind w:firstLine="630"/>
        <w:outlineLvl w:val="0"/>
        <w:rPr>
          <w:rFonts w:hint="eastAsia" w:ascii="FangSong_GB2312" w:hAnsi="仿宋" w:eastAsia="FangSong_GB2312"/>
          <w:sz w:val="32"/>
          <w:szCs w:val="32"/>
          <w:lang w:val="en-US" w:eastAsia="zh-CN"/>
        </w:rPr>
      </w:pPr>
      <w:r>
        <w:rPr>
          <w:rFonts w:hint="eastAsia" w:ascii="FangSong_GB2312" w:hAnsi="仿宋" w:eastAsia="FangSong_GB2312"/>
          <w:sz w:val="32"/>
          <w:szCs w:val="32"/>
          <w:lang w:val="en-US" w:eastAsia="zh-CN"/>
        </w:rPr>
        <w:t>10.“三公经费”：三公消费，指政府部门人员</w:t>
      </w:r>
      <w:r>
        <w:rPr>
          <w:rFonts w:hint="eastAsia" w:ascii="FangSong_GB2312" w:hAnsi="仿宋" w:eastAsia="FangSong_GB2312"/>
          <w:sz w:val="32"/>
          <w:szCs w:val="32"/>
          <w:lang w:val="en-US" w:eastAsia="zh-CN"/>
        </w:rPr>
        <w:fldChar w:fldCharType="begin"/>
      </w:r>
      <w:r>
        <w:rPr>
          <w:rFonts w:hint="eastAsia" w:ascii="FangSong_GB2312" w:hAnsi="仿宋" w:eastAsia="FangSong_GB2312"/>
          <w:sz w:val="32"/>
          <w:szCs w:val="32"/>
          <w:lang w:val="en-US" w:eastAsia="zh-CN"/>
        </w:rPr>
        <w:instrText xml:space="preserve"> HYPERLINK "https://baike.baidu.com/item/%E5%9B%A0%E5%85%AC%E5%87%BA%E5%9B%BD" \t "https://baike.baidu.com/item/_blank" </w:instrText>
      </w:r>
      <w:r>
        <w:rPr>
          <w:rFonts w:hint="eastAsia" w:ascii="FangSong_GB2312" w:hAnsi="仿宋" w:eastAsia="FangSong_GB2312"/>
          <w:sz w:val="32"/>
          <w:szCs w:val="32"/>
          <w:lang w:val="en-US" w:eastAsia="zh-CN"/>
        </w:rPr>
        <w:fldChar w:fldCharType="separate"/>
      </w:r>
      <w:r>
        <w:rPr>
          <w:rFonts w:hint="eastAsia" w:ascii="FangSong_GB2312" w:hAnsi="仿宋" w:eastAsia="FangSong_GB2312"/>
          <w:sz w:val="32"/>
          <w:szCs w:val="32"/>
          <w:lang w:val="en-US" w:eastAsia="zh-CN"/>
        </w:rPr>
        <w:t>因公出国</w:t>
      </w:r>
      <w:r>
        <w:rPr>
          <w:rFonts w:hint="eastAsia" w:ascii="FangSong_GB2312" w:hAnsi="仿宋" w:eastAsia="FangSong_GB2312"/>
          <w:sz w:val="32"/>
          <w:szCs w:val="32"/>
          <w:lang w:val="en-US" w:eastAsia="zh-CN"/>
        </w:rPr>
        <w:fldChar w:fldCharType="end"/>
      </w:r>
      <w:r>
        <w:rPr>
          <w:rFonts w:hint="eastAsia" w:ascii="FangSong_GB2312" w:hAnsi="仿宋" w:eastAsia="FangSong_GB2312"/>
          <w:sz w:val="32"/>
          <w:szCs w:val="32"/>
          <w:lang w:val="en-US" w:eastAsia="zh-CN"/>
        </w:rPr>
        <w:t>（境）经费、</w:t>
      </w:r>
      <w:r>
        <w:rPr>
          <w:rFonts w:hint="eastAsia" w:ascii="FangSong_GB2312" w:hAnsi="仿宋" w:eastAsia="FangSong_GB2312"/>
          <w:sz w:val="32"/>
          <w:szCs w:val="32"/>
          <w:lang w:val="en-US" w:eastAsia="zh-CN"/>
        </w:rPr>
        <w:fldChar w:fldCharType="begin"/>
      </w:r>
      <w:r>
        <w:rPr>
          <w:rFonts w:hint="eastAsia" w:ascii="FangSong_GB2312" w:hAnsi="仿宋" w:eastAsia="FangSong_GB2312"/>
          <w:sz w:val="32"/>
          <w:szCs w:val="32"/>
          <w:lang w:val="en-US" w:eastAsia="zh-CN"/>
        </w:rPr>
        <w:instrText xml:space="preserve"> HYPERLINK "https://baike.baidu.com/item/%E5%85%AC%E5%8A%A1%E8%BD%A6/10011073" \t "https://baike.baidu.com/item/_blank" </w:instrText>
      </w:r>
      <w:r>
        <w:rPr>
          <w:rFonts w:hint="eastAsia" w:ascii="FangSong_GB2312" w:hAnsi="仿宋" w:eastAsia="FangSong_GB2312"/>
          <w:sz w:val="32"/>
          <w:szCs w:val="32"/>
          <w:lang w:val="en-US" w:eastAsia="zh-CN"/>
        </w:rPr>
        <w:fldChar w:fldCharType="separate"/>
      </w:r>
      <w:r>
        <w:rPr>
          <w:rFonts w:hint="eastAsia" w:ascii="FangSong_GB2312" w:hAnsi="仿宋" w:eastAsia="FangSong_GB2312"/>
          <w:sz w:val="32"/>
          <w:szCs w:val="32"/>
          <w:lang w:val="en-US" w:eastAsia="zh-CN"/>
        </w:rPr>
        <w:t>公务车</w:t>
      </w:r>
      <w:r>
        <w:rPr>
          <w:rFonts w:hint="eastAsia" w:ascii="FangSong_GB2312" w:hAnsi="仿宋" w:eastAsia="FangSong_GB2312"/>
          <w:sz w:val="32"/>
          <w:szCs w:val="32"/>
          <w:lang w:val="en-US" w:eastAsia="zh-CN"/>
        </w:rPr>
        <w:fldChar w:fldCharType="end"/>
      </w:r>
      <w:r>
        <w:rPr>
          <w:rFonts w:hint="eastAsia" w:ascii="FangSong_GB2312" w:hAnsi="仿宋" w:eastAsia="FangSong_GB2312"/>
          <w:sz w:val="32"/>
          <w:szCs w:val="32"/>
          <w:lang w:val="en-US" w:eastAsia="zh-CN"/>
        </w:rPr>
        <w:t>购置及运行费、公务招待费产生的消费，是当前</w:t>
      </w:r>
      <w:r>
        <w:rPr>
          <w:rFonts w:hint="eastAsia" w:ascii="FangSong_GB2312" w:hAnsi="仿宋" w:eastAsia="FangSong_GB2312"/>
          <w:sz w:val="32"/>
          <w:szCs w:val="32"/>
          <w:lang w:val="en-US" w:eastAsia="zh-CN"/>
        </w:rPr>
        <w:fldChar w:fldCharType="begin"/>
      </w:r>
      <w:r>
        <w:rPr>
          <w:rFonts w:hint="eastAsia" w:ascii="FangSong_GB2312" w:hAnsi="仿宋" w:eastAsia="FangSong_GB2312"/>
          <w:sz w:val="32"/>
          <w:szCs w:val="32"/>
          <w:lang w:val="en-US" w:eastAsia="zh-CN"/>
        </w:rPr>
        <w:instrText xml:space="preserve"> HYPERLINK "https://baike.baidu.com/item/%E5%85%AC%E5%85%B1%E8%A1%8C%E6%94%BF/239738" \t "https://baike.baidu.com/item/_blank" </w:instrText>
      </w:r>
      <w:r>
        <w:rPr>
          <w:rFonts w:hint="eastAsia" w:ascii="FangSong_GB2312" w:hAnsi="仿宋" w:eastAsia="FangSong_GB2312"/>
          <w:sz w:val="32"/>
          <w:szCs w:val="32"/>
          <w:lang w:val="en-US" w:eastAsia="zh-CN"/>
        </w:rPr>
        <w:fldChar w:fldCharType="separate"/>
      </w:r>
      <w:r>
        <w:rPr>
          <w:rFonts w:hint="eastAsia" w:ascii="FangSong_GB2312" w:hAnsi="仿宋" w:eastAsia="FangSong_GB2312"/>
          <w:sz w:val="32"/>
          <w:szCs w:val="32"/>
          <w:lang w:val="en-US" w:eastAsia="zh-CN"/>
        </w:rPr>
        <w:t>公共行政</w:t>
      </w:r>
      <w:r>
        <w:rPr>
          <w:rFonts w:hint="eastAsia" w:ascii="FangSong_GB2312" w:hAnsi="仿宋" w:eastAsia="FangSong_GB2312"/>
          <w:sz w:val="32"/>
          <w:szCs w:val="32"/>
          <w:lang w:val="en-US" w:eastAsia="zh-CN"/>
        </w:rPr>
        <w:fldChar w:fldCharType="end"/>
      </w:r>
      <w:r>
        <w:rPr>
          <w:rFonts w:hint="eastAsia" w:ascii="FangSong_GB2312" w:hAnsi="仿宋" w:eastAsia="FangSong_GB2312"/>
          <w:sz w:val="32"/>
          <w:szCs w:val="32"/>
          <w:lang w:val="en-US" w:eastAsia="zh-CN"/>
        </w:rPr>
        <w:t>领域亟待解决的问题之一。</w:t>
      </w:r>
    </w:p>
    <w:p>
      <w:pPr>
        <w:adjustRightInd w:val="0"/>
        <w:snapToGrid w:val="0"/>
        <w:spacing w:line="600" w:lineRule="exact"/>
        <w:ind w:firstLine="630"/>
        <w:outlineLvl w:val="0"/>
        <w:rPr>
          <w:rFonts w:hint="eastAsia" w:ascii="FangSong_GB2312" w:hAnsi="仿宋" w:eastAsia="FangSong_GB2312"/>
          <w:sz w:val="32"/>
          <w:szCs w:val="32"/>
          <w:lang w:val="en-US" w:eastAsia="zh-CN"/>
        </w:rPr>
      </w:pPr>
      <w:r>
        <w:rPr>
          <w:rFonts w:hint="eastAsia" w:ascii="FangSong_GB2312" w:hAnsi="仿宋" w:eastAsia="FangSong_GB2312"/>
          <w:sz w:val="32"/>
          <w:szCs w:val="32"/>
          <w:lang w:val="en-US" w:eastAsia="zh-CN"/>
        </w:rPr>
        <w:t>11.政府采购：是指各级政府为了开展日常政务活动或为公众提供服务，在财政的监督下，以法定的方式、方法和程序，通过公开招标、公平竞争，由财政部门以直接向供应商付款的方式，从国内、外市场上为政府部门或所属团体购买货物、工程和劳务的行为。</w:t>
      </w:r>
    </w:p>
    <w:p>
      <w:pPr>
        <w:adjustRightInd w:val="0"/>
        <w:snapToGrid w:val="0"/>
        <w:spacing w:line="600" w:lineRule="exact"/>
        <w:ind w:firstLine="630"/>
        <w:outlineLvl w:val="0"/>
        <w:rPr>
          <w:rFonts w:hint="eastAsia" w:ascii="FangSong_GB2312" w:hAnsi="仿宋" w:eastAsia="FangSong_GB2312"/>
          <w:sz w:val="32"/>
          <w:szCs w:val="32"/>
          <w:lang w:val="en-US" w:eastAsia="zh-CN"/>
        </w:rPr>
      </w:pPr>
      <w:r>
        <w:rPr>
          <w:rFonts w:hint="eastAsia" w:ascii="FangSong_GB2312" w:hAnsi="仿宋" w:eastAsia="FangSong_GB2312"/>
          <w:sz w:val="32"/>
          <w:szCs w:val="32"/>
          <w:lang w:val="en-US" w:eastAsia="zh-CN"/>
        </w:rPr>
        <w:t>12.专项资金支出：专项资金支出即专项支出，它是指由财政部门、上级单位和其他单位拨入的，指定项目或用途并且需要单独报账的专项资金的实际支出数。</w:t>
      </w:r>
    </w:p>
    <w:p>
      <w:pPr>
        <w:adjustRightInd w:val="0"/>
        <w:snapToGrid w:val="0"/>
        <w:spacing w:line="600" w:lineRule="exact"/>
        <w:ind w:firstLine="630"/>
        <w:outlineLvl w:val="0"/>
        <w:rPr>
          <w:rFonts w:hint="eastAsia" w:ascii="FangSong_GB2312" w:hAnsi="仿宋" w:eastAsia="FangSong_GB2312"/>
          <w:sz w:val="32"/>
          <w:szCs w:val="32"/>
          <w:lang w:val="en-US" w:eastAsia="zh-CN"/>
        </w:rPr>
      </w:pPr>
      <w:bookmarkStart w:id="0" w:name="OLE_LINK1"/>
      <w:r>
        <w:rPr>
          <w:rFonts w:hint="eastAsia" w:ascii="FangSong_GB2312" w:hAnsi="仿宋" w:eastAsia="FangSong_GB2312"/>
          <w:sz w:val="32"/>
          <w:szCs w:val="32"/>
          <w:lang w:val="en-US" w:eastAsia="zh-CN"/>
        </w:rPr>
        <w:t>13.国有资产：是指属于国家所有的一切财产和财产权利的总和，是国家所有权的客体。</w:t>
      </w:r>
    </w:p>
    <w:p>
      <w:pPr>
        <w:adjustRightInd w:val="0"/>
        <w:snapToGrid w:val="0"/>
        <w:spacing w:line="600" w:lineRule="exact"/>
        <w:ind w:firstLine="630"/>
        <w:outlineLvl w:val="0"/>
        <w:rPr>
          <w:rFonts w:hint="eastAsia" w:ascii="FangSong_GB2312" w:hAnsi="仿宋" w:eastAsia="FangSong_GB2312"/>
          <w:sz w:val="32"/>
          <w:szCs w:val="32"/>
          <w:lang w:val="en-US" w:eastAsia="zh-CN"/>
        </w:rPr>
      </w:pPr>
      <w:r>
        <w:rPr>
          <w:rFonts w:hint="eastAsia" w:ascii="FangSong_GB2312" w:hAnsi="仿宋" w:eastAsia="FangSong_GB2312"/>
          <w:sz w:val="32"/>
          <w:szCs w:val="32"/>
          <w:lang w:val="en-US" w:eastAsia="zh-CN"/>
        </w:rPr>
        <w:t>14.非税收入：是指除税收以外，由各级政府、国家机关、事业单位、代行</w:t>
      </w:r>
      <w:r>
        <w:rPr>
          <w:rFonts w:hint="eastAsia" w:ascii="FangSong_GB2312" w:hAnsi="仿宋" w:eastAsia="FangSong_GB2312"/>
          <w:sz w:val="32"/>
          <w:szCs w:val="32"/>
          <w:lang w:val="en-US" w:eastAsia="zh-CN"/>
        </w:rPr>
        <w:fldChar w:fldCharType="begin"/>
      </w:r>
      <w:r>
        <w:rPr>
          <w:rFonts w:hint="eastAsia" w:ascii="FangSong_GB2312" w:hAnsi="仿宋" w:eastAsia="FangSong_GB2312"/>
          <w:sz w:val="32"/>
          <w:szCs w:val="32"/>
          <w:lang w:val="en-US" w:eastAsia="zh-CN"/>
        </w:rPr>
        <w:instrText xml:space="preserve"> HYPERLINK "https://baike.baidu.com/item/%E6%94%BF%E5%BA%9C%E8%81%8C%E8%83%BD/2042302" \t "https://baike.baidu.com/item/%E9%9D%9E%E7%A8%8E%E6%94%B6%E5%85%A5/_blank" </w:instrText>
      </w:r>
      <w:r>
        <w:rPr>
          <w:rFonts w:hint="eastAsia" w:ascii="FangSong_GB2312" w:hAnsi="仿宋" w:eastAsia="FangSong_GB2312"/>
          <w:sz w:val="32"/>
          <w:szCs w:val="32"/>
          <w:lang w:val="en-US" w:eastAsia="zh-CN"/>
        </w:rPr>
        <w:fldChar w:fldCharType="separate"/>
      </w:r>
      <w:r>
        <w:rPr>
          <w:rFonts w:hint="eastAsia" w:ascii="FangSong_GB2312" w:hAnsi="仿宋" w:eastAsia="FangSong_GB2312"/>
          <w:sz w:val="32"/>
          <w:szCs w:val="32"/>
          <w:lang w:val="en-US" w:eastAsia="zh-CN"/>
        </w:rPr>
        <w:t>政府职能</w:t>
      </w:r>
      <w:r>
        <w:rPr>
          <w:rFonts w:hint="eastAsia" w:ascii="FangSong_GB2312" w:hAnsi="仿宋" w:eastAsia="FangSong_GB2312"/>
          <w:sz w:val="32"/>
          <w:szCs w:val="32"/>
          <w:lang w:val="en-US" w:eastAsia="zh-CN"/>
        </w:rPr>
        <w:fldChar w:fldCharType="end"/>
      </w:r>
      <w:r>
        <w:rPr>
          <w:rFonts w:hint="eastAsia" w:ascii="FangSong_GB2312" w:hAnsi="仿宋" w:eastAsia="FangSong_GB2312"/>
          <w:sz w:val="32"/>
          <w:szCs w:val="32"/>
          <w:lang w:val="en-US" w:eastAsia="zh-CN"/>
        </w:rPr>
        <w:t>的社会团体及其他组织依法利用政府权力、政府信誉、国家资源、国有资产或提供特定公共服务、准公共服务取得的</w:t>
      </w:r>
      <w:r>
        <w:rPr>
          <w:rFonts w:hint="eastAsia" w:ascii="FangSong_GB2312" w:hAnsi="仿宋" w:eastAsia="FangSong_GB2312"/>
          <w:sz w:val="32"/>
          <w:szCs w:val="32"/>
          <w:lang w:val="en-US" w:eastAsia="zh-CN"/>
        </w:rPr>
        <w:fldChar w:fldCharType="begin"/>
      </w:r>
      <w:r>
        <w:rPr>
          <w:rFonts w:hint="eastAsia" w:ascii="FangSong_GB2312" w:hAnsi="仿宋" w:eastAsia="FangSong_GB2312"/>
          <w:sz w:val="32"/>
          <w:szCs w:val="32"/>
          <w:lang w:val="en-US" w:eastAsia="zh-CN"/>
        </w:rPr>
        <w:instrText xml:space="preserve"> HYPERLINK "https://baike.baidu.com/item/%E8%B4%A2%E6%94%BF%E6%80%A7%E8%B5%84%E9%87%91/8197581" \t "https://baike.baidu.com/item/%E9%9D%9E%E7%A8%8E%E6%94%B6%E5%85%A5/_blank" </w:instrText>
      </w:r>
      <w:r>
        <w:rPr>
          <w:rFonts w:hint="eastAsia" w:ascii="FangSong_GB2312" w:hAnsi="仿宋" w:eastAsia="FangSong_GB2312"/>
          <w:sz w:val="32"/>
          <w:szCs w:val="32"/>
          <w:lang w:val="en-US" w:eastAsia="zh-CN"/>
        </w:rPr>
        <w:fldChar w:fldCharType="separate"/>
      </w:r>
      <w:r>
        <w:rPr>
          <w:rFonts w:hint="eastAsia" w:ascii="FangSong_GB2312" w:hAnsi="仿宋" w:eastAsia="FangSong_GB2312"/>
          <w:sz w:val="32"/>
          <w:szCs w:val="32"/>
          <w:lang w:val="en-US" w:eastAsia="zh-CN"/>
        </w:rPr>
        <w:t>财政性资金</w:t>
      </w:r>
      <w:r>
        <w:rPr>
          <w:rFonts w:hint="eastAsia" w:ascii="FangSong_GB2312" w:hAnsi="仿宋" w:eastAsia="FangSong_GB2312"/>
          <w:sz w:val="32"/>
          <w:szCs w:val="32"/>
          <w:lang w:val="en-US" w:eastAsia="zh-CN"/>
        </w:rPr>
        <w:fldChar w:fldCharType="end"/>
      </w:r>
      <w:r>
        <w:rPr>
          <w:rFonts w:hint="eastAsia" w:ascii="FangSong_GB2312" w:hAnsi="仿宋" w:eastAsia="FangSong_GB2312"/>
          <w:sz w:val="32"/>
          <w:szCs w:val="32"/>
          <w:lang w:val="en-US" w:eastAsia="zh-CN"/>
        </w:rPr>
        <w:t>，是政府财政收入的重要组成部分。</w:t>
      </w:r>
    </w:p>
    <w:p>
      <w:pPr>
        <w:adjustRightInd w:val="0"/>
        <w:snapToGrid w:val="0"/>
        <w:spacing w:line="600" w:lineRule="exact"/>
        <w:ind w:firstLine="630"/>
        <w:outlineLvl w:val="0"/>
        <w:rPr>
          <w:rFonts w:hint="eastAsia" w:ascii="FangSong_GB2312" w:hAnsi="仿宋" w:eastAsia="FangSong_GB2312"/>
          <w:sz w:val="32"/>
          <w:szCs w:val="32"/>
          <w:lang w:val="en-US" w:eastAsia="zh-CN"/>
        </w:rPr>
      </w:pPr>
      <w:r>
        <w:rPr>
          <w:rFonts w:hint="eastAsia" w:ascii="FangSong_GB2312" w:hAnsi="仿宋" w:eastAsia="FangSong_GB2312"/>
          <w:sz w:val="32"/>
          <w:szCs w:val="32"/>
          <w:lang w:val="en-US" w:eastAsia="zh-CN"/>
        </w:rPr>
        <w:t>15.办公经费：指基本生产车间耗用的</w:t>
      </w:r>
      <w:r>
        <w:rPr>
          <w:rFonts w:hint="eastAsia" w:ascii="FangSong_GB2312" w:hAnsi="仿宋" w:eastAsia="FangSong_GB2312"/>
          <w:sz w:val="32"/>
          <w:szCs w:val="32"/>
          <w:lang w:val="en-US" w:eastAsia="zh-CN"/>
        </w:rPr>
        <w:fldChar w:fldCharType="begin"/>
      </w:r>
      <w:r>
        <w:rPr>
          <w:rFonts w:hint="eastAsia" w:ascii="FangSong_GB2312" w:hAnsi="仿宋" w:eastAsia="FangSong_GB2312"/>
          <w:sz w:val="32"/>
          <w:szCs w:val="32"/>
          <w:lang w:val="en-US" w:eastAsia="zh-CN"/>
        </w:rPr>
        <w:instrText xml:space="preserve"> HYPERLINK "https://baike.baidu.com/item/%E6%96%87%E5%85%B7/9427471" \t "https://baike.baidu.com/item/%E5%8A%9E%E5%85%AC%E8%B4%B9/_blank" </w:instrText>
      </w:r>
      <w:r>
        <w:rPr>
          <w:rFonts w:hint="eastAsia" w:ascii="FangSong_GB2312" w:hAnsi="仿宋" w:eastAsia="FangSong_GB2312"/>
          <w:sz w:val="32"/>
          <w:szCs w:val="32"/>
          <w:lang w:val="en-US" w:eastAsia="zh-CN"/>
        </w:rPr>
        <w:fldChar w:fldCharType="separate"/>
      </w:r>
      <w:r>
        <w:rPr>
          <w:rFonts w:hint="eastAsia" w:ascii="FangSong_GB2312" w:hAnsi="仿宋" w:eastAsia="FangSong_GB2312"/>
          <w:sz w:val="32"/>
          <w:szCs w:val="32"/>
          <w:lang w:val="en-US" w:eastAsia="zh-CN"/>
        </w:rPr>
        <w:t>文具</w:t>
      </w:r>
      <w:r>
        <w:rPr>
          <w:rFonts w:hint="eastAsia" w:ascii="FangSong_GB2312" w:hAnsi="仿宋" w:eastAsia="FangSong_GB2312"/>
          <w:sz w:val="32"/>
          <w:szCs w:val="32"/>
          <w:lang w:val="en-US" w:eastAsia="zh-CN"/>
        </w:rPr>
        <w:fldChar w:fldCharType="end"/>
      </w:r>
      <w:r>
        <w:rPr>
          <w:rFonts w:hint="eastAsia" w:ascii="FangSong_GB2312" w:hAnsi="仿宋" w:eastAsia="FangSong_GB2312"/>
          <w:sz w:val="32"/>
          <w:szCs w:val="32"/>
          <w:lang w:val="en-US" w:eastAsia="zh-CN"/>
        </w:rPr>
        <w:t>、</w:t>
      </w:r>
      <w:r>
        <w:rPr>
          <w:rFonts w:hint="eastAsia" w:ascii="FangSong_GB2312" w:hAnsi="仿宋" w:eastAsia="FangSong_GB2312"/>
          <w:sz w:val="32"/>
          <w:szCs w:val="32"/>
          <w:lang w:val="en-US" w:eastAsia="zh-CN"/>
        </w:rPr>
        <w:fldChar w:fldCharType="begin"/>
      </w:r>
      <w:r>
        <w:rPr>
          <w:rFonts w:hint="eastAsia" w:ascii="FangSong_GB2312" w:hAnsi="仿宋" w:eastAsia="FangSong_GB2312"/>
          <w:sz w:val="32"/>
          <w:szCs w:val="32"/>
          <w:lang w:val="en-US" w:eastAsia="zh-CN"/>
        </w:rPr>
        <w:instrText xml:space="preserve"> HYPERLINK "https://baike.baidu.com/item/%E5%8D%B0%E5%88%B7/368780" \t "https://baike.baidu.com/item/%E5%8A%9E%E5%85%AC%E8%B4%B9/_blank" </w:instrText>
      </w:r>
      <w:r>
        <w:rPr>
          <w:rFonts w:hint="eastAsia" w:ascii="FangSong_GB2312" w:hAnsi="仿宋" w:eastAsia="FangSong_GB2312"/>
          <w:sz w:val="32"/>
          <w:szCs w:val="32"/>
          <w:lang w:val="en-US" w:eastAsia="zh-CN"/>
        </w:rPr>
        <w:fldChar w:fldCharType="separate"/>
      </w:r>
      <w:r>
        <w:rPr>
          <w:rFonts w:hint="eastAsia" w:ascii="FangSong_GB2312" w:hAnsi="仿宋" w:eastAsia="FangSong_GB2312"/>
          <w:sz w:val="32"/>
          <w:szCs w:val="32"/>
          <w:lang w:val="en-US" w:eastAsia="zh-CN"/>
        </w:rPr>
        <w:t>印刷</w:t>
      </w:r>
      <w:r>
        <w:rPr>
          <w:rFonts w:hint="eastAsia" w:ascii="FangSong_GB2312" w:hAnsi="仿宋" w:eastAsia="FangSong_GB2312"/>
          <w:sz w:val="32"/>
          <w:szCs w:val="32"/>
          <w:lang w:val="en-US" w:eastAsia="zh-CN"/>
        </w:rPr>
        <w:fldChar w:fldCharType="end"/>
      </w:r>
      <w:r>
        <w:rPr>
          <w:rFonts w:hint="eastAsia" w:ascii="FangSong_GB2312" w:hAnsi="仿宋" w:eastAsia="FangSong_GB2312"/>
          <w:sz w:val="32"/>
          <w:szCs w:val="32"/>
          <w:lang w:val="en-US" w:eastAsia="zh-CN"/>
        </w:rPr>
        <w:t>、</w:t>
      </w:r>
      <w:r>
        <w:rPr>
          <w:rFonts w:hint="eastAsia" w:ascii="FangSong_GB2312" w:hAnsi="仿宋" w:eastAsia="FangSong_GB2312"/>
          <w:sz w:val="32"/>
          <w:szCs w:val="32"/>
          <w:lang w:val="en-US" w:eastAsia="zh-CN"/>
        </w:rPr>
        <w:fldChar w:fldCharType="begin"/>
      </w:r>
      <w:r>
        <w:rPr>
          <w:rFonts w:hint="eastAsia" w:ascii="FangSong_GB2312" w:hAnsi="仿宋" w:eastAsia="FangSong_GB2312"/>
          <w:sz w:val="32"/>
          <w:szCs w:val="32"/>
          <w:lang w:val="en-US" w:eastAsia="zh-CN"/>
        </w:rPr>
        <w:instrText xml:space="preserve"> HYPERLINK "https://baike.baidu.com/item/%E9%82%AE%E7%94%B5/7254476" \t "https://baike.baidu.com/item/%E5%8A%9E%E5%85%AC%E8%B4%B9/_blank" </w:instrText>
      </w:r>
      <w:r>
        <w:rPr>
          <w:rFonts w:hint="eastAsia" w:ascii="FangSong_GB2312" w:hAnsi="仿宋" w:eastAsia="FangSong_GB2312"/>
          <w:sz w:val="32"/>
          <w:szCs w:val="32"/>
          <w:lang w:val="en-US" w:eastAsia="zh-CN"/>
        </w:rPr>
        <w:fldChar w:fldCharType="separate"/>
      </w:r>
      <w:r>
        <w:rPr>
          <w:rFonts w:hint="eastAsia" w:ascii="FangSong_GB2312" w:hAnsi="仿宋" w:eastAsia="FangSong_GB2312"/>
          <w:sz w:val="32"/>
          <w:szCs w:val="32"/>
          <w:lang w:val="en-US" w:eastAsia="zh-CN"/>
        </w:rPr>
        <w:t>邮电</w:t>
      </w:r>
      <w:r>
        <w:rPr>
          <w:rFonts w:hint="eastAsia" w:ascii="FangSong_GB2312" w:hAnsi="仿宋" w:eastAsia="FangSong_GB2312"/>
          <w:sz w:val="32"/>
          <w:szCs w:val="32"/>
          <w:lang w:val="en-US" w:eastAsia="zh-CN"/>
        </w:rPr>
        <w:fldChar w:fldCharType="end"/>
      </w:r>
      <w:r>
        <w:rPr>
          <w:rFonts w:hint="eastAsia" w:ascii="FangSong_GB2312" w:hAnsi="仿宋" w:eastAsia="FangSong_GB2312"/>
          <w:sz w:val="32"/>
          <w:szCs w:val="32"/>
          <w:lang w:val="en-US" w:eastAsia="zh-CN"/>
        </w:rPr>
        <w:t>、办公用品及</w:t>
      </w:r>
      <w:r>
        <w:rPr>
          <w:rFonts w:hint="eastAsia" w:ascii="FangSong_GB2312" w:hAnsi="仿宋" w:eastAsia="FangSong_GB2312"/>
          <w:sz w:val="32"/>
          <w:szCs w:val="32"/>
          <w:lang w:val="en-US" w:eastAsia="zh-CN"/>
        </w:rPr>
        <w:fldChar w:fldCharType="begin"/>
      </w:r>
      <w:r>
        <w:rPr>
          <w:rFonts w:hint="eastAsia" w:ascii="FangSong_GB2312" w:hAnsi="仿宋" w:eastAsia="FangSong_GB2312"/>
          <w:sz w:val="32"/>
          <w:szCs w:val="32"/>
          <w:lang w:val="en-US" w:eastAsia="zh-CN"/>
        </w:rPr>
        <w:instrText xml:space="preserve"> HYPERLINK "https://baike.baidu.com/item/%E6%8A%A5%E5%88%8A/2851057" \t "https://baike.baidu.com/item/%E5%8A%9E%E5%85%AC%E8%B4%B9/_blank" </w:instrText>
      </w:r>
      <w:r>
        <w:rPr>
          <w:rFonts w:hint="eastAsia" w:ascii="FangSong_GB2312" w:hAnsi="仿宋" w:eastAsia="FangSong_GB2312"/>
          <w:sz w:val="32"/>
          <w:szCs w:val="32"/>
          <w:lang w:val="en-US" w:eastAsia="zh-CN"/>
        </w:rPr>
        <w:fldChar w:fldCharType="separate"/>
      </w:r>
      <w:r>
        <w:rPr>
          <w:rFonts w:hint="eastAsia" w:ascii="FangSong_GB2312" w:hAnsi="仿宋" w:eastAsia="FangSong_GB2312"/>
          <w:sz w:val="32"/>
          <w:szCs w:val="32"/>
          <w:lang w:val="en-US" w:eastAsia="zh-CN"/>
        </w:rPr>
        <w:t>报刊</w:t>
      </w:r>
      <w:r>
        <w:rPr>
          <w:rFonts w:hint="eastAsia" w:ascii="FangSong_GB2312" w:hAnsi="仿宋" w:eastAsia="FangSong_GB2312"/>
          <w:sz w:val="32"/>
          <w:szCs w:val="32"/>
          <w:lang w:val="en-US" w:eastAsia="zh-CN"/>
        </w:rPr>
        <w:fldChar w:fldCharType="end"/>
      </w:r>
      <w:r>
        <w:rPr>
          <w:rFonts w:hint="eastAsia" w:ascii="FangSong_GB2312" w:hAnsi="仿宋" w:eastAsia="FangSong_GB2312"/>
          <w:sz w:val="32"/>
          <w:szCs w:val="32"/>
          <w:lang w:val="en-US" w:eastAsia="zh-CN"/>
        </w:rPr>
        <w:t>杂志等办公</w:t>
      </w:r>
      <w:r>
        <w:rPr>
          <w:rFonts w:hint="eastAsia" w:ascii="FangSong_GB2312" w:hAnsi="仿宋" w:eastAsia="FangSong_GB2312"/>
          <w:sz w:val="32"/>
          <w:szCs w:val="32"/>
          <w:lang w:val="en-US" w:eastAsia="zh-CN"/>
        </w:rPr>
        <w:fldChar w:fldCharType="begin"/>
      </w:r>
      <w:r>
        <w:rPr>
          <w:rFonts w:hint="eastAsia" w:ascii="FangSong_GB2312" w:hAnsi="仿宋" w:eastAsia="FangSong_GB2312"/>
          <w:sz w:val="32"/>
          <w:szCs w:val="32"/>
          <w:lang w:val="en-US" w:eastAsia="zh-CN"/>
        </w:rPr>
        <w:instrText xml:space="preserve"> HYPERLINK "https://baike.baidu.com/item/%E8%B4%B9%E7%94%A8/9277833" \t "https://baike.baidu.com/item/%E5%8A%9E%E5%85%AC%E8%B4%B9/_blank" </w:instrText>
      </w:r>
      <w:r>
        <w:rPr>
          <w:rFonts w:hint="eastAsia" w:ascii="FangSong_GB2312" w:hAnsi="仿宋" w:eastAsia="FangSong_GB2312"/>
          <w:sz w:val="32"/>
          <w:szCs w:val="32"/>
          <w:lang w:val="en-US" w:eastAsia="zh-CN"/>
        </w:rPr>
        <w:fldChar w:fldCharType="separate"/>
      </w:r>
      <w:r>
        <w:rPr>
          <w:rFonts w:hint="eastAsia" w:ascii="FangSong_GB2312" w:hAnsi="仿宋" w:eastAsia="FangSong_GB2312"/>
          <w:sz w:val="32"/>
          <w:szCs w:val="32"/>
          <w:lang w:val="en-US" w:eastAsia="zh-CN"/>
        </w:rPr>
        <w:t>费用</w:t>
      </w:r>
      <w:r>
        <w:rPr>
          <w:rFonts w:hint="eastAsia" w:ascii="FangSong_GB2312" w:hAnsi="仿宋" w:eastAsia="FangSong_GB2312"/>
          <w:sz w:val="32"/>
          <w:szCs w:val="32"/>
          <w:lang w:val="en-US" w:eastAsia="zh-CN"/>
        </w:rPr>
        <w:fldChar w:fldCharType="end"/>
      </w:r>
    </w:p>
    <w:p>
      <w:pPr>
        <w:spacing w:line="600" w:lineRule="exact"/>
        <w:ind w:firstLine="640" w:firstLineChars="200"/>
        <w:rPr>
          <w:rFonts w:hint="eastAsia" w:ascii="仿宋_GB2312" w:hAnsi="仿宋_GB2312" w:eastAsia="仿宋_GB2312" w:cs="仿宋_GB2312"/>
          <w:color w:val="000000"/>
          <w:kern w:val="0"/>
          <w:sz w:val="32"/>
          <w:szCs w:val="32"/>
          <w:lang w:val="en-US" w:eastAsia="zh-CN"/>
        </w:rPr>
      </w:pPr>
      <w:r>
        <w:rPr>
          <w:rFonts w:hint="eastAsia" w:ascii="FangSong_GB2312" w:hAnsi="仿宋" w:eastAsia="FangSong_GB2312"/>
          <w:sz w:val="32"/>
          <w:szCs w:val="32"/>
          <w:lang w:val="en-US" w:eastAsia="zh-CN"/>
        </w:rPr>
        <w:t>16.</w:t>
      </w:r>
      <w:r>
        <w:rPr>
          <w:rFonts w:hint="eastAsia" w:ascii="仿宋_GB2312" w:hAnsi="仿宋_GB2312" w:eastAsia="仿宋_GB2312" w:cs="仿宋_GB2312"/>
          <w:color w:val="000000"/>
          <w:kern w:val="0"/>
          <w:sz w:val="32"/>
          <w:szCs w:val="32"/>
          <w:lang w:val="en-US" w:eastAsia="zh-CN"/>
        </w:rPr>
        <w:t>一般公共服务支出（类）：反映政府提供一般公共服务的支出。</w:t>
      </w:r>
      <w:bookmarkEnd w:id="0"/>
    </w:p>
    <w:p>
      <w:pPr>
        <w:spacing w:line="600" w:lineRule="exact"/>
        <w:ind w:firstLine="640" w:firstLineChars="200"/>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17.地方志，是志书及与其有关的方志机构、方志编纂、方志工作、方志事业、方志文化等事项或活动的总称。简称“方志”。志书，即按一定体例，全面记载某一时期某一地域的自然、社会、政治、经济、文化等方面情况或特定事项的书籍文献。狭义上的地方志仅指志书，社会主义新编地方志包括方志和年鉴。有独特的写作体例和格式，有严格的选材要求，有各种研究参考价值。</w:t>
      </w:r>
    </w:p>
    <w:p>
      <w:pPr>
        <w:spacing w:line="600" w:lineRule="exact"/>
        <w:ind w:firstLine="640" w:firstLineChars="200"/>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18.人防：人民防空的简称，是政府动员和组织人民群众防备敌人空中袭击、消除后果采取的措施和行动，简称人防。它同要地防空、野战防空共同组成国土防空体系，是现代国防的重要组成部分，是国民经济和社会发展的重要方面，是现代城市建设的重要内容，是利国利民的社会公益事业。</w:t>
      </w:r>
    </w:p>
    <w:p>
      <w:pPr>
        <w:spacing w:line="600" w:lineRule="exact"/>
        <w:ind w:firstLine="640" w:firstLineChars="200"/>
        <w:rPr>
          <w:rFonts w:hint="eastAsia" w:ascii="仿宋_GB2312" w:hAnsi="仿宋_GB2312" w:eastAsia="仿宋_GB2312" w:cs="仿宋_GB2312"/>
          <w:color w:val="000000"/>
          <w:kern w:val="0"/>
          <w:sz w:val="32"/>
          <w:szCs w:val="32"/>
          <w:lang w:val="en-US" w:eastAsia="zh-CN"/>
        </w:rPr>
      </w:pPr>
    </w:p>
    <w:p>
      <w:pPr>
        <w:spacing w:line="600" w:lineRule="exact"/>
        <w:ind w:firstLine="640" w:firstLineChars="200"/>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附表：2017年度政府办部门决算表</w:t>
      </w:r>
    </w:p>
    <w:p>
      <w:pPr>
        <w:spacing w:line="600" w:lineRule="exact"/>
        <w:ind w:firstLine="640" w:firstLineChars="200"/>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一、收入支出决算总表</w:t>
      </w:r>
    </w:p>
    <w:p>
      <w:pPr>
        <w:spacing w:line="600" w:lineRule="exact"/>
        <w:ind w:firstLine="640" w:firstLineChars="200"/>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二、收入决算表</w:t>
      </w:r>
    </w:p>
    <w:p>
      <w:pPr>
        <w:spacing w:line="600" w:lineRule="exact"/>
        <w:ind w:firstLine="640" w:firstLineChars="200"/>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三、支出决算表</w:t>
      </w:r>
    </w:p>
    <w:p>
      <w:pPr>
        <w:spacing w:line="600" w:lineRule="exact"/>
        <w:ind w:firstLine="640" w:firstLineChars="200"/>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四、财政拨款收入支出决算总表</w:t>
      </w:r>
    </w:p>
    <w:p>
      <w:pPr>
        <w:spacing w:line="600" w:lineRule="exact"/>
        <w:ind w:firstLine="640" w:firstLineChars="200"/>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五、一般公共预算财政拨款支出决算表</w:t>
      </w:r>
    </w:p>
    <w:p>
      <w:pPr>
        <w:spacing w:line="600" w:lineRule="exact"/>
        <w:ind w:firstLine="640" w:firstLineChars="200"/>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六、一般公共预算财政拨款基本支出决算表</w:t>
      </w:r>
    </w:p>
    <w:p>
      <w:pPr>
        <w:spacing w:line="600" w:lineRule="exact"/>
        <w:ind w:firstLine="640" w:firstLineChars="200"/>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七、政府性基金预算财政拨款收入支出决算表</w:t>
      </w:r>
    </w:p>
    <w:p>
      <w:pPr>
        <w:spacing w:line="600" w:lineRule="exact"/>
        <w:ind w:firstLine="640" w:firstLineChars="200"/>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八、国有资本经营预算财政拨款支出决算表</w:t>
      </w:r>
    </w:p>
    <w:p>
      <w:pPr>
        <w:spacing w:line="600" w:lineRule="exact"/>
        <w:ind w:firstLine="640" w:firstLineChars="200"/>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九、“三公”经费及相关信息统计表</w:t>
      </w:r>
    </w:p>
    <w:p>
      <w:pPr>
        <w:spacing w:line="600" w:lineRule="exact"/>
        <w:ind w:firstLine="640" w:firstLineChars="200"/>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十、政府采购情况表</w:t>
      </w:r>
    </w:p>
    <w:p>
      <w:pPr>
        <w:spacing w:line="600" w:lineRule="exact"/>
        <w:ind w:firstLine="640" w:firstLineChars="200"/>
        <w:rPr>
          <w:rFonts w:hint="eastAsia" w:ascii="仿宋_GB2312" w:hAnsi="仿宋_GB2312" w:eastAsia="仿宋_GB2312" w:cs="仿宋_GB2312"/>
          <w:color w:val="000000"/>
          <w:kern w:val="0"/>
          <w:sz w:val="32"/>
          <w:szCs w:val="32"/>
          <w:lang w:val="en-US" w:eastAsia="zh-CN"/>
        </w:rPr>
      </w:pPr>
    </w:p>
    <w:p>
      <w:pPr>
        <w:rPr>
          <w:rFonts w:hint="eastAsia" w:ascii="仿宋_GB2312" w:hAnsi="仿宋_GB2312" w:eastAsia="仿宋_GB2312" w:cs="仿宋_GB2312"/>
          <w:color w:val="000000"/>
          <w:kern w:val="0"/>
          <w:sz w:val="32"/>
          <w:szCs w:val="32"/>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0002A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宋体"/>
    <w:panose1 w:val="00000000000000000000"/>
    <w:charset w:val="86"/>
    <w:family w:val="roman"/>
    <w:pitch w:val="default"/>
    <w:sig w:usb0="00000000" w:usb1="00000000" w:usb2="00000000" w:usb3="00000000" w:csb0="00040001" w:csb1="00000000"/>
  </w:font>
  <w:font w:name="方正小标宋_GBK">
    <w:altName w:val="宋体"/>
    <w:panose1 w:val="00000000000000000000"/>
    <w:charset w:val="86"/>
    <w:family w:val="roman"/>
    <w:pitch w:val="default"/>
    <w:sig w:usb0="00000000" w:usb1="00000000" w:usb2="00000000"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EFF" w:usb1="C000785B" w:usb2="00000009" w:usb3="00000000" w:csb0="400001FF" w:csb1="FFFF0000"/>
  </w:font>
  <w:font w:name="FangSong_GB2312">
    <w:altName w:val="仿宋"/>
    <w:panose1 w:val="02010609060101010101"/>
    <w:charset w:val="86"/>
    <w:family w:val="modern"/>
    <w:pitch w:val="default"/>
    <w:sig w:usb0="00000000" w:usb1="00000000"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FangSong_GB2312">
    <w:altName w:val="仿宋"/>
    <w:panose1 w:val="00000000000000000000"/>
    <w:charset w:val="00"/>
    <w:family w:val="swiss"/>
    <w:pitch w:val="default"/>
    <w:sig w:usb0="00000000" w:usb1="00000000" w:usb2="0000001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宋体-方正超大字符集">
    <w:altName w:val="宋体"/>
    <w:panose1 w:val="03000509000000000000"/>
    <w:charset w:val="86"/>
    <w:family w:val="script"/>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1769CB"/>
    <w:multiLevelType w:val="singleLevel"/>
    <w:tmpl w:val="5C1769CB"/>
    <w:lvl w:ilvl="0" w:tentative="0">
      <w:start w:val="1"/>
      <w:numFmt w:val="decimal"/>
      <w:suff w:val="nothing"/>
      <w:lvlText w:val="%1."/>
      <w:lvlJc w:val="left"/>
    </w:lvl>
  </w:abstractNum>
  <w:abstractNum w:abstractNumId="1">
    <w:nsid w:val="5C21851C"/>
    <w:multiLevelType w:val="singleLevel"/>
    <w:tmpl w:val="5C21851C"/>
    <w:lvl w:ilvl="0" w:tentative="0">
      <w:start w:val="4"/>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DB0CD3"/>
    <w:rsid w:val="09651C66"/>
    <w:rsid w:val="163470C5"/>
    <w:rsid w:val="1AC93408"/>
    <w:rsid w:val="1D9D53A3"/>
    <w:rsid w:val="20675D87"/>
    <w:rsid w:val="24F320F7"/>
    <w:rsid w:val="2ADC7FA8"/>
    <w:rsid w:val="30DB0CD3"/>
    <w:rsid w:val="49A54CAA"/>
    <w:rsid w:val="5E95561A"/>
    <w:rsid w:val="630835C8"/>
    <w:rsid w:val="749D5760"/>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Default"/>
    <w:qFormat/>
    <w:uiPriority w:val="0"/>
    <w:pPr>
      <w:widowControl w:val="0"/>
      <w:autoSpaceDE w:val="0"/>
      <w:autoSpaceDN w:val="0"/>
      <w:adjustRightInd w:val="0"/>
    </w:pPr>
    <w:rPr>
      <w:rFonts w:ascii="黑体" w:hAnsi="黑体" w:cs="黑体" w:eastAsiaTheme="minorEastAsia"/>
      <w:color w:val="000000"/>
      <w:sz w:val="24"/>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chart" Target="charts/chart2.xml"/><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2017年度收入决算情况说明</a:t>
            </a:r>
          </a:p>
        </c:rich>
      </c:tx>
      <c:layout/>
      <c:overlay val="0"/>
      <c:spPr>
        <a:noFill/>
        <a:ln>
          <a:noFill/>
        </a:ln>
        <a:effectLst/>
      </c:spPr>
    </c:title>
    <c:autoTitleDeleted val="0"/>
    <c:plotArea>
      <c:layout/>
      <c:pieChart>
        <c:varyColors val="1"/>
        <c:ser>
          <c:idx val="0"/>
          <c:order val="0"/>
          <c:tx>
            <c:strRef>
              <c:f>Sheet1!$B$1</c:f>
              <c:strCache>
                <c:ptCount val="1"/>
                <c:pt idx="0">
                  <c:v>列1</c:v>
                </c:pt>
              </c:strCache>
            </c:strRef>
          </c:tx>
          <c:spPr/>
          <c:explosion val="0"/>
          <c:dPt>
            <c:idx val="0"/>
            <c:bubble3D val="0"/>
            <c:spPr>
              <a:solidFill>
                <a:schemeClr val="accent1"/>
              </a:solidFill>
              <a:ln w="19050">
                <a:solidFill>
                  <a:schemeClr val="lt1"/>
                </a:solidFill>
              </a:ln>
              <a:effectLst/>
            </c:spPr>
          </c:dPt>
          <c:dLbls>
            <c:delete val="1"/>
          </c:dLbls>
          <c:cat>
            <c:strRef>
              <c:f>Sheet1!$A$2</c:f>
              <c:strCache>
                <c:ptCount val="1"/>
                <c:pt idx="0">
                  <c:v>财政拨款</c:v>
                </c:pt>
              </c:strCache>
            </c:strRef>
          </c:cat>
          <c:val>
            <c:numRef>
              <c:f>Sheet1!$B$2</c:f>
              <c:numCache>
                <c:formatCode>General</c:formatCode>
                <c:ptCount val="1"/>
                <c:pt idx="0" c:formatCode="General">
                  <c:v>298.68</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manualLayout>
          <c:layoutTarget val="inner"/>
          <c:xMode val="edge"/>
          <c:yMode val="edge"/>
          <c:x val="0.363636363636364"/>
          <c:y val="0.210801873794434"/>
          <c:w val="0.301245330012453"/>
          <c:h val="0.666574813998347"/>
        </c:manualLayout>
      </c:layout>
      <c:pieChart>
        <c:varyColors val="1"/>
        <c:ser>
          <c:idx val="0"/>
          <c:order val="0"/>
          <c:tx>
            <c:strRef>
              <c:f>Sheet1!$B$1</c:f>
              <c:strCache>
                <c:ptCount val="1"/>
                <c:pt idx="0">
                  <c:v>2017年度支出决算情况说明</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strRef>
              <c:f>Sheet1!$A$2:$A$5</c:f>
              <c:strCache>
                <c:ptCount val="4"/>
                <c:pt idx="0">
                  <c:v>人员经费支出</c:v>
                </c:pt>
                <c:pt idx="1">
                  <c:v>日常公用</c:v>
                </c:pt>
                <c:pt idx="2">
                  <c:v>项目支出</c:v>
                </c:pt>
              </c:strCache>
            </c:strRef>
          </c:cat>
          <c:val>
            <c:numRef>
              <c:f>Sheet1!$B$2:$B$5</c:f>
              <c:numCache>
                <c:formatCode>General</c:formatCode>
                <c:ptCount val="4"/>
                <c:pt idx="0" c:formatCode="General">
                  <c:v>352.05</c:v>
                </c:pt>
                <c:pt idx="1" c:formatCode="General">
                  <c:v>367.38</c:v>
                </c:pt>
                <c:pt idx="2" c:formatCode="General">
                  <c:v>132.13</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280884184308842"/>
          <c:y val="0.8955635161201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2018-12-17T09:06:00Z</dcterms:created>
  <dc:creator>CZJ7</dc:creator>
  <cp:lastModifiedBy>CZJ7</cp:lastModifiedBy>
  <dcterms:modified xsi:type="dcterms:W3CDTF">2018-12-25T01:23:33Z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